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Systems Specification: Kubernetes Container Scaling at the Edge</w:t>
      </w:r>
    </w:p>
    <w:p>
      <w:r>
        <w:t>Author: David Kross</w:t>
      </w:r>
    </w:p>
    <w:p>
      <w:r>
        <w:t>Date: 2026-05-02</w:t>
      </w:r>
    </w:p>
    <w:p>
      <w:r>
        <w:t>---</w:t>
      </w:r>
    </w:p>
    <w:p>
      <w:pPr>
        <w:pStyle w:val="Heading2"/>
      </w:pPr>
      <w:r>
        <w:t>1. Infrastructure Design</w:t>
      </w:r>
    </w:p>
    <w:p>
      <w:r>
        <w:t>Deploying high-frequency telemetry parsers and neural forecasting models at distributed sub-stations requires a robust, lightweight container orchestration plane. We have selected Rancher K3s as our standard lightweight Kubernetes distribution.</w:t>
      </w:r>
    </w:p>
    <w:p>
      <w:pPr>
        <w:pStyle w:val="Heading2"/>
      </w:pPr>
      <w:r>
        <w:t>2. Node Orchestration and Memory Budgets</w:t>
      </w:r>
    </w:p>
    <w:p>
      <w:r>
        <w:t>Each physical Helium edge host node allocates a maximum budget of 4 CPUs and 8 GB of RAM. The local telemetry parser runs as a core daemonset, and the neural inference engine is packaged into a lightweight WebAssembly (WASM) container. This limits the total memory footprint of the active predictive nodes to less than 256MB of RAM.</w:t>
      </w:r>
    </w:p>
    <w:p>
      <w:pPr>
        <w:pStyle w:val="Heading2"/>
      </w:pPr>
      <w:r>
        <w:t>3. Database Synchronization and Offline Buffering</w:t>
      </w:r>
    </w:p>
    <w:p>
      <w:r>
        <w:t>In case of a cellular network dropout, the local grid balancing containers continue executing the grid feedback loop autonomously over local Modbus channels. Telemetry logs are buffered locally in an on-disk SQLite queue. Once the connection is re-established, the edge node flushes the buffer to the central PostgreSQL hyper-table.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