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AB065" w14:textId="578A9B22" w:rsidR="00430999" w:rsidRDefault="00603137">
      <w:r>
        <w:t>Kade Sweeney</w:t>
      </w:r>
    </w:p>
    <w:p w14:paraId="51FB2D20" w14:textId="4F01DD21" w:rsidR="00603137" w:rsidRDefault="00603137">
      <w:r>
        <w:t>MIS 581</w:t>
      </w:r>
    </w:p>
    <w:p w14:paraId="60B836EF" w14:textId="331FFE7F" w:rsidR="00603137" w:rsidRDefault="00603137">
      <w:r>
        <w:t>8/24/2025</w:t>
      </w:r>
    </w:p>
    <w:p w14:paraId="7275FA28" w14:textId="77777777" w:rsidR="00603137" w:rsidRDefault="00603137"/>
    <w:p w14:paraId="343C54B0" w14:textId="32B81627" w:rsidR="00603137" w:rsidRDefault="002C2EB5" w:rsidP="00603137">
      <w:pPr>
        <w:jc w:val="center"/>
      </w:pPr>
      <w:r w:rsidRPr="002C2EB5">
        <w:t>The Post-Pandemic Impact of Remote and Hybrid Work on Employee Health and Well-Being: A Quantitative Analysis</w:t>
      </w:r>
    </w:p>
    <w:p w14:paraId="61F1D90F" w14:textId="77777777" w:rsidR="00603137" w:rsidRDefault="00603137">
      <w:r>
        <w:br w:type="page"/>
      </w:r>
    </w:p>
    <w:sdt>
      <w:sdtPr>
        <w:rPr>
          <w:rFonts w:asciiTheme="minorHAnsi" w:eastAsiaTheme="minorHAnsi" w:hAnsiTheme="minorHAnsi" w:cstheme="minorBidi"/>
          <w:color w:val="auto"/>
          <w:kern w:val="2"/>
          <w:sz w:val="24"/>
          <w:szCs w:val="24"/>
          <w14:ligatures w14:val="standardContextual"/>
        </w:rPr>
        <w:id w:val="-157000050"/>
        <w:docPartObj>
          <w:docPartGallery w:val="Table of Contents"/>
          <w:docPartUnique/>
        </w:docPartObj>
      </w:sdtPr>
      <w:sdtEndPr>
        <w:rPr>
          <w:b/>
          <w:bCs/>
          <w:noProof/>
        </w:rPr>
      </w:sdtEndPr>
      <w:sdtContent>
        <w:p w14:paraId="61B6C955" w14:textId="40DAB92D" w:rsidR="00603137" w:rsidRDefault="00603137">
          <w:pPr>
            <w:pStyle w:val="TOCHeading"/>
          </w:pPr>
          <w:r>
            <w:t>Contents</w:t>
          </w:r>
        </w:p>
        <w:p w14:paraId="5AADE5A9" w14:textId="39412A40" w:rsidR="0050471B" w:rsidRDefault="00603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7541132" w:history="1">
            <w:r w:rsidR="0050471B" w:rsidRPr="00BB58E8">
              <w:rPr>
                <w:rStyle w:val="Hyperlink"/>
                <w:noProof/>
              </w:rPr>
              <w:t>Abstract</w:t>
            </w:r>
            <w:r w:rsidR="0050471B">
              <w:rPr>
                <w:noProof/>
                <w:webHidden/>
              </w:rPr>
              <w:tab/>
            </w:r>
            <w:r w:rsidR="0050471B">
              <w:rPr>
                <w:noProof/>
                <w:webHidden/>
              </w:rPr>
              <w:fldChar w:fldCharType="begin"/>
            </w:r>
            <w:r w:rsidR="0050471B">
              <w:rPr>
                <w:noProof/>
                <w:webHidden/>
              </w:rPr>
              <w:instrText xml:space="preserve"> PAGEREF _Toc207541132 \h </w:instrText>
            </w:r>
            <w:r w:rsidR="0050471B">
              <w:rPr>
                <w:noProof/>
                <w:webHidden/>
              </w:rPr>
            </w:r>
            <w:r w:rsidR="0050471B">
              <w:rPr>
                <w:noProof/>
                <w:webHidden/>
              </w:rPr>
              <w:fldChar w:fldCharType="separate"/>
            </w:r>
            <w:r w:rsidR="0050471B">
              <w:rPr>
                <w:noProof/>
                <w:webHidden/>
              </w:rPr>
              <w:t>4</w:t>
            </w:r>
            <w:r w:rsidR="0050471B">
              <w:rPr>
                <w:noProof/>
                <w:webHidden/>
              </w:rPr>
              <w:fldChar w:fldCharType="end"/>
            </w:r>
          </w:hyperlink>
        </w:p>
        <w:p w14:paraId="5C506F8A" w14:textId="2EDE375F" w:rsidR="0050471B" w:rsidRDefault="0050471B">
          <w:pPr>
            <w:pStyle w:val="TOC1"/>
            <w:tabs>
              <w:tab w:val="right" w:leader="dot" w:pos="9350"/>
            </w:tabs>
            <w:rPr>
              <w:rFonts w:eastAsiaTheme="minorEastAsia"/>
              <w:noProof/>
            </w:rPr>
          </w:pPr>
          <w:hyperlink w:anchor="_Toc207541133" w:history="1">
            <w:r w:rsidRPr="00BB58E8">
              <w:rPr>
                <w:rStyle w:val="Hyperlink"/>
                <w:noProof/>
              </w:rPr>
              <w:t>Introduction</w:t>
            </w:r>
            <w:r>
              <w:rPr>
                <w:noProof/>
                <w:webHidden/>
              </w:rPr>
              <w:tab/>
            </w:r>
            <w:r>
              <w:rPr>
                <w:noProof/>
                <w:webHidden/>
              </w:rPr>
              <w:fldChar w:fldCharType="begin"/>
            </w:r>
            <w:r>
              <w:rPr>
                <w:noProof/>
                <w:webHidden/>
              </w:rPr>
              <w:instrText xml:space="preserve"> PAGEREF _Toc207541133 \h </w:instrText>
            </w:r>
            <w:r>
              <w:rPr>
                <w:noProof/>
                <w:webHidden/>
              </w:rPr>
            </w:r>
            <w:r>
              <w:rPr>
                <w:noProof/>
                <w:webHidden/>
              </w:rPr>
              <w:fldChar w:fldCharType="separate"/>
            </w:r>
            <w:r>
              <w:rPr>
                <w:noProof/>
                <w:webHidden/>
              </w:rPr>
              <w:t>5</w:t>
            </w:r>
            <w:r>
              <w:rPr>
                <w:noProof/>
                <w:webHidden/>
              </w:rPr>
              <w:fldChar w:fldCharType="end"/>
            </w:r>
          </w:hyperlink>
        </w:p>
        <w:p w14:paraId="14D3F799" w14:textId="5B5551DE" w:rsidR="0050471B" w:rsidRDefault="0050471B">
          <w:pPr>
            <w:pStyle w:val="TOC1"/>
            <w:tabs>
              <w:tab w:val="right" w:leader="dot" w:pos="9350"/>
            </w:tabs>
            <w:rPr>
              <w:rFonts w:eastAsiaTheme="minorEastAsia"/>
              <w:noProof/>
            </w:rPr>
          </w:pPr>
          <w:hyperlink w:anchor="_Toc207541134" w:history="1">
            <w:r w:rsidRPr="00BB58E8">
              <w:rPr>
                <w:rStyle w:val="Hyperlink"/>
                <w:noProof/>
              </w:rPr>
              <w:t>Objectives</w:t>
            </w:r>
            <w:r>
              <w:rPr>
                <w:noProof/>
                <w:webHidden/>
              </w:rPr>
              <w:tab/>
            </w:r>
            <w:r>
              <w:rPr>
                <w:noProof/>
                <w:webHidden/>
              </w:rPr>
              <w:fldChar w:fldCharType="begin"/>
            </w:r>
            <w:r>
              <w:rPr>
                <w:noProof/>
                <w:webHidden/>
              </w:rPr>
              <w:instrText xml:space="preserve"> PAGEREF _Toc207541134 \h </w:instrText>
            </w:r>
            <w:r>
              <w:rPr>
                <w:noProof/>
                <w:webHidden/>
              </w:rPr>
            </w:r>
            <w:r>
              <w:rPr>
                <w:noProof/>
                <w:webHidden/>
              </w:rPr>
              <w:fldChar w:fldCharType="separate"/>
            </w:r>
            <w:r>
              <w:rPr>
                <w:noProof/>
                <w:webHidden/>
              </w:rPr>
              <w:t>5</w:t>
            </w:r>
            <w:r>
              <w:rPr>
                <w:noProof/>
                <w:webHidden/>
              </w:rPr>
              <w:fldChar w:fldCharType="end"/>
            </w:r>
          </w:hyperlink>
        </w:p>
        <w:p w14:paraId="22CE62BA" w14:textId="79065F13" w:rsidR="0050471B" w:rsidRDefault="0050471B">
          <w:pPr>
            <w:pStyle w:val="TOC1"/>
            <w:tabs>
              <w:tab w:val="right" w:leader="dot" w:pos="9350"/>
            </w:tabs>
            <w:rPr>
              <w:rFonts w:eastAsiaTheme="minorEastAsia"/>
              <w:noProof/>
            </w:rPr>
          </w:pPr>
          <w:hyperlink w:anchor="_Toc207541135" w:history="1">
            <w:r w:rsidRPr="00BB58E8">
              <w:rPr>
                <w:rStyle w:val="Hyperlink"/>
                <w:noProof/>
              </w:rPr>
              <w:t>Overview of Study</w:t>
            </w:r>
            <w:r>
              <w:rPr>
                <w:noProof/>
                <w:webHidden/>
              </w:rPr>
              <w:tab/>
            </w:r>
            <w:r>
              <w:rPr>
                <w:noProof/>
                <w:webHidden/>
              </w:rPr>
              <w:fldChar w:fldCharType="begin"/>
            </w:r>
            <w:r>
              <w:rPr>
                <w:noProof/>
                <w:webHidden/>
              </w:rPr>
              <w:instrText xml:space="preserve"> PAGEREF _Toc207541135 \h </w:instrText>
            </w:r>
            <w:r>
              <w:rPr>
                <w:noProof/>
                <w:webHidden/>
              </w:rPr>
            </w:r>
            <w:r>
              <w:rPr>
                <w:noProof/>
                <w:webHidden/>
              </w:rPr>
              <w:fldChar w:fldCharType="separate"/>
            </w:r>
            <w:r>
              <w:rPr>
                <w:noProof/>
                <w:webHidden/>
              </w:rPr>
              <w:t>6</w:t>
            </w:r>
            <w:r>
              <w:rPr>
                <w:noProof/>
                <w:webHidden/>
              </w:rPr>
              <w:fldChar w:fldCharType="end"/>
            </w:r>
          </w:hyperlink>
        </w:p>
        <w:p w14:paraId="62AE519C" w14:textId="62ED636B" w:rsidR="0050471B" w:rsidRDefault="0050471B">
          <w:pPr>
            <w:pStyle w:val="TOC1"/>
            <w:tabs>
              <w:tab w:val="right" w:leader="dot" w:pos="9350"/>
            </w:tabs>
            <w:rPr>
              <w:rFonts w:eastAsiaTheme="minorEastAsia"/>
              <w:noProof/>
            </w:rPr>
          </w:pPr>
          <w:hyperlink w:anchor="_Toc207541136" w:history="1">
            <w:r w:rsidRPr="00BB58E8">
              <w:rPr>
                <w:rStyle w:val="Hyperlink"/>
                <w:noProof/>
              </w:rPr>
              <w:t>Research Questions and Hypotheses</w:t>
            </w:r>
            <w:r>
              <w:rPr>
                <w:noProof/>
                <w:webHidden/>
              </w:rPr>
              <w:tab/>
            </w:r>
            <w:r>
              <w:rPr>
                <w:noProof/>
                <w:webHidden/>
              </w:rPr>
              <w:fldChar w:fldCharType="begin"/>
            </w:r>
            <w:r>
              <w:rPr>
                <w:noProof/>
                <w:webHidden/>
              </w:rPr>
              <w:instrText xml:space="preserve"> PAGEREF _Toc207541136 \h </w:instrText>
            </w:r>
            <w:r>
              <w:rPr>
                <w:noProof/>
                <w:webHidden/>
              </w:rPr>
            </w:r>
            <w:r>
              <w:rPr>
                <w:noProof/>
                <w:webHidden/>
              </w:rPr>
              <w:fldChar w:fldCharType="separate"/>
            </w:r>
            <w:r>
              <w:rPr>
                <w:noProof/>
                <w:webHidden/>
              </w:rPr>
              <w:t>7</w:t>
            </w:r>
            <w:r>
              <w:rPr>
                <w:noProof/>
                <w:webHidden/>
              </w:rPr>
              <w:fldChar w:fldCharType="end"/>
            </w:r>
          </w:hyperlink>
        </w:p>
        <w:p w14:paraId="547DB7EB" w14:textId="0D6EE178" w:rsidR="0050471B" w:rsidRDefault="0050471B">
          <w:pPr>
            <w:pStyle w:val="TOC2"/>
            <w:tabs>
              <w:tab w:val="right" w:leader="dot" w:pos="9350"/>
            </w:tabs>
            <w:rPr>
              <w:rFonts w:eastAsiaTheme="minorEastAsia"/>
              <w:noProof/>
            </w:rPr>
          </w:pPr>
          <w:hyperlink w:anchor="_Toc207541137" w:history="1">
            <w:r w:rsidRPr="00BB58E8">
              <w:rPr>
                <w:rStyle w:val="Hyperlink"/>
                <w:noProof/>
              </w:rPr>
              <w:t>Hypotheses Overview</w:t>
            </w:r>
            <w:r>
              <w:rPr>
                <w:noProof/>
                <w:webHidden/>
              </w:rPr>
              <w:tab/>
            </w:r>
            <w:r>
              <w:rPr>
                <w:noProof/>
                <w:webHidden/>
              </w:rPr>
              <w:fldChar w:fldCharType="begin"/>
            </w:r>
            <w:r>
              <w:rPr>
                <w:noProof/>
                <w:webHidden/>
              </w:rPr>
              <w:instrText xml:space="preserve"> PAGEREF _Toc207541137 \h </w:instrText>
            </w:r>
            <w:r>
              <w:rPr>
                <w:noProof/>
                <w:webHidden/>
              </w:rPr>
            </w:r>
            <w:r>
              <w:rPr>
                <w:noProof/>
                <w:webHidden/>
              </w:rPr>
              <w:fldChar w:fldCharType="separate"/>
            </w:r>
            <w:r>
              <w:rPr>
                <w:noProof/>
                <w:webHidden/>
              </w:rPr>
              <w:t>8</w:t>
            </w:r>
            <w:r>
              <w:rPr>
                <w:noProof/>
                <w:webHidden/>
              </w:rPr>
              <w:fldChar w:fldCharType="end"/>
            </w:r>
          </w:hyperlink>
        </w:p>
        <w:p w14:paraId="7605A1F0" w14:textId="4A5DA015" w:rsidR="0050471B" w:rsidRDefault="0050471B">
          <w:pPr>
            <w:pStyle w:val="TOC1"/>
            <w:tabs>
              <w:tab w:val="right" w:leader="dot" w:pos="9350"/>
            </w:tabs>
            <w:rPr>
              <w:rFonts w:eastAsiaTheme="minorEastAsia"/>
              <w:noProof/>
            </w:rPr>
          </w:pPr>
          <w:hyperlink w:anchor="_Toc207541138" w:history="1">
            <w:r w:rsidRPr="00BB58E8">
              <w:rPr>
                <w:rStyle w:val="Hyperlink"/>
                <w:noProof/>
              </w:rPr>
              <w:t>Literature Review</w:t>
            </w:r>
            <w:r>
              <w:rPr>
                <w:noProof/>
                <w:webHidden/>
              </w:rPr>
              <w:tab/>
            </w:r>
            <w:r>
              <w:rPr>
                <w:noProof/>
                <w:webHidden/>
              </w:rPr>
              <w:fldChar w:fldCharType="begin"/>
            </w:r>
            <w:r>
              <w:rPr>
                <w:noProof/>
                <w:webHidden/>
              </w:rPr>
              <w:instrText xml:space="preserve"> PAGEREF _Toc207541138 \h </w:instrText>
            </w:r>
            <w:r>
              <w:rPr>
                <w:noProof/>
                <w:webHidden/>
              </w:rPr>
            </w:r>
            <w:r>
              <w:rPr>
                <w:noProof/>
                <w:webHidden/>
              </w:rPr>
              <w:fldChar w:fldCharType="separate"/>
            </w:r>
            <w:r>
              <w:rPr>
                <w:noProof/>
                <w:webHidden/>
              </w:rPr>
              <w:t>9</w:t>
            </w:r>
            <w:r>
              <w:rPr>
                <w:noProof/>
                <w:webHidden/>
              </w:rPr>
              <w:fldChar w:fldCharType="end"/>
            </w:r>
          </w:hyperlink>
        </w:p>
        <w:p w14:paraId="51225FC9" w14:textId="31BE9807" w:rsidR="0050471B" w:rsidRDefault="0050471B">
          <w:pPr>
            <w:pStyle w:val="TOC2"/>
            <w:tabs>
              <w:tab w:val="right" w:leader="dot" w:pos="9350"/>
            </w:tabs>
            <w:rPr>
              <w:rFonts w:eastAsiaTheme="minorEastAsia"/>
              <w:noProof/>
            </w:rPr>
          </w:pPr>
          <w:hyperlink w:anchor="_Toc207541139" w:history="1">
            <w:r w:rsidRPr="00BB58E8">
              <w:rPr>
                <w:rStyle w:val="Hyperlink"/>
                <w:noProof/>
              </w:rPr>
              <w:t>Remote Work and Employee Well-Being</w:t>
            </w:r>
            <w:r>
              <w:rPr>
                <w:noProof/>
                <w:webHidden/>
              </w:rPr>
              <w:tab/>
            </w:r>
            <w:r>
              <w:rPr>
                <w:noProof/>
                <w:webHidden/>
              </w:rPr>
              <w:fldChar w:fldCharType="begin"/>
            </w:r>
            <w:r>
              <w:rPr>
                <w:noProof/>
                <w:webHidden/>
              </w:rPr>
              <w:instrText xml:space="preserve"> PAGEREF _Toc207541139 \h </w:instrText>
            </w:r>
            <w:r>
              <w:rPr>
                <w:noProof/>
                <w:webHidden/>
              </w:rPr>
            </w:r>
            <w:r>
              <w:rPr>
                <w:noProof/>
                <w:webHidden/>
              </w:rPr>
              <w:fldChar w:fldCharType="separate"/>
            </w:r>
            <w:r>
              <w:rPr>
                <w:noProof/>
                <w:webHidden/>
              </w:rPr>
              <w:t>9</w:t>
            </w:r>
            <w:r>
              <w:rPr>
                <w:noProof/>
                <w:webHidden/>
              </w:rPr>
              <w:fldChar w:fldCharType="end"/>
            </w:r>
          </w:hyperlink>
        </w:p>
        <w:p w14:paraId="2EC17591" w14:textId="28E7CCC8" w:rsidR="0050471B" w:rsidRDefault="0050471B">
          <w:pPr>
            <w:pStyle w:val="TOC2"/>
            <w:tabs>
              <w:tab w:val="right" w:leader="dot" w:pos="9350"/>
            </w:tabs>
            <w:rPr>
              <w:rFonts w:eastAsiaTheme="minorEastAsia"/>
              <w:noProof/>
            </w:rPr>
          </w:pPr>
          <w:hyperlink w:anchor="_Toc207541140" w:history="1">
            <w:r w:rsidRPr="00BB58E8">
              <w:rPr>
                <w:rStyle w:val="Hyperlink"/>
                <w:noProof/>
              </w:rPr>
              <w:t>Physical and Mental Health Outcomes</w:t>
            </w:r>
            <w:r>
              <w:rPr>
                <w:noProof/>
                <w:webHidden/>
              </w:rPr>
              <w:tab/>
            </w:r>
            <w:r>
              <w:rPr>
                <w:noProof/>
                <w:webHidden/>
              </w:rPr>
              <w:fldChar w:fldCharType="begin"/>
            </w:r>
            <w:r>
              <w:rPr>
                <w:noProof/>
                <w:webHidden/>
              </w:rPr>
              <w:instrText xml:space="preserve"> PAGEREF _Toc207541140 \h </w:instrText>
            </w:r>
            <w:r>
              <w:rPr>
                <w:noProof/>
                <w:webHidden/>
              </w:rPr>
            </w:r>
            <w:r>
              <w:rPr>
                <w:noProof/>
                <w:webHidden/>
              </w:rPr>
              <w:fldChar w:fldCharType="separate"/>
            </w:r>
            <w:r>
              <w:rPr>
                <w:noProof/>
                <w:webHidden/>
              </w:rPr>
              <w:t>9</w:t>
            </w:r>
            <w:r>
              <w:rPr>
                <w:noProof/>
                <w:webHidden/>
              </w:rPr>
              <w:fldChar w:fldCharType="end"/>
            </w:r>
          </w:hyperlink>
        </w:p>
        <w:p w14:paraId="4EC80375" w14:textId="438488B6" w:rsidR="0050471B" w:rsidRDefault="0050471B">
          <w:pPr>
            <w:pStyle w:val="TOC2"/>
            <w:tabs>
              <w:tab w:val="right" w:leader="dot" w:pos="9350"/>
            </w:tabs>
            <w:rPr>
              <w:rFonts w:eastAsiaTheme="minorEastAsia"/>
              <w:noProof/>
            </w:rPr>
          </w:pPr>
          <w:hyperlink w:anchor="_Toc207541141" w:history="1">
            <w:r w:rsidRPr="00BB58E8">
              <w:rPr>
                <w:rStyle w:val="Hyperlink"/>
                <w:noProof/>
              </w:rPr>
              <w:t>Work-life Balance and Burnout</w:t>
            </w:r>
            <w:r>
              <w:rPr>
                <w:noProof/>
                <w:webHidden/>
              </w:rPr>
              <w:tab/>
            </w:r>
            <w:r>
              <w:rPr>
                <w:noProof/>
                <w:webHidden/>
              </w:rPr>
              <w:fldChar w:fldCharType="begin"/>
            </w:r>
            <w:r>
              <w:rPr>
                <w:noProof/>
                <w:webHidden/>
              </w:rPr>
              <w:instrText xml:space="preserve"> PAGEREF _Toc207541141 \h </w:instrText>
            </w:r>
            <w:r>
              <w:rPr>
                <w:noProof/>
                <w:webHidden/>
              </w:rPr>
            </w:r>
            <w:r>
              <w:rPr>
                <w:noProof/>
                <w:webHidden/>
              </w:rPr>
              <w:fldChar w:fldCharType="separate"/>
            </w:r>
            <w:r>
              <w:rPr>
                <w:noProof/>
                <w:webHidden/>
              </w:rPr>
              <w:t>10</w:t>
            </w:r>
            <w:r>
              <w:rPr>
                <w:noProof/>
                <w:webHidden/>
              </w:rPr>
              <w:fldChar w:fldCharType="end"/>
            </w:r>
          </w:hyperlink>
        </w:p>
        <w:p w14:paraId="6A3979CA" w14:textId="424B42DD" w:rsidR="0050471B" w:rsidRDefault="0050471B">
          <w:pPr>
            <w:pStyle w:val="TOC2"/>
            <w:tabs>
              <w:tab w:val="right" w:leader="dot" w:pos="9350"/>
            </w:tabs>
            <w:rPr>
              <w:rFonts w:eastAsiaTheme="minorEastAsia"/>
              <w:noProof/>
            </w:rPr>
          </w:pPr>
          <w:hyperlink w:anchor="_Toc207541142" w:history="1">
            <w:r w:rsidRPr="00BB58E8">
              <w:rPr>
                <w:rStyle w:val="Hyperlink"/>
                <w:noProof/>
              </w:rPr>
              <w:t>Social Isolation and Organizational Support</w:t>
            </w:r>
            <w:r>
              <w:rPr>
                <w:noProof/>
                <w:webHidden/>
              </w:rPr>
              <w:tab/>
            </w:r>
            <w:r>
              <w:rPr>
                <w:noProof/>
                <w:webHidden/>
              </w:rPr>
              <w:fldChar w:fldCharType="begin"/>
            </w:r>
            <w:r>
              <w:rPr>
                <w:noProof/>
                <w:webHidden/>
              </w:rPr>
              <w:instrText xml:space="preserve"> PAGEREF _Toc207541142 \h </w:instrText>
            </w:r>
            <w:r>
              <w:rPr>
                <w:noProof/>
                <w:webHidden/>
              </w:rPr>
            </w:r>
            <w:r>
              <w:rPr>
                <w:noProof/>
                <w:webHidden/>
              </w:rPr>
              <w:fldChar w:fldCharType="separate"/>
            </w:r>
            <w:r>
              <w:rPr>
                <w:noProof/>
                <w:webHidden/>
              </w:rPr>
              <w:t>10</w:t>
            </w:r>
            <w:r>
              <w:rPr>
                <w:noProof/>
                <w:webHidden/>
              </w:rPr>
              <w:fldChar w:fldCharType="end"/>
            </w:r>
          </w:hyperlink>
        </w:p>
        <w:p w14:paraId="3A0235DE" w14:textId="288805BF" w:rsidR="0050471B" w:rsidRDefault="0050471B">
          <w:pPr>
            <w:pStyle w:val="TOC2"/>
            <w:tabs>
              <w:tab w:val="right" w:leader="dot" w:pos="9350"/>
            </w:tabs>
            <w:rPr>
              <w:rFonts w:eastAsiaTheme="minorEastAsia"/>
              <w:noProof/>
            </w:rPr>
          </w:pPr>
          <w:hyperlink w:anchor="_Toc207541143" w:history="1">
            <w:r w:rsidRPr="00BB58E8">
              <w:rPr>
                <w:rStyle w:val="Hyperlink"/>
                <w:noProof/>
              </w:rPr>
              <w:t>Conclusion of the Literature Review</w:t>
            </w:r>
            <w:r>
              <w:rPr>
                <w:noProof/>
                <w:webHidden/>
              </w:rPr>
              <w:tab/>
            </w:r>
            <w:r>
              <w:rPr>
                <w:noProof/>
                <w:webHidden/>
              </w:rPr>
              <w:fldChar w:fldCharType="begin"/>
            </w:r>
            <w:r>
              <w:rPr>
                <w:noProof/>
                <w:webHidden/>
              </w:rPr>
              <w:instrText xml:space="preserve"> PAGEREF _Toc207541143 \h </w:instrText>
            </w:r>
            <w:r>
              <w:rPr>
                <w:noProof/>
                <w:webHidden/>
              </w:rPr>
            </w:r>
            <w:r>
              <w:rPr>
                <w:noProof/>
                <w:webHidden/>
              </w:rPr>
              <w:fldChar w:fldCharType="separate"/>
            </w:r>
            <w:r>
              <w:rPr>
                <w:noProof/>
                <w:webHidden/>
              </w:rPr>
              <w:t>11</w:t>
            </w:r>
            <w:r>
              <w:rPr>
                <w:noProof/>
                <w:webHidden/>
              </w:rPr>
              <w:fldChar w:fldCharType="end"/>
            </w:r>
          </w:hyperlink>
        </w:p>
        <w:p w14:paraId="01D94651" w14:textId="18DEB8A9" w:rsidR="0050471B" w:rsidRDefault="0050471B">
          <w:pPr>
            <w:pStyle w:val="TOC1"/>
            <w:tabs>
              <w:tab w:val="right" w:leader="dot" w:pos="9350"/>
            </w:tabs>
            <w:rPr>
              <w:rFonts w:eastAsiaTheme="minorEastAsia"/>
              <w:noProof/>
            </w:rPr>
          </w:pPr>
          <w:hyperlink w:anchor="_Toc207541144" w:history="1">
            <w:r w:rsidRPr="00BB58E8">
              <w:rPr>
                <w:rStyle w:val="Hyperlink"/>
                <w:noProof/>
              </w:rPr>
              <w:t>Methodologies and Tools Used</w:t>
            </w:r>
            <w:r>
              <w:rPr>
                <w:noProof/>
                <w:webHidden/>
              </w:rPr>
              <w:tab/>
            </w:r>
            <w:r>
              <w:rPr>
                <w:noProof/>
                <w:webHidden/>
              </w:rPr>
              <w:fldChar w:fldCharType="begin"/>
            </w:r>
            <w:r>
              <w:rPr>
                <w:noProof/>
                <w:webHidden/>
              </w:rPr>
              <w:instrText xml:space="preserve"> PAGEREF _Toc207541144 \h </w:instrText>
            </w:r>
            <w:r>
              <w:rPr>
                <w:noProof/>
                <w:webHidden/>
              </w:rPr>
            </w:r>
            <w:r>
              <w:rPr>
                <w:noProof/>
                <w:webHidden/>
              </w:rPr>
              <w:fldChar w:fldCharType="separate"/>
            </w:r>
            <w:r>
              <w:rPr>
                <w:noProof/>
                <w:webHidden/>
              </w:rPr>
              <w:t>11</w:t>
            </w:r>
            <w:r>
              <w:rPr>
                <w:noProof/>
                <w:webHidden/>
              </w:rPr>
              <w:fldChar w:fldCharType="end"/>
            </w:r>
          </w:hyperlink>
        </w:p>
        <w:p w14:paraId="076B3B8A" w14:textId="5CA6BF81" w:rsidR="0050471B" w:rsidRDefault="0050471B">
          <w:pPr>
            <w:pStyle w:val="TOC2"/>
            <w:tabs>
              <w:tab w:val="right" w:leader="dot" w:pos="9350"/>
            </w:tabs>
            <w:rPr>
              <w:rFonts w:eastAsiaTheme="minorEastAsia"/>
              <w:noProof/>
            </w:rPr>
          </w:pPr>
          <w:hyperlink w:anchor="_Toc207541145" w:history="1">
            <w:r w:rsidRPr="00BB58E8">
              <w:rPr>
                <w:rStyle w:val="Hyperlink"/>
                <w:noProof/>
              </w:rPr>
              <w:t>Tools and Technologies Used</w:t>
            </w:r>
            <w:r>
              <w:rPr>
                <w:noProof/>
                <w:webHidden/>
              </w:rPr>
              <w:tab/>
            </w:r>
            <w:r>
              <w:rPr>
                <w:noProof/>
                <w:webHidden/>
              </w:rPr>
              <w:fldChar w:fldCharType="begin"/>
            </w:r>
            <w:r>
              <w:rPr>
                <w:noProof/>
                <w:webHidden/>
              </w:rPr>
              <w:instrText xml:space="preserve"> PAGEREF _Toc207541145 \h </w:instrText>
            </w:r>
            <w:r>
              <w:rPr>
                <w:noProof/>
                <w:webHidden/>
              </w:rPr>
            </w:r>
            <w:r>
              <w:rPr>
                <w:noProof/>
                <w:webHidden/>
              </w:rPr>
              <w:fldChar w:fldCharType="separate"/>
            </w:r>
            <w:r>
              <w:rPr>
                <w:noProof/>
                <w:webHidden/>
              </w:rPr>
              <w:t>12</w:t>
            </w:r>
            <w:r>
              <w:rPr>
                <w:noProof/>
                <w:webHidden/>
              </w:rPr>
              <w:fldChar w:fldCharType="end"/>
            </w:r>
          </w:hyperlink>
        </w:p>
        <w:p w14:paraId="37D7D3C2" w14:textId="1C08051C" w:rsidR="0050471B" w:rsidRDefault="0050471B">
          <w:pPr>
            <w:pStyle w:val="TOC1"/>
            <w:tabs>
              <w:tab w:val="right" w:leader="dot" w:pos="9350"/>
            </w:tabs>
            <w:rPr>
              <w:rFonts w:eastAsiaTheme="minorEastAsia"/>
              <w:noProof/>
            </w:rPr>
          </w:pPr>
          <w:hyperlink w:anchor="_Toc207541146" w:history="1">
            <w:r w:rsidRPr="00BB58E8">
              <w:rPr>
                <w:rStyle w:val="Hyperlink"/>
                <w:noProof/>
              </w:rPr>
              <w:t>Limitations</w:t>
            </w:r>
            <w:r>
              <w:rPr>
                <w:noProof/>
                <w:webHidden/>
              </w:rPr>
              <w:tab/>
            </w:r>
            <w:r>
              <w:rPr>
                <w:noProof/>
                <w:webHidden/>
              </w:rPr>
              <w:fldChar w:fldCharType="begin"/>
            </w:r>
            <w:r>
              <w:rPr>
                <w:noProof/>
                <w:webHidden/>
              </w:rPr>
              <w:instrText xml:space="preserve"> PAGEREF _Toc207541146 \h </w:instrText>
            </w:r>
            <w:r>
              <w:rPr>
                <w:noProof/>
                <w:webHidden/>
              </w:rPr>
            </w:r>
            <w:r>
              <w:rPr>
                <w:noProof/>
                <w:webHidden/>
              </w:rPr>
              <w:fldChar w:fldCharType="separate"/>
            </w:r>
            <w:r>
              <w:rPr>
                <w:noProof/>
                <w:webHidden/>
              </w:rPr>
              <w:t>13</w:t>
            </w:r>
            <w:r>
              <w:rPr>
                <w:noProof/>
                <w:webHidden/>
              </w:rPr>
              <w:fldChar w:fldCharType="end"/>
            </w:r>
          </w:hyperlink>
        </w:p>
        <w:p w14:paraId="6DE393E7" w14:textId="1F152402" w:rsidR="0050471B" w:rsidRDefault="0050471B">
          <w:pPr>
            <w:pStyle w:val="TOC2"/>
            <w:tabs>
              <w:tab w:val="right" w:leader="dot" w:pos="9350"/>
            </w:tabs>
            <w:rPr>
              <w:rFonts w:eastAsiaTheme="minorEastAsia"/>
              <w:noProof/>
            </w:rPr>
          </w:pPr>
          <w:hyperlink w:anchor="_Toc207541147" w:history="1">
            <w:r w:rsidRPr="00BB58E8">
              <w:rPr>
                <w:rStyle w:val="Hyperlink"/>
                <w:noProof/>
              </w:rPr>
              <w:t>1. Dataset Limitations</w:t>
            </w:r>
            <w:r>
              <w:rPr>
                <w:noProof/>
                <w:webHidden/>
              </w:rPr>
              <w:tab/>
            </w:r>
            <w:r>
              <w:rPr>
                <w:noProof/>
                <w:webHidden/>
              </w:rPr>
              <w:fldChar w:fldCharType="begin"/>
            </w:r>
            <w:r>
              <w:rPr>
                <w:noProof/>
                <w:webHidden/>
              </w:rPr>
              <w:instrText xml:space="preserve"> PAGEREF _Toc207541147 \h </w:instrText>
            </w:r>
            <w:r>
              <w:rPr>
                <w:noProof/>
                <w:webHidden/>
              </w:rPr>
            </w:r>
            <w:r>
              <w:rPr>
                <w:noProof/>
                <w:webHidden/>
              </w:rPr>
              <w:fldChar w:fldCharType="separate"/>
            </w:r>
            <w:r>
              <w:rPr>
                <w:noProof/>
                <w:webHidden/>
              </w:rPr>
              <w:t>13</w:t>
            </w:r>
            <w:r>
              <w:rPr>
                <w:noProof/>
                <w:webHidden/>
              </w:rPr>
              <w:fldChar w:fldCharType="end"/>
            </w:r>
          </w:hyperlink>
        </w:p>
        <w:p w14:paraId="4EADFF0D" w14:textId="3EACC186" w:rsidR="0050471B" w:rsidRDefault="0050471B">
          <w:pPr>
            <w:pStyle w:val="TOC3"/>
            <w:tabs>
              <w:tab w:val="right" w:leader="dot" w:pos="9350"/>
            </w:tabs>
            <w:rPr>
              <w:rFonts w:eastAsiaTheme="minorEastAsia"/>
              <w:noProof/>
            </w:rPr>
          </w:pPr>
          <w:hyperlink w:anchor="_Toc207541148" w:history="1">
            <w:r w:rsidRPr="00BB58E8">
              <w:rPr>
                <w:rStyle w:val="Hyperlink"/>
                <w:noProof/>
              </w:rPr>
              <w:t>a. Self-Reported Data</w:t>
            </w:r>
            <w:r>
              <w:rPr>
                <w:noProof/>
                <w:webHidden/>
              </w:rPr>
              <w:tab/>
            </w:r>
            <w:r>
              <w:rPr>
                <w:noProof/>
                <w:webHidden/>
              </w:rPr>
              <w:fldChar w:fldCharType="begin"/>
            </w:r>
            <w:r>
              <w:rPr>
                <w:noProof/>
                <w:webHidden/>
              </w:rPr>
              <w:instrText xml:space="preserve"> PAGEREF _Toc207541148 \h </w:instrText>
            </w:r>
            <w:r>
              <w:rPr>
                <w:noProof/>
                <w:webHidden/>
              </w:rPr>
            </w:r>
            <w:r>
              <w:rPr>
                <w:noProof/>
                <w:webHidden/>
              </w:rPr>
              <w:fldChar w:fldCharType="separate"/>
            </w:r>
            <w:r>
              <w:rPr>
                <w:noProof/>
                <w:webHidden/>
              </w:rPr>
              <w:t>13</w:t>
            </w:r>
            <w:r>
              <w:rPr>
                <w:noProof/>
                <w:webHidden/>
              </w:rPr>
              <w:fldChar w:fldCharType="end"/>
            </w:r>
          </w:hyperlink>
        </w:p>
        <w:p w14:paraId="041E7290" w14:textId="19BC7148" w:rsidR="0050471B" w:rsidRDefault="0050471B">
          <w:pPr>
            <w:pStyle w:val="TOC3"/>
            <w:tabs>
              <w:tab w:val="right" w:leader="dot" w:pos="9350"/>
            </w:tabs>
            <w:rPr>
              <w:rFonts w:eastAsiaTheme="minorEastAsia"/>
              <w:noProof/>
            </w:rPr>
          </w:pPr>
          <w:hyperlink w:anchor="_Toc207541149" w:history="1">
            <w:r w:rsidRPr="00BB58E8">
              <w:rPr>
                <w:rStyle w:val="Hyperlink"/>
                <w:noProof/>
              </w:rPr>
              <w:t>b. Lack of Longitudinal Data</w:t>
            </w:r>
            <w:r>
              <w:rPr>
                <w:noProof/>
                <w:webHidden/>
              </w:rPr>
              <w:tab/>
            </w:r>
            <w:r>
              <w:rPr>
                <w:noProof/>
                <w:webHidden/>
              </w:rPr>
              <w:fldChar w:fldCharType="begin"/>
            </w:r>
            <w:r>
              <w:rPr>
                <w:noProof/>
                <w:webHidden/>
              </w:rPr>
              <w:instrText xml:space="preserve"> PAGEREF _Toc207541149 \h </w:instrText>
            </w:r>
            <w:r>
              <w:rPr>
                <w:noProof/>
                <w:webHidden/>
              </w:rPr>
            </w:r>
            <w:r>
              <w:rPr>
                <w:noProof/>
                <w:webHidden/>
              </w:rPr>
              <w:fldChar w:fldCharType="separate"/>
            </w:r>
            <w:r>
              <w:rPr>
                <w:noProof/>
                <w:webHidden/>
              </w:rPr>
              <w:t>13</w:t>
            </w:r>
            <w:r>
              <w:rPr>
                <w:noProof/>
                <w:webHidden/>
              </w:rPr>
              <w:fldChar w:fldCharType="end"/>
            </w:r>
          </w:hyperlink>
        </w:p>
        <w:p w14:paraId="1F1DB3D0" w14:textId="161292B2" w:rsidR="0050471B" w:rsidRDefault="0050471B">
          <w:pPr>
            <w:pStyle w:val="TOC2"/>
            <w:tabs>
              <w:tab w:val="right" w:leader="dot" w:pos="9350"/>
            </w:tabs>
            <w:rPr>
              <w:rFonts w:eastAsiaTheme="minorEastAsia"/>
              <w:noProof/>
            </w:rPr>
          </w:pPr>
          <w:hyperlink w:anchor="_Toc207541150" w:history="1">
            <w:r w:rsidRPr="00BB58E8">
              <w:rPr>
                <w:rStyle w:val="Hyperlink"/>
                <w:noProof/>
              </w:rPr>
              <w:t>c. Missing Granularity</w:t>
            </w:r>
            <w:r>
              <w:rPr>
                <w:noProof/>
                <w:webHidden/>
              </w:rPr>
              <w:tab/>
            </w:r>
            <w:r>
              <w:rPr>
                <w:noProof/>
                <w:webHidden/>
              </w:rPr>
              <w:fldChar w:fldCharType="begin"/>
            </w:r>
            <w:r>
              <w:rPr>
                <w:noProof/>
                <w:webHidden/>
              </w:rPr>
              <w:instrText xml:space="preserve"> PAGEREF _Toc207541150 \h </w:instrText>
            </w:r>
            <w:r>
              <w:rPr>
                <w:noProof/>
                <w:webHidden/>
              </w:rPr>
            </w:r>
            <w:r>
              <w:rPr>
                <w:noProof/>
                <w:webHidden/>
              </w:rPr>
              <w:fldChar w:fldCharType="separate"/>
            </w:r>
            <w:r>
              <w:rPr>
                <w:noProof/>
                <w:webHidden/>
              </w:rPr>
              <w:t>13</w:t>
            </w:r>
            <w:r>
              <w:rPr>
                <w:noProof/>
                <w:webHidden/>
              </w:rPr>
              <w:fldChar w:fldCharType="end"/>
            </w:r>
          </w:hyperlink>
        </w:p>
        <w:p w14:paraId="51880090" w14:textId="4874BEF5" w:rsidR="0050471B" w:rsidRDefault="0050471B">
          <w:pPr>
            <w:pStyle w:val="TOC3"/>
            <w:tabs>
              <w:tab w:val="right" w:leader="dot" w:pos="9350"/>
            </w:tabs>
            <w:rPr>
              <w:rFonts w:eastAsiaTheme="minorEastAsia"/>
              <w:noProof/>
            </w:rPr>
          </w:pPr>
          <w:hyperlink w:anchor="_Toc207541151" w:history="1">
            <w:r w:rsidRPr="00BB58E8">
              <w:rPr>
                <w:rStyle w:val="Hyperlink"/>
                <w:noProof/>
              </w:rPr>
              <w:t>d. Representation of Industries and Regions</w:t>
            </w:r>
            <w:r>
              <w:rPr>
                <w:noProof/>
                <w:webHidden/>
              </w:rPr>
              <w:tab/>
            </w:r>
            <w:r>
              <w:rPr>
                <w:noProof/>
                <w:webHidden/>
              </w:rPr>
              <w:fldChar w:fldCharType="begin"/>
            </w:r>
            <w:r>
              <w:rPr>
                <w:noProof/>
                <w:webHidden/>
              </w:rPr>
              <w:instrText xml:space="preserve"> PAGEREF _Toc207541151 \h </w:instrText>
            </w:r>
            <w:r>
              <w:rPr>
                <w:noProof/>
                <w:webHidden/>
              </w:rPr>
            </w:r>
            <w:r>
              <w:rPr>
                <w:noProof/>
                <w:webHidden/>
              </w:rPr>
              <w:fldChar w:fldCharType="separate"/>
            </w:r>
            <w:r>
              <w:rPr>
                <w:noProof/>
                <w:webHidden/>
              </w:rPr>
              <w:t>14</w:t>
            </w:r>
            <w:r>
              <w:rPr>
                <w:noProof/>
                <w:webHidden/>
              </w:rPr>
              <w:fldChar w:fldCharType="end"/>
            </w:r>
          </w:hyperlink>
        </w:p>
        <w:p w14:paraId="698A7185" w14:textId="2E526492" w:rsidR="0050471B" w:rsidRDefault="0050471B">
          <w:pPr>
            <w:pStyle w:val="TOC2"/>
            <w:tabs>
              <w:tab w:val="right" w:leader="dot" w:pos="9350"/>
            </w:tabs>
            <w:rPr>
              <w:rFonts w:eastAsiaTheme="minorEastAsia"/>
              <w:noProof/>
            </w:rPr>
          </w:pPr>
          <w:hyperlink w:anchor="_Toc207541152" w:history="1">
            <w:r w:rsidRPr="00BB58E8">
              <w:rPr>
                <w:rStyle w:val="Hyperlink"/>
                <w:noProof/>
              </w:rPr>
              <w:t>2. Methodological Limitations</w:t>
            </w:r>
            <w:r>
              <w:rPr>
                <w:noProof/>
                <w:webHidden/>
              </w:rPr>
              <w:tab/>
            </w:r>
            <w:r>
              <w:rPr>
                <w:noProof/>
                <w:webHidden/>
              </w:rPr>
              <w:fldChar w:fldCharType="begin"/>
            </w:r>
            <w:r>
              <w:rPr>
                <w:noProof/>
                <w:webHidden/>
              </w:rPr>
              <w:instrText xml:space="preserve"> PAGEREF _Toc207541152 \h </w:instrText>
            </w:r>
            <w:r>
              <w:rPr>
                <w:noProof/>
                <w:webHidden/>
              </w:rPr>
            </w:r>
            <w:r>
              <w:rPr>
                <w:noProof/>
                <w:webHidden/>
              </w:rPr>
              <w:fldChar w:fldCharType="separate"/>
            </w:r>
            <w:r>
              <w:rPr>
                <w:noProof/>
                <w:webHidden/>
              </w:rPr>
              <w:t>14</w:t>
            </w:r>
            <w:r>
              <w:rPr>
                <w:noProof/>
                <w:webHidden/>
              </w:rPr>
              <w:fldChar w:fldCharType="end"/>
            </w:r>
          </w:hyperlink>
        </w:p>
        <w:p w14:paraId="7F31FA04" w14:textId="6D261CD2" w:rsidR="0050471B" w:rsidRDefault="0050471B">
          <w:pPr>
            <w:pStyle w:val="TOC3"/>
            <w:tabs>
              <w:tab w:val="right" w:leader="dot" w:pos="9350"/>
            </w:tabs>
            <w:rPr>
              <w:rFonts w:eastAsiaTheme="minorEastAsia"/>
              <w:noProof/>
            </w:rPr>
          </w:pPr>
          <w:hyperlink w:anchor="_Toc207541153" w:history="1">
            <w:r w:rsidRPr="00BB58E8">
              <w:rPr>
                <w:rStyle w:val="Hyperlink"/>
                <w:noProof/>
              </w:rPr>
              <w:t>a. Statistical Generalizability</w:t>
            </w:r>
            <w:r>
              <w:rPr>
                <w:noProof/>
                <w:webHidden/>
              </w:rPr>
              <w:tab/>
            </w:r>
            <w:r>
              <w:rPr>
                <w:noProof/>
                <w:webHidden/>
              </w:rPr>
              <w:fldChar w:fldCharType="begin"/>
            </w:r>
            <w:r>
              <w:rPr>
                <w:noProof/>
                <w:webHidden/>
              </w:rPr>
              <w:instrText xml:space="preserve"> PAGEREF _Toc207541153 \h </w:instrText>
            </w:r>
            <w:r>
              <w:rPr>
                <w:noProof/>
                <w:webHidden/>
              </w:rPr>
            </w:r>
            <w:r>
              <w:rPr>
                <w:noProof/>
                <w:webHidden/>
              </w:rPr>
              <w:fldChar w:fldCharType="separate"/>
            </w:r>
            <w:r>
              <w:rPr>
                <w:noProof/>
                <w:webHidden/>
              </w:rPr>
              <w:t>14</w:t>
            </w:r>
            <w:r>
              <w:rPr>
                <w:noProof/>
                <w:webHidden/>
              </w:rPr>
              <w:fldChar w:fldCharType="end"/>
            </w:r>
          </w:hyperlink>
        </w:p>
        <w:p w14:paraId="3B517193" w14:textId="4CC39220" w:rsidR="0050471B" w:rsidRDefault="0050471B">
          <w:pPr>
            <w:pStyle w:val="TOC3"/>
            <w:tabs>
              <w:tab w:val="right" w:leader="dot" w:pos="9350"/>
            </w:tabs>
            <w:rPr>
              <w:rFonts w:eastAsiaTheme="minorEastAsia"/>
              <w:noProof/>
            </w:rPr>
          </w:pPr>
          <w:hyperlink w:anchor="_Toc207541154" w:history="1">
            <w:r w:rsidRPr="00BB58E8">
              <w:rPr>
                <w:rStyle w:val="Hyperlink"/>
                <w:noProof/>
              </w:rPr>
              <w:t>b. Ordinal and Nominal Variables</w:t>
            </w:r>
            <w:r>
              <w:rPr>
                <w:noProof/>
                <w:webHidden/>
              </w:rPr>
              <w:tab/>
            </w:r>
            <w:r>
              <w:rPr>
                <w:noProof/>
                <w:webHidden/>
              </w:rPr>
              <w:fldChar w:fldCharType="begin"/>
            </w:r>
            <w:r>
              <w:rPr>
                <w:noProof/>
                <w:webHidden/>
              </w:rPr>
              <w:instrText xml:space="preserve"> PAGEREF _Toc207541154 \h </w:instrText>
            </w:r>
            <w:r>
              <w:rPr>
                <w:noProof/>
                <w:webHidden/>
              </w:rPr>
            </w:r>
            <w:r>
              <w:rPr>
                <w:noProof/>
                <w:webHidden/>
              </w:rPr>
              <w:fldChar w:fldCharType="separate"/>
            </w:r>
            <w:r>
              <w:rPr>
                <w:noProof/>
                <w:webHidden/>
              </w:rPr>
              <w:t>14</w:t>
            </w:r>
            <w:r>
              <w:rPr>
                <w:noProof/>
                <w:webHidden/>
              </w:rPr>
              <w:fldChar w:fldCharType="end"/>
            </w:r>
          </w:hyperlink>
        </w:p>
        <w:p w14:paraId="3E7EF3A3" w14:textId="253D9B54" w:rsidR="0050471B" w:rsidRDefault="0050471B">
          <w:pPr>
            <w:pStyle w:val="TOC3"/>
            <w:tabs>
              <w:tab w:val="right" w:leader="dot" w:pos="9350"/>
            </w:tabs>
            <w:rPr>
              <w:rFonts w:eastAsiaTheme="minorEastAsia"/>
              <w:noProof/>
            </w:rPr>
          </w:pPr>
          <w:hyperlink w:anchor="_Toc207541155" w:history="1">
            <w:r w:rsidRPr="00BB58E8">
              <w:rPr>
                <w:rStyle w:val="Hyperlink"/>
                <w:noProof/>
              </w:rPr>
              <w:t>c. Multi-Label Parsing</w:t>
            </w:r>
            <w:r>
              <w:rPr>
                <w:noProof/>
                <w:webHidden/>
              </w:rPr>
              <w:tab/>
            </w:r>
            <w:r>
              <w:rPr>
                <w:noProof/>
                <w:webHidden/>
              </w:rPr>
              <w:fldChar w:fldCharType="begin"/>
            </w:r>
            <w:r>
              <w:rPr>
                <w:noProof/>
                <w:webHidden/>
              </w:rPr>
              <w:instrText xml:space="preserve"> PAGEREF _Toc207541155 \h </w:instrText>
            </w:r>
            <w:r>
              <w:rPr>
                <w:noProof/>
                <w:webHidden/>
              </w:rPr>
            </w:r>
            <w:r>
              <w:rPr>
                <w:noProof/>
                <w:webHidden/>
              </w:rPr>
              <w:fldChar w:fldCharType="separate"/>
            </w:r>
            <w:r>
              <w:rPr>
                <w:noProof/>
                <w:webHidden/>
              </w:rPr>
              <w:t>14</w:t>
            </w:r>
            <w:r>
              <w:rPr>
                <w:noProof/>
                <w:webHidden/>
              </w:rPr>
              <w:fldChar w:fldCharType="end"/>
            </w:r>
          </w:hyperlink>
        </w:p>
        <w:p w14:paraId="275588E3" w14:textId="13002EB2" w:rsidR="0050471B" w:rsidRDefault="0050471B">
          <w:pPr>
            <w:pStyle w:val="TOC3"/>
            <w:tabs>
              <w:tab w:val="right" w:leader="dot" w:pos="9350"/>
            </w:tabs>
            <w:rPr>
              <w:rFonts w:eastAsiaTheme="minorEastAsia"/>
              <w:noProof/>
            </w:rPr>
          </w:pPr>
          <w:hyperlink w:anchor="_Toc207541156" w:history="1">
            <w:r w:rsidRPr="00BB58E8">
              <w:rPr>
                <w:rStyle w:val="Hyperlink"/>
                <w:noProof/>
              </w:rPr>
              <w:t>d. Causality vs. Correlation</w:t>
            </w:r>
            <w:r>
              <w:rPr>
                <w:noProof/>
                <w:webHidden/>
              </w:rPr>
              <w:tab/>
            </w:r>
            <w:r>
              <w:rPr>
                <w:noProof/>
                <w:webHidden/>
              </w:rPr>
              <w:fldChar w:fldCharType="begin"/>
            </w:r>
            <w:r>
              <w:rPr>
                <w:noProof/>
                <w:webHidden/>
              </w:rPr>
              <w:instrText xml:space="preserve"> PAGEREF _Toc207541156 \h </w:instrText>
            </w:r>
            <w:r>
              <w:rPr>
                <w:noProof/>
                <w:webHidden/>
              </w:rPr>
            </w:r>
            <w:r>
              <w:rPr>
                <w:noProof/>
                <w:webHidden/>
              </w:rPr>
              <w:fldChar w:fldCharType="separate"/>
            </w:r>
            <w:r>
              <w:rPr>
                <w:noProof/>
                <w:webHidden/>
              </w:rPr>
              <w:t>14</w:t>
            </w:r>
            <w:r>
              <w:rPr>
                <w:noProof/>
                <w:webHidden/>
              </w:rPr>
              <w:fldChar w:fldCharType="end"/>
            </w:r>
          </w:hyperlink>
        </w:p>
        <w:p w14:paraId="177129AF" w14:textId="336BEA34" w:rsidR="0050471B" w:rsidRDefault="0050471B">
          <w:pPr>
            <w:pStyle w:val="TOC2"/>
            <w:tabs>
              <w:tab w:val="right" w:leader="dot" w:pos="9350"/>
            </w:tabs>
            <w:rPr>
              <w:rFonts w:eastAsiaTheme="minorEastAsia"/>
              <w:noProof/>
            </w:rPr>
          </w:pPr>
          <w:hyperlink w:anchor="_Toc207541157" w:history="1">
            <w:r w:rsidRPr="00BB58E8">
              <w:rPr>
                <w:rStyle w:val="Hyperlink"/>
                <w:noProof/>
              </w:rPr>
              <w:t>3. Ethical and Human Considerations</w:t>
            </w:r>
            <w:r>
              <w:rPr>
                <w:noProof/>
                <w:webHidden/>
              </w:rPr>
              <w:tab/>
            </w:r>
            <w:r>
              <w:rPr>
                <w:noProof/>
                <w:webHidden/>
              </w:rPr>
              <w:fldChar w:fldCharType="begin"/>
            </w:r>
            <w:r>
              <w:rPr>
                <w:noProof/>
                <w:webHidden/>
              </w:rPr>
              <w:instrText xml:space="preserve"> PAGEREF _Toc207541157 \h </w:instrText>
            </w:r>
            <w:r>
              <w:rPr>
                <w:noProof/>
                <w:webHidden/>
              </w:rPr>
            </w:r>
            <w:r>
              <w:rPr>
                <w:noProof/>
                <w:webHidden/>
              </w:rPr>
              <w:fldChar w:fldCharType="separate"/>
            </w:r>
            <w:r>
              <w:rPr>
                <w:noProof/>
                <w:webHidden/>
              </w:rPr>
              <w:t>15</w:t>
            </w:r>
            <w:r>
              <w:rPr>
                <w:noProof/>
                <w:webHidden/>
              </w:rPr>
              <w:fldChar w:fldCharType="end"/>
            </w:r>
          </w:hyperlink>
        </w:p>
        <w:p w14:paraId="6B58E168" w14:textId="2174DD04" w:rsidR="0050471B" w:rsidRDefault="0050471B">
          <w:pPr>
            <w:pStyle w:val="TOC3"/>
            <w:tabs>
              <w:tab w:val="right" w:leader="dot" w:pos="9350"/>
            </w:tabs>
            <w:rPr>
              <w:rFonts w:eastAsiaTheme="minorEastAsia"/>
              <w:noProof/>
            </w:rPr>
          </w:pPr>
          <w:hyperlink w:anchor="_Toc207541158" w:history="1">
            <w:r w:rsidRPr="00BB58E8">
              <w:rPr>
                <w:rStyle w:val="Hyperlink"/>
                <w:noProof/>
              </w:rPr>
              <w:t>a. Sensitivity of Mental Health Data</w:t>
            </w:r>
            <w:r>
              <w:rPr>
                <w:noProof/>
                <w:webHidden/>
              </w:rPr>
              <w:tab/>
            </w:r>
            <w:r>
              <w:rPr>
                <w:noProof/>
                <w:webHidden/>
              </w:rPr>
              <w:fldChar w:fldCharType="begin"/>
            </w:r>
            <w:r>
              <w:rPr>
                <w:noProof/>
                <w:webHidden/>
              </w:rPr>
              <w:instrText xml:space="preserve"> PAGEREF _Toc207541158 \h </w:instrText>
            </w:r>
            <w:r>
              <w:rPr>
                <w:noProof/>
                <w:webHidden/>
              </w:rPr>
            </w:r>
            <w:r>
              <w:rPr>
                <w:noProof/>
                <w:webHidden/>
              </w:rPr>
              <w:fldChar w:fldCharType="separate"/>
            </w:r>
            <w:r>
              <w:rPr>
                <w:noProof/>
                <w:webHidden/>
              </w:rPr>
              <w:t>15</w:t>
            </w:r>
            <w:r>
              <w:rPr>
                <w:noProof/>
                <w:webHidden/>
              </w:rPr>
              <w:fldChar w:fldCharType="end"/>
            </w:r>
          </w:hyperlink>
        </w:p>
        <w:p w14:paraId="4BCC53E2" w14:textId="59B2E08D" w:rsidR="0050471B" w:rsidRDefault="0050471B">
          <w:pPr>
            <w:pStyle w:val="TOC3"/>
            <w:tabs>
              <w:tab w:val="right" w:leader="dot" w:pos="9350"/>
            </w:tabs>
            <w:rPr>
              <w:rFonts w:eastAsiaTheme="minorEastAsia"/>
              <w:noProof/>
            </w:rPr>
          </w:pPr>
          <w:hyperlink w:anchor="_Toc207541159" w:history="1">
            <w:r w:rsidRPr="00BB58E8">
              <w:rPr>
                <w:rStyle w:val="Hyperlink"/>
                <w:noProof/>
              </w:rPr>
              <w:t>b. Organizational Misuse of Findings</w:t>
            </w:r>
            <w:r>
              <w:rPr>
                <w:noProof/>
                <w:webHidden/>
              </w:rPr>
              <w:tab/>
            </w:r>
            <w:r>
              <w:rPr>
                <w:noProof/>
                <w:webHidden/>
              </w:rPr>
              <w:fldChar w:fldCharType="begin"/>
            </w:r>
            <w:r>
              <w:rPr>
                <w:noProof/>
                <w:webHidden/>
              </w:rPr>
              <w:instrText xml:space="preserve"> PAGEREF _Toc207541159 \h </w:instrText>
            </w:r>
            <w:r>
              <w:rPr>
                <w:noProof/>
                <w:webHidden/>
              </w:rPr>
            </w:r>
            <w:r>
              <w:rPr>
                <w:noProof/>
                <w:webHidden/>
              </w:rPr>
              <w:fldChar w:fldCharType="separate"/>
            </w:r>
            <w:r>
              <w:rPr>
                <w:noProof/>
                <w:webHidden/>
              </w:rPr>
              <w:t>15</w:t>
            </w:r>
            <w:r>
              <w:rPr>
                <w:noProof/>
                <w:webHidden/>
              </w:rPr>
              <w:fldChar w:fldCharType="end"/>
            </w:r>
          </w:hyperlink>
        </w:p>
        <w:p w14:paraId="78BADDBD" w14:textId="1FE85610" w:rsidR="0050471B" w:rsidRDefault="0050471B">
          <w:pPr>
            <w:pStyle w:val="TOC2"/>
            <w:tabs>
              <w:tab w:val="right" w:leader="dot" w:pos="9350"/>
            </w:tabs>
            <w:rPr>
              <w:rFonts w:eastAsiaTheme="minorEastAsia"/>
              <w:noProof/>
            </w:rPr>
          </w:pPr>
          <w:hyperlink w:anchor="_Toc207541160" w:history="1">
            <w:r w:rsidRPr="00BB58E8">
              <w:rPr>
                <w:rStyle w:val="Hyperlink"/>
                <w:noProof/>
              </w:rPr>
              <w:t>4. Technological Limitations</w:t>
            </w:r>
            <w:r>
              <w:rPr>
                <w:noProof/>
                <w:webHidden/>
              </w:rPr>
              <w:tab/>
            </w:r>
            <w:r>
              <w:rPr>
                <w:noProof/>
                <w:webHidden/>
              </w:rPr>
              <w:fldChar w:fldCharType="begin"/>
            </w:r>
            <w:r>
              <w:rPr>
                <w:noProof/>
                <w:webHidden/>
              </w:rPr>
              <w:instrText xml:space="preserve"> PAGEREF _Toc207541160 \h </w:instrText>
            </w:r>
            <w:r>
              <w:rPr>
                <w:noProof/>
                <w:webHidden/>
              </w:rPr>
            </w:r>
            <w:r>
              <w:rPr>
                <w:noProof/>
                <w:webHidden/>
              </w:rPr>
              <w:fldChar w:fldCharType="separate"/>
            </w:r>
            <w:r>
              <w:rPr>
                <w:noProof/>
                <w:webHidden/>
              </w:rPr>
              <w:t>15</w:t>
            </w:r>
            <w:r>
              <w:rPr>
                <w:noProof/>
                <w:webHidden/>
              </w:rPr>
              <w:fldChar w:fldCharType="end"/>
            </w:r>
          </w:hyperlink>
        </w:p>
        <w:p w14:paraId="33D9974B" w14:textId="6E304CA9" w:rsidR="0050471B" w:rsidRDefault="0050471B">
          <w:pPr>
            <w:pStyle w:val="TOC3"/>
            <w:tabs>
              <w:tab w:val="right" w:leader="dot" w:pos="9350"/>
            </w:tabs>
            <w:rPr>
              <w:rFonts w:eastAsiaTheme="minorEastAsia"/>
              <w:noProof/>
            </w:rPr>
          </w:pPr>
          <w:hyperlink w:anchor="_Toc207541161" w:history="1">
            <w:r w:rsidRPr="00BB58E8">
              <w:rPr>
                <w:rStyle w:val="Hyperlink"/>
                <w:noProof/>
              </w:rPr>
              <w:t>a. Data Quality and Encoding</w:t>
            </w:r>
            <w:r>
              <w:rPr>
                <w:noProof/>
                <w:webHidden/>
              </w:rPr>
              <w:tab/>
            </w:r>
            <w:r>
              <w:rPr>
                <w:noProof/>
                <w:webHidden/>
              </w:rPr>
              <w:fldChar w:fldCharType="begin"/>
            </w:r>
            <w:r>
              <w:rPr>
                <w:noProof/>
                <w:webHidden/>
              </w:rPr>
              <w:instrText xml:space="preserve"> PAGEREF _Toc207541161 \h </w:instrText>
            </w:r>
            <w:r>
              <w:rPr>
                <w:noProof/>
                <w:webHidden/>
              </w:rPr>
            </w:r>
            <w:r>
              <w:rPr>
                <w:noProof/>
                <w:webHidden/>
              </w:rPr>
              <w:fldChar w:fldCharType="separate"/>
            </w:r>
            <w:r>
              <w:rPr>
                <w:noProof/>
                <w:webHidden/>
              </w:rPr>
              <w:t>15</w:t>
            </w:r>
            <w:r>
              <w:rPr>
                <w:noProof/>
                <w:webHidden/>
              </w:rPr>
              <w:fldChar w:fldCharType="end"/>
            </w:r>
          </w:hyperlink>
        </w:p>
        <w:p w14:paraId="3D8DE6FF" w14:textId="08443417" w:rsidR="0050471B" w:rsidRDefault="0050471B">
          <w:pPr>
            <w:pStyle w:val="TOC3"/>
            <w:tabs>
              <w:tab w:val="right" w:leader="dot" w:pos="9350"/>
            </w:tabs>
            <w:rPr>
              <w:rFonts w:eastAsiaTheme="minorEastAsia"/>
              <w:noProof/>
            </w:rPr>
          </w:pPr>
          <w:hyperlink w:anchor="_Toc207541162" w:history="1">
            <w:r w:rsidRPr="00BB58E8">
              <w:rPr>
                <w:rStyle w:val="Hyperlink"/>
                <w:noProof/>
              </w:rPr>
              <w:t>b. Limitations of Predictive Models</w:t>
            </w:r>
            <w:r>
              <w:rPr>
                <w:noProof/>
                <w:webHidden/>
              </w:rPr>
              <w:tab/>
            </w:r>
            <w:r>
              <w:rPr>
                <w:noProof/>
                <w:webHidden/>
              </w:rPr>
              <w:fldChar w:fldCharType="begin"/>
            </w:r>
            <w:r>
              <w:rPr>
                <w:noProof/>
                <w:webHidden/>
              </w:rPr>
              <w:instrText xml:space="preserve"> PAGEREF _Toc207541162 \h </w:instrText>
            </w:r>
            <w:r>
              <w:rPr>
                <w:noProof/>
                <w:webHidden/>
              </w:rPr>
            </w:r>
            <w:r>
              <w:rPr>
                <w:noProof/>
                <w:webHidden/>
              </w:rPr>
              <w:fldChar w:fldCharType="separate"/>
            </w:r>
            <w:r>
              <w:rPr>
                <w:noProof/>
                <w:webHidden/>
              </w:rPr>
              <w:t>15</w:t>
            </w:r>
            <w:r>
              <w:rPr>
                <w:noProof/>
                <w:webHidden/>
              </w:rPr>
              <w:fldChar w:fldCharType="end"/>
            </w:r>
          </w:hyperlink>
        </w:p>
        <w:p w14:paraId="07E39ACF" w14:textId="780632BB" w:rsidR="0050471B" w:rsidRDefault="0050471B">
          <w:pPr>
            <w:pStyle w:val="TOC3"/>
            <w:tabs>
              <w:tab w:val="right" w:leader="dot" w:pos="9350"/>
            </w:tabs>
            <w:rPr>
              <w:rFonts w:eastAsiaTheme="minorEastAsia"/>
              <w:noProof/>
            </w:rPr>
          </w:pPr>
          <w:hyperlink w:anchor="_Toc207541163" w:history="1">
            <w:r w:rsidRPr="00BB58E8">
              <w:rPr>
                <w:rStyle w:val="Hyperlink"/>
                <w:noProof/>
              </w:rPr>
              <w:t>c. Lack of Real-Time Data</w:t>
            </w:r>
            <w:r>
              <w:rPr>
                <w:noProof/>
                <w:webHidden/>
              </w:rPr>
              <w:tab/>
            </w:r>
            <w:r>
              <w:rPr>
                <w:noProof/>
                <w:webHidden/>
              </w:rPr>
              <w:fldChar w:fldCharType="begin"/>
            </w:r>
            <w:r>
              <w:rPr>
                <w:noProof/>
                <w:webHidden/>
              </w:rPr>
              <w:instrText xml:space="preserve"> PAGEREF _Toc207541163 \h </w:instrText>
            </w:r>
            <w:r>
              <w:rPr>
                <w:noProof/>
                <w:webHidden/>
              </w:rPr>
            </w:r>
            <w:r>
              <w:rPr>
                <w:noProof/>
                <w:webHidden/>
              </w:rPr>
              <w:fldChar w:fldCharType="separate"/>
            </w:r>
            <w:r>
              <w:rPr>
                <w:noProof/>
                <w:webHidden/>
              </w:rPr>
              <w:t>16</w:t>
            </w:r>
            <w:r>
              <w:rPr>
                <w:noProof/>
                <w:webHidden/>
              </w:rPr>
              <w:fldChar w:fldCharType="end"/>
            </w:r>
          </w:hyperlink>
        </w:p>
        <w:p w14:paraId="41B6A654" w14:textId="2CC16A9B" w:rsidR="0050471B" w:rsidRDefault="0050471B">
          <w:pPr>
            <w:pStyle w:val="TOC2"/>
            <w:tabs>
              <w:tab w:val="right" w:leader="dot" w:pos="9350"/>
            </w:tabs>
            <w:rPr>
              <w:rFonts w:eastAsiaTheme="minorEastAsia"/>
              <w:noProof/>
            </w:rPr>
          </w:pPr>
          <w:hyperlink w:anchor="_Toc207541164" w:history="1">
            <w:r w:rsidRPr="00BB58E8">
              <w:rPr>
                <w:rStyle w:val="Hyperlink"/>
                <w:noProof/>
              </w:rPr>
              <w:t>5. Contextual Limitations</w:t>
            </w:r>
            <w:r>
              <w:rPr>
                <w:noProof/>
                <w:webHidden/>
              </w:rPr>
              <w:tab/>
            </w:r>
            <w:r>
              <w:rPr>
                <w:noProof/>
                <w:webHidden/>
              </w:rPr>
              <w:fldChar w:fldCharType="begin"/>
            </w:r>
            <w:r>
              <w:rPr>
                <w:noProof/>
                <w:webHidden/>
              </w:rPr>
              <w:instrText xml:space="preserve"> PAGEREF _Toc207541164 \h </w:instrText>
            </w:r>
            <w:r>
              <w:rPr>
                <w:noProof/>
                <w:webHidden/>
              </w:rPr>
            </w:r>
            <w:r>
              <w:rPr>
                <w:noProof/>
                <w:webHidden/>
              </w:rPr>
              <w:fldChar w:fldCharType="separate"/>
            </w:r>
            <w:r>
              <w:rPr>
                <w:noProof/>
                <w:webHidden/>
              </w:rPr>
              <w:t>16</w:t>
            </w:r>
            <w:r>
              <w:rPr>
                <w:noProof/>
                <w:webHidden/>
              </w:rPr>
              <w:fldChar w:fldCharType="end"/>
            </w:r>
          </w:hyperlink>
        </w:p>
        <w:p w14:paraId="1717C806" w14:textId="543EC444" w:rsidR="0050471B" w:rsidRDefault="0050471B">
          <w:pPr>
            <w:pStyle w:val="TOC3"/>
            <w:tabs>
              <w:tab w:val="right" w:leader="dot" w:pos="9350"/>
            </w:tabs>
            <w:rPr>
              <w:rFonts w:eastAsiaTheme="minorEastAsia"/>
              <w:noProof/>
            </w:rPr>
          </w:pPr>
          <w:hyperlink w:anchor="_Toc207541165" w:history="1">
            <w:r w:rsidRPr="00BB58E8">
              <w:rPr>
                <w:rStyle w:val="Hyperlink"/>
                <w:noProof/>
              </w:rPr>
              <w:t>a. Cultural and Regional Differences</w:t>
            </w:r>
            <w:r>
              <w:rPr>
                <w:noProof/>
                <w:webHidden/>
              </w:rPr>
              <w:tab/>
            </w:r>
            <w:r>
              <w:rPr>
                <w:noProof/>
                <w:webHidden/>
              </w:rPr>
              <w:fldChar w:fldCharType="begin"/>
            </w:r>
            <w:r>
              <w:rPr>
                <w:noProof/>
                <w:webHidden/>
              </w:rPr>
              <w:instrText xml:space="preserve"> PAGEREF _Toc207541165 \h </w:instrText>
            </w:r>
            <w:r>
              <w:rPr>
                <w:noProof/>
                <w:webHidden/>
              </w:rPr>
            </w:r>
            <w:r>
              <w:rPr>
                <w:noProof/>
                <w:webHidden/>
              </w:rPr>
              <w:fldChar w:fldCharType="separate"/>
            </w:r>
            <w:r>
              <w:rPr>
                <w:noProof/>
                <w:webHidden/>
              </w:rPr>
              <w:t>16</w:t>
            </w:r>
            <w:r>
              <w:rPr>
                <w:noProof/>
                <w:webHidden/>
              </w:rPr>
              <w:fldChar w:fldCharType="end"/>
            </w:r>
          </w:hyperlink>
        </w:p>
        <w:p w14:paraId="06614A0D" w14:textId="154E93CD" w:rsidR="0050471B" w:rsidRDefault="0050471B">
          <w:pPr>
            <w:pStyle w:val="TOC3"/>
            <w:tabs>
              <w:tab w:val="right" w:leader="dot" w:pos="9350"/>
            </w:tabs>
            <w:rPr>
              <w:rFonts w:eastAsiaTheme="minorEastAsia"/>
              <w:noProof/>
            </w:rPr>
          </w:pPr>
          <w:hyperlink w:anchor="_Toc207541166" w:history="1">
            <w:r w:rsidRPr="00BB58E8">
              <w:rPr>
                <w:rStyle w:val="Hyperlink"/>
                <w:noProof/>
              </w:rPr>
              <w:t>b. Impact of External Factors</w:t>
            </w:r>
            <w:r>
              <w:rPr>
                <w:noProof/>
                <w:webHidden/>
              </w:rPr>
              <w:tab/>
            </w:r>
            <w:r>
              <w:rPr>
                <w:noProof/>
                <w:webHidden/>
              </w:rPr>
              <w:fldChar w:fldCharType="begin"/>
            </w:r>
            <w:r>
              <w:rPr>
                <w:noProof/>
                <w:webHidden/>
              </w:rPr>
              <w:instrText xml:space="preserve"> PAGEREF _Toc207541166 \h </w:instrText>
            </w:r>
            <w:r>
              <w:rPr>
                <w:noProof/>
                <w:webHidden/>
              </w:rPr>
            </w:r>
            <w:r>
              <w:rPr>
                <w:noProof/>
                <w:webHidden/>
              </w:rPr>
              <w:fldChar w:fldCharType="separate"/>
            </w:r>
            <w:r>
              <w:rPr>
                <w:noProof/>
                <w:webHidden/>
              </w:rPr>
              <w:t>16</w:t>
            </w:r>
            <w:r>
              <w:rPr>
                <w:noProof/>
                <w:webHidden/>
              </w:rPr>
              <w:fldChar w:fldCharType="end"/>
            </w:r>
          </w:hyperlink>
        </w:p>
        <w:p w14:paraId="5D628D38" w14:textId="57F1905A" w:rsidR="0050471B" w:rsidRDefault="0050471B">
          <w:pPr>
            <w:pStyle w:val="TOC1"/>
            <w:tabs>
              <w:tab w:val="right" w:leader="dot" w:pos="9350"/>
            </w:tabs>
            <w:rPr>
              <w:rFonts w:eastAsiaTheme="minorEastAsia"/>
              <w:noProof/>
            </w:rPr>
          </w:pPr>
          <w:hyperlink w:anchor="_Toc207541167" w:history="1">
            <w:r w:rsidRPr="00BB58E8">
              <w:rPr>
                <w:rStyle w:val="Hyperlink"/>
                <w:noProof/>
              </w:rPr>
              <w:t>Ethical Considerations</w:t>
            </w:r>
            <w:r>
              <w:rPr>
                <w:noProof/>
                <w:webHidden/>
              </w:rPr>
              <w:tab/>
            </w:r>
            <w:r>
              <w:rPr>
                <w:noProof/>
                <w:webHidden/>
              </w:rPr>
              <w:fldChar w:fldCharType="begin"/>
            </w:r>
            <w:r>
              <w:rPr>
                <w:noProof/>
                <w:webHidden/>
              </w:rPr>
              <w:instrText xml:space="preserve"> PAGEREF _Toc207541167 \h </w:instrText>
            </w:r>
            <w:r>
              <w:rPr>
                <w:noProof/>
                <w:webHidden/>
              </w:rPr>
            </w:r>
            <w:r>
              <w:rPr>
                <w:noProof/>
                <w:webHidden/>
              </w:rPr>
              <w:fldChar w:fldCharType="separate"/>
            </w:r>
            <w:r>
              <w:rPr>
                <w:noProof/>
                <w:webHidden/>
              </w:rPr>
              <w:t>16</w:t>
            </w:r>
            <w:r>
              <w:rPr>
                <w:noProof/>
                <w:webHidden/>
              </w:rPr>
              <w:fldChar w:fldCharType="end"/>
            </w:r>
          </w:hyperlink>
        </w:p>
        <w:p w14:paraId="28D07589" w14:textId="30B89B36" w:rsidR="0050471B" w:rsidRDefault="0050471B">
          <w:pPr>
            <w:pStyle w:val="TOC2"/>
            <w:tabs>
              <w:tab w:val="right" w:leader="dot" w:pos="9350"/>
            </w:tabs>
            <w:rPr>
              <w:rFonts w:eastAsiaTheme="minorEastAsia"/>
              <w:noProof/>
            </w:rPr>
          </w:pPr>
          <w:hyperlink w:anchor="_Toc207541168" w:history="1">
            <w:r w:rsidRPr="00BB58E8">
              <w:rPr>
                <w:rStyle w:val="Hyperlink"/>
                <w:noProof/>
              </w:rPr>
              <w:t>1. Data Anonymity and Privacy Protection</w:t>
            </w:r>
            <w:r>
              <w:rPr>
                <w:noProof/>
                <w:webHidden/>
              </w:rPr>
              <w:tab/>
            </w:r>
            <w:r>
              <w:rPr>
                <w:noProof/>
                <w:webHidden/>
              </w:rPr>
              <w:fldChar w:fldCharType="begin"/>
            </w:r>
            <w:r>
              <w:rPr>
                <w:noProof/>
                <w:webHidden/>
              </w:rPr>
              <w:instrText xml:space="preserve"> PAGEREF _Toc207541168 \h </w:instrText>
            </w:r>
            <w:r>
              <w:rPr>
                <w:noProof/>
                <w:webHidden/>
              </w:rPr>
            </w:r>
            <w:r>
              <w:rPr>
                <w:noProof/>
                <w:webHidden/>
              </w:rPr>
              <w:fldChar w:fldCharType="separate"/>
            </w:r>
            <w:r>
              <w:rPr>
                <w:noProof/>
                <w:webHidden/>
              </w:rPr>
              <w:t>16</w:t>
            </w:r>
            <w:r>
              <w:rPr>
                <w:noProof/>
                <w:webHidden/>
              </w:rPr>
              <w:fldChar w:fldCharType="end"/>
            </w:r>
          </w:hyperlink>
        </w:p>
        <w:p w14:paraId="6039DA97" w14:textId="3E4255C7" w:rsidR="0050471B" w:rsidRDefault="0050471B">
          <w:pPr>
            <w:pStyle w:val="TOC2"/>
            <w:tabs>
              <w:tab w:val="right" w:leader="dot" w:pos="9350"/>
            </w:tabs>
            <w:rPr>
              <w:rFonts w:eastAsiaTheme="minorEastAsia"/>
              <w:noProof/>
            </w:rPr>
          </w:pPr>
          <w:hyperlink w:anchor="_Toc207541169" w:history="1">
            <w:r w:rsidRPr="00BB58E8">
              <w:rPr>
                <w:rStyle w:val="Hyperlink"/>
                <w:noProof/>
              </w:rPr>
              <w:t>2. Mental Health Reporting and Stigma Prevention</w:t>
            </w:r>
            <w:r>
              <w:rPr>
                <w:noProof/>
                <w:webHidden/>
              </w:rPr>
              <w:tab/>
            </w:r>
            <w:r>
              <w:rPr>
                <w:noProof/>
                <w:webHidden/>
              </w:rPr>
              <w:fldChar w:fldCharType="begin"/>
            </w:r>
            <w:r>
              <w:rPr>
                <w:noProof/>
                <w:webHidden/>
              </w:rPr>
              <w:instrText xml:space="preserve"> PAGEREF _Toc207541169 \h </w:instrText>
            </w:r>
            <w:r>
              <w:rPr>
                <w:noProof/>
                <w:webHidden/>
              </w:rPr>
            </w:r>
            <w:r>
              <w:rPr>
                <w:noProof/>
                <w:webHidden/>
              </w:rPr>
              <w:fldChar w:fldCharType="separate"/>
            </w:r>
            <w:r>
              <w:rPr>
                <w:noProof/>
                <w:webHidden/>
              </w:rPr>
              <w:t>17</w:t>
            </w:r>
            <w:r>
              <w:rPr>
                <w:noProof/>
                <w:webHidden/>
              </w:rPr>
              <w:fldChar w:fldCharType="end"/>
            </w:r>
          </w:hyperlink>
        </w:p>
        <w:p w14:paraId="2683BA2F" w14:textId="16DE8CC8" w:rsidR="0050471B" w:rsidRDefault="0050471B">
          <w:pPr>
            <w:pStyle w:val="TOC2"/>
            <w:tabs>
              <w:tab w:val="right" w:leader="dot" w:pos="9350"/>
            </w:tabs>
            <w:rPr>
              <w:rFonts w:eastAsiaTheme="minorEastAsia"/>
              <w:noProof/>
            </w:rPr>
          </w:pPr>
          <w:hyperlink w:anchor="_Toc207541170" w:history="1">
            <w:r w:rsidRPr="00BB58E8">
              <w:rPr>
                <w:rStyle w:val="Hyperlink"/>
                <w:noProof/>
              </w:rPr>
              <w:t>3. Addressing Sampling Bias and Representativeness</w:t>
            </w:r>
            <w:r>
              <w:rPr>
                <w:noProof/>
                <w:webHidden/>
              </w:rPr>
              <w:tab/>
            </w:r>
            <w:r>
              <w:rPr>
                <w:noProof/>
                <w:webHidden/>
              </w:rPr>
              <w:fldChar w:fldCharType="begin"/>
            </w:r>
            <w:r>
              <w:rPr>
                <w:noProof/>
                <w:webHidden/>
              </w:rPr>
              <w:instrText xml:space="preserve"> PAGEREF _Toc207541170 \h </w:instrText>
            </w:r>
            <w:r>
              <w:rPr>
                <w:noProof/>
                <w:webHidden/>
              </w:rPr>
            </w:r>
            <w:r>
              <w:rPr>
                <w:noProof/>
                <w:webHidden/>
              </w:rPr>
              <w:fldChar w:fldCharType="separate"/>
            </w:r>
            <w:r>
              <w:rPr>
                <w:noProof/>
                <w:webHidden/>
              </w:rPr>
              <w:t>17</w:t>
            </w:r>
            <w:r>
              <w:rPr>
                <w:noProof/>
                <w:webHidden/>
              </w:rPr>
              <w:fldChar w:fldCharType="end"/>
            </w:r>
          </w:hyperlink>
        </w:p>
        <w:p w14:paraId="268A630F" w14:textId="08237025" w:rsidR="0050471B" w:rsidRDefault="0050471B">
          <w:pPr>
            <w:pStyle w:val="TOC2"/>
            <w:tabs>
              <w:tab w:val="right" w:leader="dot" w:pos="9350"/>
            </w:tabs>
            <w:rPr>
              <w:rFonts w:eastAsiaTheme="minorEastAsia"/>
              <w:noProof/>
            </w:rPr>
          </w:pPr>
          <w:hyperlink w:anchor="_Toc207541171" w:history="1">
            <w:r w:rsidRPr="00BB58E8">
              <w:rPr>
                <w:rStyle w:val="Hyperlink"/>
                <w:noProof/>
              </w:rPr>
              <w:t>4. Responsible Use of AI and Predictive Models</w:t>
            </w:r>
            <w:r>
              <w:rPr>
                <w:noProof/>
                <w:webHidden/>
              </w:rPr>
              <w:tab/>
            </w:r>
            <w:r>
              <w:rPr>
                <w:noProof/>
                <w:webHidden/>
              </w:rPr>
              <w:fldChar w:fldCharType="begin"/>
            </w:r>
            <w:r>
              <w:rPr>
                <w:noProof/>
                <w:webHidden/>
              </w:rPr>
              <w:instrText xml:space="preserve"> PAGEREF _Toc207541171 \h </w:instrText>
            </w:r>
            <w:r>
              <w:rPr>
                <w:noProof/>
                <w:webHidden/>
              </w:rPr>
            </w:r>
            <w:r>
              <w:rPr>
                <w:noProof/>
                <w:webHidden/>
              </w:rPr>
              <w:fldChar w:fldCharType="separate"/>
            </w:r>
            <w:r>
              <w:rPr>
                <w:noProof/>
                <w:webHidden/>
              </w:rPr>
              <w:t>18</w:t>
            </w:r>
            <w:r>
              <w:rPr>
                <w:noProof/>
                <w:webHidden/>
              </w:rPr>
              <w:fldChar w:fldCharType="end"/>
            </w:r>
          </w:hyperlink>
        </w:p>
        <w:p w14:paraId="260702F4" w14:textId="42A18964" w:rsidR="0050471B" w:rsidRDefault="0050471B">
          <w:pPr>
            <w:pStyle w:val="TOC2"/>
            <w:tabs>
              <w:tab w:val="right" w:leader="dot" w:pos="9350"/>
            </w:tabs>
            <w:rPr>
              <w:rFonts w:eastAsiaTheme="minorEastAsia"/>
              <w:noProof/>
            </w:rPr>
          </w:pPr>
          <w:hyperlink w:anchor="_Toc207541172" w:history="1">
            <w:r w:rsidRPr="00BB58E8">
              <w:rPr>
                <w:rStyle w:val="Hyperlink"/>
                <w:noProof/>
              </w:rPr>
              <w:t>5. Transparency and Reproducibility</w:t>
            </w:r>
            <w:r>
              <w:rPr>
                <w:noProof/>
                <w:webHidden/>
              </w:rPr>
              <w:tab/>
            </w:r>
            <w:r>
              <w:rPr>
                <w:noProof/>
                <w:webHidden/>
              </w:rPr>
              <w:fldChar w:fldCharType="begin"/>
            </w:r>
            <w:r>
              <w:rPr>
                <w:noProof/>
                <w:webHidden/>
              </w:rPr>
              <w:instrText xml:space="preserve"> PAGEREF _Toc207541172 \h </w:instrText>
            </w:r>
            <w:r>
              <w:rPr>
                <w:noProof/>
                <w:webHidden/>
              </w:rPr>
            </w:r>
            <w:r>
              <w:rPr>
                <w:noProof/>
                <w:webHidden/>
              </w:rPr>
              <w:fldChar w:fldCharType="separate"/>
            </w:r>
            <w:r>
              <w:rPr>
                <w:noProof/>
                <w:webHidden/>
              </w:rPr>
              <w:t>18</w:t>
            </w:r>
            <w:r>
              <w:rPr>
                <w:noProof/>
                <w:webHidden/>
              </w:rPr>
              <w:fldChar w:fldCharType="end"/>
            </w:r>
          </w:hyperlink>
        </w:p>
        <w:p w14:paraId="76090F92" w14:textId="5D866DF8" w:rsidR="0050471B" w:rsidRDefault="0050471B">
          <w:pPr>
            <w:pStyle w:val="TOC2"/>
            <w:tabs>
              <w:tab w:val="right" w:leader="dot" w:pos="9350"/>
            </w:tabs>
            <w:rPr>
              <w:rFonts w:eastAsiaTheme="minorEastAsia"/>
              <w:noProof/>
            </w:rPr>
          </w:pPr>
          <w:hyperlink w:anchor="_Toc207541173" w:history="1">
            <w:r w:rsidRPr="00BB58E8">
              <w:rPr>
                <w:rStyle w:val="Hyperlink"/>
                <w:noProof/>
              </w:rPr>
              <w:t>6. Organizational Responsibility and Misuse Prevention</w:t>
            </w:r>
            <w:r>
              <w:rPr>
                <w:noProof/>
                <w:webHidden/>
              </w:rPr>
              <w:tab/>
            </w:r>
            <w:r>
              <w:rPr>
                <w:noProof/>
                <w:webHidden/>
              </w:rPr>
              <w:fldChar w:fldCharType="begin"/>
            </w:r>
            <w:r>
              <w:rPr>
                <w:noProof/>
                <w:webHidden/>
              </w:rPr>
              <w:instrText xml:space="preserve"> PAGEREF _Toc207541173 \h </w:instrText>
            </w:r>
            <w:r>
              <w:rPr>
                <w:noProof/>
                <w:webHidden/>
              </w:rPr>
            </w:r>
            <w:r>
              <w:rPr>
                <w:noProof/>
                <w:webHidden/>
              </w:rPr>
              <w:fldChar w:fldCharType="separate"/>
            </w:r>
            <w:r>
              <w:rPr>
                <w:noProof/>
                <w:webHidden/>
              </w:rPr>
              <w:t>18</w:t>
            </w:r>
            <w:r>
              <w:rPr>
                <w:noProof/>
                <w:webHidden/>
              </w:rPr>
              <w:fldChar w:fldCharType="end"/>
            </w:r>
          </w:hyperlink>
        </w:p>
        <w:p w14:paraId="54A75870" w14:textId="68AFD00C" w:rsidR="0050471B" w:rsidRDefault="0050471B">
          <w:pPr>
            <w:pStyle w:val="TOC2"/>
            <w:tabs>
              <w:tab w:val="right" w:leader="dot" w:pos="9350"/>
            </w:tabs>
            <w:rPr>
              <w:rFonts w:eastAsiaTheme="minorEastAsia"/>
              <w:noProof/>
            </w:rPr>
          </w:pPr>
          <w:hyperlink w:anchor="_Toc207541174" w:history="1">
            <w:r w:rsidRPr="00BB58E8">
              <w:rPr>
                <w:rStyle w:val="Hyperlink"/>
                <w:noProof/>
              </w:rPr>
              <w:t>7. Broader Ethical Commitment</w:t>
            </w:r>
            <w:r>
              <w:rPr>
                <w:noProof/>
                <w:webHidden/>
              </w:rPr>
              <w:tab/>
            </w:r>
            <w:r>
              <w:rPr>
                <w:noProof/>
                <w:webHidden/>
              </w:rPr>
              <w:fldChar w:fldCharType="begin"/>
            </w:r>
            <w:r>
              <w:rPr>
                <w:noProof/>
                <w:webHidden/>
              </w:rPr>
              <w:instrText xml:space="preserve"> PAGEREF _Toc207541174 \h </w:instrText>
            </w:r>
            <w:r>
              <w:rPr>
                <w:noProof/>
                <w:webHidden/>
              </w:rPr>
            </w:r>
            <w:r>
              <w:rPr>
                <w:noProof/>
                <w:webHidden/>
              </w:rPr>
              <w:fldChar w:fldCharType="separate"/>
            </w:r>
            <w:r>
              <w:rPr>
                <w:noProof/>
                <w:webHidden/>
              </w:rPr>
              <w:t>19</w:t>
            </w:r>
            <w:r>
              <w:rPr>
                <w:noProof/>
                <w:webHidden/>
              </w:rPr>
              <w:fldChar w:fldCharType="end"/>
            </w:r>
          </w:hyperlink>
        </w:p>
        <w:p w14:paraId="32F89907" w14:textId="4C3D41D6" w:rsidR="0050471B" w:rsidRDefault="0050471B">
          <w:pPr>
            <w:pStyle w:val="TOC2"/>
            <w:tabs>
              <w:tab w:val="right" w:leader="dot" w:pos="9350"/>
            </w:tabs>
            <w:rPr>
              <w:rFonts w:eastAsiaTheme="minorEastAsia"/>
              <w:noProof/>
            </w:rPr>
          </w:pPr>
          <w:hyperlink w:anchor="_Toc207541175" w:history="1">
            <w:r w:rsidRPr="00BB58E8">
              <w:rPr>
                <w:rStyle w:val="Hyperlink"/>
                <w:noProof/>
              </w:rPr>
              <w:t>Results and Discussion</w:t>
            </w:r>
            <w:r>
              <w:rPr>
                <w:noProof/>
                <w:webHidden/>
              </w:rPr>
              <w:tab/>
            </w:r>
            <w:r>
              <w:rPr>
                <w:noProof/>
                <w:webHidden/>
              </w:rPr>
              <w:fldChar w:fldCharType="begin"/>
            </w:r>
            <w:r>
              <w:rPr>
                <w:noProof/>
                <w:webHidden/>
              </w:rPr>
              <w:instrText xml:space="preserve"> PAGEREF _Toc207541175 \h </w:instrText>
            </w:r>
            <w:r>
              <w:rPr>
                <w:noProof/>
                <w:webHidden/>
              </w:rPr>
            </w:r>
            <w:r>
              <w:rPr>
                <w:noProof/>
                <w:webHidden/>
              </w:rPr>
              <w:fldChar w:fldCharType="separate"/>
            </w:r>
            <w:r>
              <w:rPr>
                <w:noProof/>
                <w:webHidden/>
              </w:rPr>
              <w:t>20</w:t>
            </w:r>
            <w:r>
              <w:rPr>
                <w:noProof/>
                <w:webHidden/>
              </w:rPr>
              <w:fldChar w:fldCharType="end"/>
            </w:r>
          </w:hyperlink>
        </w:p>
        <w:p w14:paraId="0613814E" w14:textId="37E49F64" w:rsidR="0050471B" w:rsidRDefault="0050471B">
          <w:pPr>
            <w:pStyle w:val="TOC3"/>
            <w:tabs>
              <w:tab w:val="right" w:leader="dot" w:pos="9350"/>
            </w:tabs>
            <w:rPr>
              <w:rFonts w:eastAsiaTheme="minorEastAsia"/>
              <w:noProof/>
            </w:rPr>
          </w:pPr>
          <w:hyperlink w:anchor="_Toc207541176" w:history="1">
            <w:r w:rsidRPr="00BB58E8">
              <w:rPr>
                <w:rStyle w:val="Hyperlink"/>
                <w:noProof/>
              </w:rPr>
              <w:t>Introduction to Results</w:t>
            </w:r>
            <w:r>
              <w:rPr>
                <w:noProof/>
                <w:webHidden/>
              </w:rPr>
              <w:tab/>
            </w:r>
            <w:r>
              <w:rPr>
                <w:noProof/>
                <w:webHidden/>
              </w:rPr>
              <w:fldChar w:fldCharType="begin"/>
            </w:r>
            <w:r>
              <w:rPr>
                <w:noProof/>
                <w:webHidden/>
              </w:rPr>
              <w:instrText xml:space="preserve"> PAGEREF _Toc207541176 \h </w:instrText>
            </w:r>
            <w:r>
              <w:rPr>
                <w:noProof/>
                <w:webHidden/>
              </w:rPr>
            </w:r>
            <w:r>
              <w:rPr>
                <w:noProof/>
                <w:webHidden/>
              </w:rPr>
              <w:fldChar w:fldCharType="separate"/>
            </w:r>
            <w:r>
              <w:rPr>
                <w:noProof/>
                <w:webHidden/>
              </w:rPr>
              <w:t>20</w:t>
            </w:r>
            <w:r>
              <w:rPr>
                <w:noProof/>
                <w:webHidden/>
              </w:rPr>
              <w:fldChar w:fldCharType="end"/>
            </w:r>
          </w:hyperlink>
        </w:p>
        <w:p w14:paraId="3554460F" w14:textId="6087B2EF" w:rsidR="0050471B" w:rsidRDefault="0050471B">
          <w:pPr>
            <w:pStyle w:val="TOC3"/>
            <w:tabs>
              <w:tab w:val="right" w:leader="dot" w:pos="9350"/>
            </w:tabs>
            <w:rPr>
              <w:rFonts w:eastAsiaTheme="minorEastAsia"/>
              <w:noProof/>
            </w:rPr>
          </w:pPr>
          <w:hyperlink w:anchor="_Toc207541177" w:history="1">
            <w:r w:rsidRPr="00BB58E8">
              <w:rPr>
                <w:rStyle w:val="Hyperlink"/>
                <w:noProof/>
              </w:rPr>
              <w:t>Descriptive Statistics</w:t>
            </w:r>
            <w:r>
              <w:rPr>
                <w:noProof/>
                <w:webHidden/>
              </w:rPr>
              <w:tab/>
            </w:r>
            <w:r>
              <w:rPr>
                <w:noProof/>
                <w:webHidden/>
              </w:rPr>
              <w:fldChar w:fldCharType="begin"/>
            </w:r>
            <w:r>
              <w:rPr>
                <w:noProof/>
                <w:webHidden/>
              </w:rPr>
              <w:instrText xml:space="preserve"> PAGEREF _Toc207541177 \h </w:instrText>
            </w:r>
            <w:r>
              <w:rPr>
                <w:noProof/>
                <w:webHidden/>
              </w:rPr>
            </w:r>
            <w:r>
              <w:rPr>
                <w:noProof/>
                <w:webHidden/>
              </w:rPr>
              <w:fldChar w:fldCharType="separate"/>
            </w:r>
            <w:r>
              <w:rPr>
                <w:noProof/>
                <w:webHidden/>
              </w:rPr>
              <w:t>20</w:t>
            </w:r>
            <w:r>
              <w:rPr>
                <w:noProof/>
                <w:webHidden/>
              </w:rPr>
              <w:fldChar w:fldCharType="end"/>
            </w:r>
          </w:hyperlink>
        </w:p>
        <w:p w14:paraId="7D10742E" w14:textId="7CB147AB" w:rsidR="0050471B" w:rsidRDefault="0050471B">
          <w:pPr>
            <w:pStyle w:val="TOC3"/>
            <w:tabs>
              <w:tab w:val="right" w:leader="dot" w:pos="9350"/>
            </w:tabs>
            <w:rPr>
              <w:rFonts w:eastAsiaTheme="minorEastAsia"/>
              <w:noProof/>
            </w:rPr>
          </w:pPr>
          <w:hyperlink w:anchor="_Toc207541178" w:history="1">
            <w:r w:rsidRPr="00BB58E8">
              <w:rPr>
                <w:rStyle w:val="Hyperlink"/>
                <w:noProof/>
              </w:rPr>
              <w:t>Findings and Decision</w:t>
            </w:r>
            <w:r>
              <w:rPr>
                <w:noProof/>
                <w:webHidden/>
              </w:rPr>
              <w:tab/>
            </w:r>
            <w:r>
              <w:rPr>
                <w:noProof/>
                <w:webHidden/>
              </w:rPr>
              <w:fldChar w:fldCharType="begin"/>
            </w:r>
            <w:r>
              <w:rPr>
                <w:noProof/>
                <w:webHidden/>
              </w:rPr>
              <w:instrText xml:space="preserve"> PAGEREF _Toc207541178 \h </w:instrText>
            </w:r>
            <w:r>
              <w:rPr>
                <w:noProof/>
                <w:webHidden/>
              </w:rPr>
            </w:r>
            <w:r>
              <w:rPr>
                <w:noProof/>
                <w:webHidden/>
              </w:rPr>
              <w:fldChar w:fldCharType="separate"/>
            </w:r>
            <w:r>
              <w:rPr>
                <w:noProof/>
                <w:webHidden/>
              </w:rPr>
              <w:t>29</w:t>
            </w:r>
            <w:r>
              <w:rPr>
                <w:noProof/>
                <w:webHidden/>
              </w:rPr>
              <w:fldChar w:fldCharType="end"/>
            </w:r>
          </w:hyperlink>
        </w:p>
        <w:p w14:paraId="7B45F488" w14:textId="72DC7F29" w:rsidR="0050471B" w:rsidRDefault="0050471B">
          <w:pPr>
            <w:pStyle w:val="TOC3"/>
            <w:tabs>
              <w:tab w:val="right" w:leader="dot" w:pos="9350"/>
            </w:tabs>
            <w:rPr>
              <w:rFonts w:eastAsiaTheme="minorEastAsia"/>
              <w:noProof/>
            </w:rPr>
          </w:pPr>
          <w:hyperlink w:anchor="_Toc207541179" w:history="1">
            <w:r w:rsidRPr="00BB58E8">
              <w:rPr>
                <w:rStyle w:val="Hyperlink"/>
                <w:noProof/>
              </w:rPr>
              <w:t>Cross-Hypothesis Synthesis</w:t>
            </w:r>
            <w:r>
              <w:rPr>
                <w:noProof/>
                <w:webHidden/>
              </w:rPr>
              <w:tab/>
            </w:r>
            <w:r>
              <w:rPr>
                <w:noProof/>
                <w:webHidden/>
              </w:rPr>
              <w:fldChar w:fldCharType="begin"/>
            </w:r>
            <w:r>
              <w:rPr>
                <w:noProof/>
                <w:webHidden/>
              </w:rPr>
              <w:instrText xml:space="preserve"> PAGEREF _Toc207541179 \h </w:instrText>
            </w:r>
            <w:r>
              <w:rPr>
                <w:noProof/>
                <w:webHidden/>
              </w:rPr>
            </w:r>
            <w:r>
              <w:rPr>
                <w:noProof/>
                <w:webHidden/>
              </w:rPr>
              <w:fldChar w:fldCharType="separate"/>
            </w:r>
            <w:r>
              <w:rPr>
                <w:noProof/>
                <w:webHidden/>
              </w:rPr>
              <w:t>34</w:t>
            </w:r>
            <w:r>
              <w:rPr>
                <w:noProof/>
                <w:webHidden/>
              </w:rPr>
              <w:fldChar w:fldCharType="end"/>
            </w:r>
          </w:hyperlink>
        </w:p>
        <w:p w14:paraId="45C2EDEE" w14:textId="7E6946A9" w:rsidR="0050471B" w:rsidRDefault="0050471B">
          <w:pPr>
            <w:pStyle w:val="TOC3"/>
            <w:tabs>
              <w:tab w:val="right" w:leader="dot" w:pos="9350"/>
            </w:tabs>
            <w:rPr>
              <w:rFonts w:eastAsiaTheme="minorEastAsia"/>
              <w:noProof/>
            </w:rPr>
          </w:pPr>
          <w:hyperlink w:anchor="_Toc207541180" w:history="1">
            <w:r w:rsidRPr="00BB58E8">
              <w:rPr>
                <w:rStyle w:val="Hyperlink"/>
                <w:noProof/>
              </w:rPr>
              <w:t>Ethical and Practical Reflections</w:t>
            </w:r>
            <w:r>
              <w:rPr>
                <w:noProof/>
                <w:webHidden/>
              </w:rPr>
              <w:tab/>
            </w:r>
            <w:r>
              <w:rPr>
                <w:noProof/>
                <w:webHidden/>
              </w:rPr>
              <w:fldChar w:fldCharType="begin"/>
            </w:r>
            <w:r>
              <w:rPr>
                <w:noProof/>
                <w:webHidden/>
              </w:rPr>
              <w:instrText xml:space="preserve"> PAGEREF _Toc207541180 \h </w:instrText>
            </w:r>
            <w:r>
              <w:rPr>
                <w:noProof/>
                <w:webHidden/>
              </w:rPr>
            </w:r>
            <w:r>
              <w:rPr>
                <w:noProof/>
                <w:webHidden/>
              </w:rPr>
              <w:fldChar w:fldCharType="separate"/>
            </w:r>
            <w:r>
              <w:rPr>
                <w:noProof/>
                <w:webHidden/>
              </w:rPr>
              <w:t>35</w:t>
            </w:r>
            <w:r>
              <w:rPr>
                <w:noProof/>
                <w:webHidden/>
              </w:rPr>
              <w:fldChar w:fldCharType="end"/>
            </w:r>
          </w:hyperlink>
        </w:p>
        <w:p w14:paraId="622EAC49" w14:textId="5C6CF441" w:rsidR="0050471B" w:rsidRDefault="0050471B">
          <w:pPr>
            <w:pStyle w:val="TOC3"/>
            <w:tabs>
              <w:tab w:val="right" w:leader="dot" w:pos="9350"/>
            </w:tabs>
            <w:rPr>
              <w:rFonts w:eastAsiaTheme="minorEastAsia"/>
              <w:noProof/>
            </w:rPr>
          </w:pPr>
          <w:hyperlink w:anchor="_Toc207541181" w:history="1">
            <w:r w:rsidRPr="00BB58E8">
              <w:rPr>
                <w:rStyle w:val="Hyperlink"/>
                <w:noProof/>
              </w:rPr>
              <w:t>Conclusion of Hypotheses Evaluation</w:t>
            </w:r>
            <w:r>
              <w:rPr>
                <w:noProof/>
                <w:webHidden/>
              </w:rPr>
              <w:tab/>
            </w:r>
            <w:r>
              <w:rPr>
                <w:noProof/>
                <w:webHidden/>
              </w:rPr>
              <w:fldChar w:fldCharType="begin"/>
            </w:r>
            <w:r>
              <w:rPr>
                <w:noProof/>
                <w:webHidden/>
              </w:rPr>
              <w:instrText xml:space="preserve"> PAGEREF _Toc207541181 \h </w:instrText>
            </w:r>
            <w:r>
              <w:rPr>
                <w:noProof/>
                <w:webHidden/>
              </w:rPr>
            </w:r>
            <w:r>
              <w:rPr>
                <w:noProof/>
                <w:webHidden/>
              </w:rPr>
              <w:fldChar w:fldCharType="separate"/>
            </w:r>
            <w:r>
              <w:rPr>
                <w:noProof/>
                <w:webHidden/>
              </w:rPr>
              <w:t>35</w:t>
            </w:r>
            <w:r>
              <w:rPr>
                <w:noProof/>
                <w:webHidden/>
              </w:rPr>
              <w:fldChar w:fldCharType="end"/>
            </w:r>
          </w:hyperlink>
        </w:p>
        <w:p w14:paraId="33944AC8" w14:textId="5DC81C24" w:rsidR="0050471B" w:rsidRDefault="0050471B">
          <w:pPr>
            <w:pStyle w:val="TOC3"/>
            <w:tabs>
              <w:tab w:val="right" w:leader="dot" w:pos="9350"/>
            </w:tabs>
            <w:rPr>
              <w:rFonts w:eastAsiaTheme="minorEastAsia"/>
              <w:noProof/>
            </w:rPr>
          </w:pPr>
          <w:hyperlink w:anchor="_Toc207541182" w:history="1">
            <w:r w:rsidRPr="00BB58E8">
              <w:rPr>
                <w:rStyle w:val="Hyperlink"/>
                <w:noProof/>
              </w:rPr>
              <w:t>Conclusion</w:t>
            </w:r>
            <w:r>
              <w:rPr>
                <w:noProof/>
                <w:webHidden/>
              </w:rPr>
              <w:tab/>
            </w:r>
            <w:r>
              <w:rPr>
                <w:noProof/>
                <w:webHidden/>
              </w:rPr>
              <w:fldChar w:fldCharType="begin"/>
            </w:r>
            <w:r>
              <w:rPr>
                <w:noProof/>
                <w:webHidden/>
              </w:rPr>
              <w:instrText xml:space="preserve"> PAGEREF _Toc207541182 \h </w:instrText>
            </w:r>
            <w:r>
              <w:rPr>
                <w:noProof/>
                <w:webHidden/>
              </w:rPr>
            </w:r>
            <w:r>
              <w:rPr>
                <w:noProof/>
                <w:webHidden/>
              </w:rPr>
              <w:fldChar w:fldCharType="separate"/>
            </w:r>
            <w:r>
              <w:rPr>
                <w:noProof/>
                <w:webHidden/>
              </w:rPr>
              <w:t>35</w:t>
            </w:r>
            <w:r>
              <w:rPr>
                <w:noProof/>
                <w:webHidden/>
              </w:rPr>
              <w:fldChar w:fldCharType="end"/>
            </w:r>
          </w:hyperlink>
        </w:p>
        <w:p w14:paraId="5B05A176" w14:textId="6DCDB17E" w:rsidR="0050471B" w:rsidRDefault="0050471B">
          <w:pPr>
            <w:pStyle w:val="TOC3"/>
            <w:tabs>
              <w:tab w:val="right" w:leader="dot" w:pos="9350"/>
            </w:tabs>
            <w:rPr>
              <w:rFonts w:eastAsiaTheme="minorEastAsia"/>
              <w:noProof/>
            </w:rPr>
          </w:pPr>
          <w:hyperlink w:anchor="_Toc207541183" w:history="1">
            <w:r w:rsidRPr="00BB58E8">
              <w:rPr>
                <w:rStyle w:val="Hyperlink"/>
                <w:noProof/>
              </w:rPr>
              <w:t>Recommendations</w:t>
            </w:r>
            <w:r>
              <w:rPr>
                <w:noProof/>
                <w:webHidden/>
              </w:rPr>
              <w:tab/>
            </w:r>
            <w:r>
              <w:rPr>
                <w:noProof/>
                <w:webHidden/>
              </w:rPr>
              <w:fldChar w:fldCharType="begin"/>
            </w:r>
            <w:r>
              <w:rPr>
                <w:noProof/>
                <w:webHidden/>
              </w:rPr>
              <w:instrText xml:space="preserve"> PAGEREF _Toc207541183 \h </w:instrText>
            </w:r>
            <w:r>
              <w:rPr>
                <w:noProof/>
                <w:webHidden/>
              </w:rPr>
            </w:r>
            <w:r>
              <w:rPr>
                <w:noProof/>
                <w:webHidden/>
              </w:rPr>
              <w:fldChar w:fldCharType="separate"/>
            </w:r>
            <w:r>
              <w:rPr>
                <w:noProof/>
                <w:webHidden/>
              </w:rPr>
              <w:t>37</w:t>
            </w:r>
            <w:r>
              <w:rPr>
                <w:noProof/>
                <w:webHidden/>
              </w:rPr>
              <w:fldChar w:fldCharType="end"/>
            </w:r>
          </w:hyperlink>
        </w:p>
        <w:p w14:paraId="02101EA9" w14:textId="4DAB5492" w:rsidR="0050471B" w:rsidRDefault="0050471B">
          <w:pPr>
            <w:pStyle w:val="TOC1"/>
            <w:tabs>
              <w:tab w:val="right" w:leader="dot" w:pos="9350"/>
            </w:tabs>
            <w:rPr>
              <w:rFonts w:eastAsiaTheme="minorEastAsia"/>
              <w:noProof/>
            </w:rPr>
          </w:pPr>
          <w:hyperlink w:anchor="_Toc207541184" w:history="1">
            <w:r w:rsidRPr="00BB58E8">
              <w:rPr>
                <w:rStyle w:val="Hyperlink"/>
                <w:noProof/>
              </w:rPr>
              <w:t>References</w:t>
            </w:r>
            <w:r>
              <w:rPr>
                <w:noProof/>
                <w:webHidden/>
              </w:rPr>
              <w:tab/>
            </w:r>
            <w:r>
              <w:rPr>
                <w:noProof/>
                <w:webHidden/>
              </w:rPr>
              <w:fldChar w:fldCharType="begin"/>
            </w:r>
            <w:r>
              <w:rPr>
                <w:noProof/>
                <w:webHidden/>
              </w:rPr>
              <w:instrText xml:space="preserve"> PAGEREF _Toc207541184 \h </w:instrText>
            </w:r>
            <w:r>
              <w:rPr>
                <w:noProof/>
                <w:webHidden/>
              </w:rPr>
            </w:r>
            <w:r>
              <w:rPr>
                <w:noProof/>
                <w:webHidden/>
              </w:rPr>
              <w:fldChar w:fldCharType="separate"/>
            </w:r>
            <w:r>
              <w:rPr>
                <w:noProof/>
                <w:webHidden/>
              </w:rPr>
              <w:t>40</w:t>
            </w:r>
            <w:r>
              <w:rPr>
                <w:noProof/>
                <w:webHidden/>
              </w:rPr>
              <w:fldChar w:fldCharType="end"/>
            </w:r>
          </w:hyperlink>
        </w:p>
        <w:p w14:paraId="3C56A60F" w14:textId="3F74F75C" w:rsidR="00603137" w:rsidRDefault="00603137">
          <w:r>
            <w:rPr>
              <w:b/>
              <w:bCs/>
              <w:noProof/>
            </w:rPr>
            <w:fldChar w:fldCharType="end"/>
          </w:r>
        </w:p>
      </w:sdtContent>
    </w:sdt>
    <w:p w14:paraId="0284C104" w14:textId="11C62527" w:rsidR="00603137" w:rsidRDefault="00603137" w:rsidP="00603137">
      <w:pPr>
        <w:jc w:val="center"/>
      </w:pPr>
    </w:p>
    <w:p w14:paraId="798C07CE" w14:textId="77777777" w:rsidR="00603137" w:rsidRDefault="00603137">
      <w:r>
        <w:br w:type="page"/>
      </w:r>
    </w:p>
    <w:p w14:paraId="3626B05C" w14:textId="77777777" w:rsidR="0050471B" w:rsidRDefault="0050471B" w:rsidP="0050471B">
      <w:pPr>
        <w:pStyle w:val="Heading1"/>
      </w:pPr>
      <w:bookmarkStart w:id="0" w:name="_Toc207541132"/>
      <w:r>
        <w:lastRenderedPageBreak/>
        <w:t>Abstract</w:t>
      </w:r>
      <w:bookmarkEnd w:id="0"/>
    </w:p>
    <w:p w14:paraId="0548919E" w14:textId="77777777" w:rsidR="0050471B" w:rsidRDefault="0050471B" w:rsidP="0050471B">
      <w:r>
        <w:t>The rise of remote and hybrid work following the COVID-19 pandemic represents one of the most significant transformations in organizational life in the 21st century. While flexible work structures offer advantages such as reduced commuting time and broader talent access, their long-term implications for employee health remain insufficiently understood. This Capstone Project investigates the relationships between work arrangements, burnout, work-life balance, social isolation, and mental health using the Post Pandemic Remote Work Health Impact 2025 dataset (N = 3,157). The dataset includes demographic, occupational, and wellness variables that allow for a multifaceted examination of employee experiences across regions and job roles.</w:t>
      </w:r>
    </w:p>
    <w:p w14:paraId="4C0705DB" w14:textId="77777777" w:rsidR="0050471B" w:rsidRDefault="0050471B" w:rsidP="0050471B">
      <w:r>
        <w:t>Descriptive statistics revealed a workforce averaging 44 years of age and 50 weekly work hours, with moderate work-life balance (M = 3.0) and elevated burnout (M = 2.1). Hypothesis testing demonstrated that burnout significantly differs across work arrangements, with remote employees reporting the highest strain and onsite workers the lowest. Hours worked per week did not significantly correlate with work-life balance, suggesting that qualitative factors such as flexibility and supervisor support may be more influential. Logistic regression indicated that burnout and social isolation did not predict reported mental health conditions, highlighting measurement limitations between diagnosed conditions and lived distress. While gender did not predict balance outcomes, significant regional differences emerged, with Asia and Europe reporting higher balance than Oceania and South America.</w:t>
      </w:r>
    </w:p>
    <w:p w14:paraId="01629082" w14:textId="447889E2" w:rsidR="00603137" w:rsidRDefault="0050471B" w:rsidP="0050471B">
      <w:r>
        <w:t>These findings contribute to academic and organizational understanding of digital work, emphasizing that employee well-being is shaped more by structural and contextual factors than by hours or demographics. Recommendations focus on intentional hybrid design, proactive well-being monitoring, and regionally tailored wellness policies.</w:t>
      </w:r>
      <w:r w:rsidR="00603137">
        <w:br w:type="page"/>
      </w:r>
    </w:p>
    <w:p w14:paraId="3E7C8035" w14:textId="16A4713E" w:rsidR="00603137" w:rsidRDefault="00603137" w:rsidP="00603137">
      <w:pPr>
        <w:pStyle w:val="Heading1"/>
      </w:pPr>
      <w:bookmarkStart w:id="1" w:name="_Toc207541133"/>
      <w:r>
        <w:lastRenderedPageBreak/>
        <w:t>Introduction</w:t>
      </w:r>
      <w:bookmarkEnd w:id="1"/>
    </w:p>
    <w:p w14:paraId="19491393" w14:textId="77777777" w:rsidR="00603137" w:rsidRPr="00325E8E" w:rsidRDefault="00603137" w:rsidP="00603137">
      <w:r w:rsidRPr="00325E8E">
        <w:t>The evolution of remote work has been one of the most transformative organizational changes of the 21st century, catalyzed rapidly by the global COVID-19 pandemic. While companies adapted to remote operations for business continuity, what began as a temporary solution has now become a fundamental shift in workforce dynamics. As organizations navigate this transition, there remains considerable uncertainty about how remote work impacts employee well-being, particularly in the long term.</w:t>
      </w:r>
    </w:p>
    <w:p w14:paraId="23809E35" w14:textId="77777777" w:rsidR="00603137" w:rsidRPr="00325E8E" w:rsidRDefault="00603137" w:rsidP="00603137">
      <w:r w:rsidRPr="00325E8E">
        <w:t>Remote work has brought various advantages, such as increased flexibility, reduced commuting time, and broader access to talent. However, it has also introduced significant challenges. Employees working remotely may face ergonomic discomfort, isolation, and difficulty maintaining work-life boundaries. Furthermore, as the lines between personal and professional life blur, issues such as burnout, stress, and mental fatigue have come to the forefront.</w:t>
      </w:r>
    </w:p>
    <w:p w14:paraId="18422CC0" w14:textId="77777777" w:rsidR="00603137" w:rsidRPr="00325E8E" w:rsidRDefault="00603137" w:rsidP="00603137">
      <w:r w:rsidRPr="00325E8E">
        <w:t>Despite the prevalence of remote work, most companies still rely on anecdotal feedback or limited pulse surveys to evaluate its impact on employee health. There is a lack of rigorous, data-driven studies that explore the relationships between remote work structures and employee wellness indicators. Without robust analysis, policy decisions regarding hybrid work structures, support systems, and mental health interventions remain reactive rather than strategic.</w:t>
      </w:r>
    </w:p>
    <w:p w14:paraId="3DBB7EE4" w14:textId="77777777" w:rsidR="00603137" w:rsidRPr="00325E8E" w:rsidRDefault="00603137" w:rsidP="00603137">
      <w:r w:rsidRPr="00325E8E">
        <w:t xml:space="preserve">The dataset titled </w:t>
      </w:r>
      <w:r w:rsidRPr="00325E8E">
        <w:rPr>
          <w:i/>
          <w:iCs/>
        </w:rPr>
        <w:t>Post Pandemic Remote Work Health Impact 2025</w:t>
      </w:r>
      <w:r w:rsidRPr="00325E8E">
        <w:t xml:space="preserve"> provides a rare opportunity to explore this issue quantitatively. With variables spanning age, gender, job role, hours worked per week, work arrangement, mental health status, burnout levels, work-life balance, and social isolation, it allows for a comprehensive examination of remote work’s health implications.</w:t>
      </w:r>
    </w:p>
    <w:p w14:paraId="5CFFD30F" w14:textId="77777777" w:rsidR="00603137" w:rsidRPr="00325E8E" w:rsidRDefault="00603137" w:rsidP="00603137">
      <w:r w:rsidRPr="00325E8E">
        <w:t>The overarching goal of this research is to identify relationships between key workplace variables (e.g., hours worked, work arrangement) and wellness outcomes (e.g., mental health status, burnout level, physical health issues). By doing so, the project aims to provide actionable recommendations for organizational leaders, HR departments, and policymakers seeking to design healthier and more sustainable remote work environments.</w:t>
      </w:r>
    </w:p>
    <w:p w14:paraId="7D6ECC31" w14:textId="7240A5F0" w:rsidR="00C43826" w:rsidRDefault="00C43826" w:rsidP="00C43826">
      <w:pPr>
        <w:pStyle w:val="Heading1"/>
      </w:pPr>
      <w:bookmarkStart w:id="2" w:name="_Toc207541134"/>
      <w:r>
        <w:t>Objectives</w:t>
      </w:r>
      <w:bookmarkEnd w:id="2"/>
    </w:p>
    <w:p w14:paraId="34ED8A6A" w14:textId="77777777" w:rsidR="00C43826" w:rsidRPr="00D121C7" w:rsidRDefault="00C43826" w:rsidP="00C43826">
      <w:pPr>
        <w:numPr>
          <w:ilvl w:val="0"/>
          <w:numId w:val="1"/>
        </w:numPr>
      </w:pPr>
      <w:r w:rsidRPr="00D121C7">
        <w:rPr>
          <w:b/>
          <w:bCs/>
        </w:rPr>
        <w:t>Analyze the Relationship Between Work Arrangements and Burnout</w:t>
      </w:r>
    </w:p>
    <w:p w14:paraId="17E3E432" w14:textId="77777777" w:rsidR="00C43826" w:rsidRPr="00D121C7" w:rsidRDefault="00C43826" w:rsidP="00C43826">
      <w:pPr>
        <w:numPr>
          <w:ilvl w:val="1"/>
          <w:numId w:val="1"/>
        </w:numPr>
      </w:pPr>
      <w:r w:rsidRPr="00D121C7">
        <w:t>Determine whether there are significant differences in burnout levels among employees working remotely, onsite, or in hybrid models.</w:t>
      </w:r>
    </w:p>
    <w:p w14:paraId="1CB603EB" w14:textId="77777777" w:rsidR="00C43826" w:rsidRPr="00D121C7" w:rsidRDefault="00C43826" w:rsidP="00C43826">
      <w:pPr>
        <w:numPr>
          <w:ilvl w:val="1"/>
          <w:numId w:val="1"/>
        </w:numPr>
      </w:pPr>
      <w:r w:rsidRPr="00D121C7">
        <w:lastRenderedPageBreak/>
        <w:t>Provide evidence to guide organizations in structuring work arrangements that minimize employee stress and fatigue.</w:t>
      </w:r>
    </w:p>
    <w:p w14:paraId="0DC1193A" w14:textId="77777777" w:rsidR="00C43826" w:rsidRPr="00D121C7" w:rsidRDefault="00C43826" w:rsidP="00C43826">
      <w:pPr>
        <w:numPr>
          <w:ilvl w:val="0"/>
          <w:numId w:val="1"/>
        </w:numPr>
      </w:pPr>
      <w:r w:rsidRPr="00D121C7">
        <w:rPr>
          <w:b/>
          <w:bCs/>
        </w:rPr>
        <w:t>Examine the Link Between Work Hours and Work-Life Balance</w:t>
      </w:r>
    </w:p>
    <w:p w14:paraId="43F18B27" w14:textId="77777777" w:rsidR="00C43826" w:rsidRPr="00D121C7" w:rsidRDefault="00C43826" w:rsidP="00C43826">
      <w:pPr>
        <w:numPr>
          <w:ilvl w:val="1"/>
          <w:numId w:val="1"/>
        </w:numPr>
      </w:pPr>
      <w:r w:rsidRPr="00D121C7">
        <w:t>Investigate whether the number of hours worked per week correlates with employees’ work-life balance scores.</w:t>
      </w:r>
    </w:p>
    <w:p w14:paraId="24744324" w14:textId="77777777" w:rsidR="00C43826" w:rsidRPr="00D121C7" w:rsidRDefault="00C43826" w:rsidP="00C43826">
      <w:pPr>
        <w:numPr>
          <w:ilvl w:val="1"/>
          <w:numId w:val="1"/>
        </w:numPr>
      </w:pPr>
      <w:r w:rsidRPr="00D121C7">
        <w:t>Assess whether longer hours in remote or hybrid settings blur the boundaries between work and personal life.</w:t>
      </w:r>
    </w:p>
    <w:p w14:paraId="1B408C1B" w14:textId="77777777" w:rsidR="00C43826" w:rsidRPr="00D121C7" w:rsidRDefault="00C43826" w:rsidP="00C43826">
      <w:pPr>
        <w:numPr>
          <w:ilvl w:val="0"/>
          <w:numId w:val="1"/>
        </w:numPr>
      </w:pPr>
      <w:r w:rsidRPr="00D121C7">
        <w:rPr>
          <w:b/>
          <w:bCs/>
        </w:rPr>
        <w:t>Identify Predictors of Mental Health Outcomes</w:t>
      </w:r>
    </w:p>
    <w:p w14:paraId="164B9AFD" w14:textId="77777777" w:rsidR="00C43826" w:rsidRPr="00D121C7" w:rsidRDefault="00C43826" w:rsidP="00C43826">
      <w:pPr>
        <w:numPr>
          <w:ilvl w:val="1"/>
          <w:numId w:val="1"/>
        </w:numPr>
      </w:pPr>
      <w:r w:rsidRPr="00D121C7">
        <w:t>Explore the extent to which burnout levels and social isolation scores predict mental health status.</w:t>
      </w:r>
    </w:p>
    <w:p w14:paraId="6D8591B5" w14:textId="77777777" w:rsidR="00C43826" w:rsidRPr="00D121C7" w:rsidRDefault="00C43826" w:rsidP="00C43826">
      <w:pPr>
        <w:numPr>
          <w:ilvl w:val="1"/>
          <w:numId w:val="1"/>
        </w:numPr>
      </w:pPr>
      <w:r w:rsidRPr="00D121C7">
        <w:t>Provide insights into early warning indicators of poor mental health that organizations can address with preventive strategies.</w:t>
      </w:r>
    </w:p>
    <w:p w14:paraId="3833B6A1" w14:textId="77777777" w:rsidR="00C43826" w:rsidRPr="00D121C7" w:rsidRDefault="00C43826" w:rsidP="00C43826">
      <w:pPr>
        <w:numPr>
          <w:ilvl w:val="0"/>
          <w:numId w:val="1"/>
        </w:numPr>
      </w:pPr>
      <w:r w:rsidRPr="00D121C7">
        <w:rPr>
          <w:b/>
          <w:bCs/>
        </w:rPr>
        <w:t>Evaluate Demographic Differences in Work-Life Balance</w:t>
      </w:r>
    </w:p>
    <w:p w14:paraId="32F20B4A" w14:textId="77777777" w:rsidR="00C43826" w:rsidRPr="00D121C7" w:rsidRDefault="00C43826" w:rsidP="00C43826">
      <w:pPr>
        <w:numPr>
          <w:ilvl w:val="1"/>
          <w:numId w:val="1"/>
        </w:numPr>
      </w:pPr>
      <w:r w:rsidRPr="00D121C7">
        <w:t>Assess how factors such as gender and region influence experiences of work-life balance.</w:t>
      </w:r>
    </w:p>
    <w:p w14:paraId="0AA7F6B2" w14:textId="77777777" w:rsidR="00C43826" w:rsidRPr="00D121C7" w:rsidRDefault="00C43826" w:rsidP="00C43826">
      <w:pPr>
        <w:numPr>
          <w:ilvl w:val="1"/>
          <w:numId w:val="1"/>
        </w:numPr>
      </w:pPr>
      <w:r w:rsidRPr="00D121C7">
        <w:t>Highlight whether specific demographic groups are more vulnerable to negative health outcomes, ensuring equity in workplace policy recommendations.</w:t>
      </w:r>
    </w:p>
    <w:p w14:paraId="68AFB1D9" w14:textId="77777777" w:rsidR="00C43826" w:rsidRPr="00D121C7" w:rsidRDefault="00C43826" w:rsidP="00C43826">
      <w:pPr>
        <w:numPr>
          <w:ilvl w:val="0"/>
          <w:numId w:val="1"/>
        </w:numPr>
      </w:pPr>
      <w:r w:rsidRPr="00D121C7">
        <w:rPr>
          <w:b/>
          <w:bCs/>
        </w:rPr>
        <w:t>Provide Actionable Recommendations for Organizations</w:t>
      </w:r>
    </w:p>
    <w:p w14:paraId="3746D1F6" w14:textId="77777777" w:rsidR="00C43826" w:rsidRPr="00D121C7" w:rsidRDefault="00C43826" w:rsidP="00C43826">
      <w:pPr>
        <w:numPr>
          <w:ilvl w:val="1"/>
          <w:numId w:val="1"/>
        </w:numPr>
      </w:pPr>
      <w:r w:rsidRPr="00D121C7">
        <w:t>Translate findings into practical guidance for HR departments and organizational leaders.</w:t>
      </w:r>
    </w:p>
    <w:p w14:paraId="32F19512" w14:textId="77777777" w:rsidR="00C43826" w:rsidRPr="00D121C7" w:rsidRDefault="00C43826" w:rsidP="00C43826">
      <w:pPr>
        <w:numPr>
          <w:ilvl w:val="1"/>
          <w:numId w:val="1"/>
        </w:numPr>
      </w:pPr>
      <w:r w:rsidRPr="00D121C7">
        <w:t>Recommend wellness programs, ergonomic improvements, and policy adjustments to support healthier, more sustainable remote and hybrid work practices.</w:t>
      </w:r>
    </w:p>
    <w:p w14:paraId="464DE240" w14:textId="2E53C4A5" w:rsidR="00C43826" w:rsidRDefault="00C43826" w:rsidP="00C43826">
      <w:pPr>
        <w:pStyle w:val="Heading1"/>
      </w:pPr>
      <w:bookmarkStart w:id="3" w:name="_Toc207541135"/>
      <w:r>
        <w:t>Overview of Study</w:t>
      </w:r>
      <w:bookmarkEnd w:id="3"/>
    </w:p>
    <w:p w14:paraId="17F67FD9" w14:textId="77777777" w:rsidR="00EA2C4A" w:rsidRPr="0020303D" w:rsidRDefault="00EA2C4A" w:rsidP="00EA2C4A">
      <w:r w:rsidRPr="0020303D">
        <w:t xml:space="preserve">The Capstone Project investigates the long-term health implications of remote and hybrid work in the post-pandemic era, using the </w:t>
      </w:r>
      <w:r w:rsidRPr="0020303D">
        <w:rPr>
          <w:i/>
          <w:iCs/>
        </w:rPr>
        <w:t>Post Pandemic Remote Work Health Impact 2025</w:t>
      </w:r>
      <w:r w:rsidRPr="0020303D">
        <w:t xml:space="preserve"> dataset. The study was designed in response to growing concerns that, while flexible work arrangements offer clear benefits such as reduced commuting and greater autonomy, they may also contribute to rising burnout, diminished work-life balance, physical health issues, </w:t>
      </w:r>
      <w:r w:rsidRPr="0020303D">
        <w:lastRenderedPageBreak/>
        <w:t>and mental health challenges. Organizations are struggling to balance productivity with employee well-being, often relying on anecdotal evidence or short-term surveys to make decisions. This project seeks to provide a more robust, data-driven foundation for those decisions.</w:t>
      </w:r>
    </w:p>
    <w:p w14:paraId="669372E8" w14:textId="77777777" w:rsidR="00EA2C4A" w:rsidRPr="0020303D" w:rsidRDefault="00EA2C4A" w:rsidP="00EA2C4A">
      <w:r w:rsidRPr="0020303D">
        <w:t>The dataset includes a wide range of variables such as demographic factors (age, gender, region), job and work-related characteristics (industry, job role, work arrangement, hours per week), and well-being indicators (burnout level, work-life balance score, social isolation score, physical health issues, and mental health status). By analyzing these variables, the study explores whether certain work structures or patterns are more strongly associated with health risks and whether demographic groups experience these impacts differently.</w:t>
      </w:r>
    </w:p>
    <w:p w14:paraId="41AC2EA2" w14:textId="77777777" w:rsidR="00EA2C4A" w:rsidRPr="0020303D" w:rsidRDefault="00EA2C4A" w:rsidP="00EA2C4A">
      <w:r w:rsidRPr="0020303D">
        <w:t>The primary objectives of the study are to test whether burnout levels differ across work arrangements, whether hours worked per week are related to work-life balance, whether burnout and isolation can predict mental health outcomes, and whether demographic differences shape employee wellness. Quantitative methods, including ANOVA, correlation analysis, and regression modeling, will be applied, with results visualized in Tableau for clarity.</w:t>
      </w:r>
    </w:p>
    <w:p w14:paraId="0585DC77" w14:textId="77777777" w:rsidR="00EA2C4A" w:rsidRDefault="00EA2C4A" w:rsidP="00EA2C4A">
      <w:r w:rsidRPr="0020303D">
        <w:t>The significance of the study lies in its ability to inform organizations about the potential risks and benefits of remote and hybrid work structures. The findings will contribute to academic literature by integrating mental, physical, and social health outcomes into a single framework while offering practical recommendations for HR departments and policymakers. Although limitations such as self-reported data and cross-sectional design mean that causal conclusions cannot be drawn, the project nonetheless provides meaningful insights into how modern work arrangements shape employee health and sustainability.</w:t>
      </w:r>
    </w:p>
    <w:p w14:paraId="0C013B80" w14:textId="77777777" w:rsidR="00EA2C4A" w:rsidRDefault="00EA2C4A" w:rsidP="00EA2C4A"/>
    <w:p w14:paraId="09913111" w14:textId="153448A5" w:rsidR="00EA2C4A" w:rsidRPr="0020303D" w:rsidRDefault="00EA2C4A" w:rsidP="00EA2C4A">
      <w:pPr>
        <w:pStyle w:val="Heading1"/>
      </w:pPr>
      <w:bookmarkStart w:id="4" w:name="_Toc207541136"/>
      <w:r>
        <w:t>Research Questions and Hypotheses</w:t>
      </w:r>
      <w:bookmarkEnd w:id="4"/>
    </w:p>
    <w:p w14:paraId="3C435F70" w14:textId="77777777" w:rsidR="00EA2C4A" w:rsidRPr="00325E8E" w:rsidRDefault="00EA2C4A" w:rsidP="00EA2C4A">
      <w:r w:rsidRPr="00325E8E">
        <w:t>This study is guided by four primary research questions, each addressing a specific dimension of employee wellness in the context of post-pandemic remote work:</w:t>
      </w:r>
    </w:p>
    <w:p w14:paraId="7FB13316" w14:textId="77777777" w:rsidR="00EA2C4A" w:rsidRPr="00325E8E" w:rsidRDefault="00EA2C4A" w:rsidP="00EA2C4A">
      <w:pPr>
        <w:numPr>
          <w:ilvl w:val="0"/>
          <w:numId w:val="2"/>
        </w:numPr>
      </w:pPr>
      <w:r w:rsidRPr="00325E8E">
        <w:rPr>
          <w:b/>
          <w:bCs/>
        </w:rPr>
        <w:t>RQ1</w:t>
      </w:r>
      <w:r w:rsidRPr="00325E8E">
        <w:t>: Is there a statistically significant difference in burnout levels between employees working under different work arrangements (Remote, Hybrid, Onsite)?</w:t>
      </w:r>
    </w:p>
    <w:p w14:paraId="4C01C64E" w14:textId="77777777" w:rsidR="00EA2C4A" w:rsidRPr="00325E8E" w:rsidRDefault="00EA2C4A" w:rsidP="00EA2C4A">
      <w:pPr>
        <w:numPr>
          <w:ilvl w:val="0"/>
          <w:numId w:val="2"/>
        </w:numPr>
      </w:pPr>
      <w:r w:rsidRPr="00325E8E">
        <w:rPr>
          <w:b/>
          <w:bCs/>
        </w:rPr>
        <w:t>RQ2</w:t>
      </w:r>
      <w:r w:rsidRPr="00325E8E">
        <w:t>: Is there a correlation between the number of hours worked per week and an employee’s perceived work-life balance score?</w:t>
      </w:r>
    </w:p>
    <w:p w14:paraId="7B218D27" w14:textId="77777777" w:rsidR="00EA2C4A" w:rsidRPr="00325E8E" w:rsidRDefault="00EA2C4A" w:rsidP="00EA2C4A">
      <w:pPr>
        <w:numPr>
          <w:ilvl w:val="0"/>
          <w:numId w:val="2"/>
        </w:numPr>
      </w:pPr>
      <w:r w:rsidRPr="00325E8E">
        <w:rPr>
          <w:b/>
          <w:bCs/>
        </w:rPr>
        <w:lastRenderedPageBreak/>
        <w:t>RQ3</w:t>
      </w:r>
      <w:r w:rsidRPr="00325E8E">
        <w:t>: To what extent do burnout level and social isolation score predict the presence of mental health concerns (e.g., anxiety, stress disorder, PTSD)?</w:t>
      </w:r>
    </w:p>
    <w:p w14:paraId="513103CF" w14:textId="77777777" w:rsidR="00EA2C4A" w:rsidRPr="00325E8E" w:rsidRDefault="00EA2C4A" w:rsidP="00EA2C4A">
      <w:pPr>
        <w:numPr>
          <w:ilvl w:val="0"/>
          <w:numId w:val="2"/>
        </w:numPr>
      </w:pPr>
      <w:r w:rsidRPr="00325E8E">
        <w:rPr>
          <w:b/>
          <w:bCs/>
        </w:rPr>
        <w:t>RQ4</w:t>
      </w:r>
      <w:r w:rsidRPr="00325E8E">
        <w:t>: Are there notable differences in work-life balance scores based on demographic attributes, specifically gender and region?</w:t>
      </w:r>
    </w:p>
    <w:p w14:paraId="284C34FF" w14:textId="3EF6E281" w:rsidR="00EA2C4A" w:rsidRPr="00325E8E" w:rsidRDefault="00EA2C4A" w:rsidP="00EA2C4A">
      <w:r w:rsidRPr="00325E8E">
        <w:t>These questions explore the intersection between organizational policy (e.g., work arrangements), individual behaviors (e.g., work hours), and subjective employee experiences (e.g., burnout, isolation). Each question is tied to one or more statistical hypothesis statements and testing models.</w:t>
      </w:r>
    </w:p>
    <w:p w14:paraId="0E99E98A" w14:textId="2880EAC4" w:rsidR="00EA2C4A" w:rsidRPr="00325E8E" w:rsidRDefault="00EA2C4A" w:rsidP="00EA2C4A">
      <w:pPr>
        <w:pStyle w:val="Heading2"/>
      </w:pPr>
      <w:bookmarkStart w:id="5" w:name="_Toc207541137"/>
      <w:r w:rsidRPr="00325E8E">
        <w:t>Hypotheses Overview</w:t>
      </w:r>
      <w:bookmarkEnd w:id="5"/>
      <w:r w:rsidRPr="00325E8E">
        <w:t xml:space="preserve"> </w:t>
      </w:r>
    </w:p>
    <w:p w14:paraId="41A110E0" w14:textId="77777777" w:rsidR="00EA2C4A" w:rsidRPr="00325E8E" w:rsidRDefault="00EA2C4A" w:rsidP="00EA2C4A">
      <w:r w:rsidRPr="00325E8E">
        <w:t>Each research question is accompanied by a pair of hypotheses: a null hypothesis (Ho), which posits no effect or no relationship, and an alternative hypothesis (Ha), which posits a significant effect or relationship.</w:t>
      </w:r>
    </w:p>
    <w:p w14:paraId="5B112EA0" w14:textId="77777777" w:rsidR="00EA2C4A" w:rsidRPr="00325E8E" w:rsidRDefault="00EA2C4A" w:rsidP="00EA2C4A">
      <w:pPr>
        <w:rPr>
          <w:b/>
          <w:bCs/>
        </w:rPr>
      </w:pPr>
      <w:r w:rsidRPr="00325E8E">
        <w:rPr>
          <w:b/>
          <w:bCs/>
        </w:rPr>
        <w:t>Hypothesis Set:</w:t>
      </w:r>
    </w:p>
    <w:p w14:paraId="3D369461" w14:textId="77777777" w:rsidR="00EA2C4A" w:rsidRPr="00325E8E" w:rsidRDefault="00EA2C4A" w:rsidP="00EA2C4A">
      <w:r w:rsidRPr="00325E8E">
        <w:rPr>
          <w:b/>
          <w:bCs/>
        </w:rPr>
        <w:t>RQ1 – Burnout and Work Arrangement</w:t>
      </w:r>
    </w:p>
    <w:p w14:paraId="71E7286C" w14:textId="77777777" w:rsidR="00EA2C4A" w:rsidRPr="00325E8E" w:rsidRDefault="00EA2C4A" w:rsidP="00EA2C4A">
      <w:pPr>
        <w:numPr>
          <w:ilvl w:val="0"/>
          <w:numId w:val="3"/>
        </w:numPr>
      </w:pPr>
      <w:r w:rsidRPr="00325E8E">
        <w:rPr>
          <w:b/>
          <w:bCs/>
        </w:rPr>
        <w:t>Ho1</w:t>
      </w:r>
      <w:r w:rsidRPr="00325E8E">
        <w:t>: There is no significant difference in burnout levels across work arrangements.</w:t>
      </w:r>
    </w:p>
    <w:p w14:paraId="4C06B99C" w14:textId="77777777" w:rsidR="00EA2C4A" w:rsidRPr="00325E8E" w:rsidRDefault="00EA2C4A" w:rsidP="00EA2C4A">
      <w:pPr>
        <w:numPr>
          <w:ilvl w:val="0"/>
          <w:numId w:val="3"/>
        </w:numPr>
      </w:pPr>
      <w:r w:rsidRPr="00325E8E">
        <w:rPr>
          <w:b/>
          <w:bCs/>
        </w:rPr>
        <w:t>Ha1</w:t>
      </w:r>
      <w:r w:rsidRPr="00325E8E">
        <w:t>: There is a significant difference in burnout levels across work arrangements.</w:t>
      </w:r>
    </w:p>
    <w:p w14:paraId="390B719C" w14:textId="77777777" w:rsidR="00EA2C4A" w:rsidRPr="00325E8E" w:rsidRDefault="00EA2C4A" w:rsidP="00EA2C4A">
      <w:r w:rsidRPr="00325E8E">
        <w:rPr>
          <w:b/>
          <w:bCs/>
        </w:rPr>
        <w:t>RQ2 – Hours and Work-Life Balance</w:t>
      </w:r>
    </w:p>
    <w:p w14:paraId="071242A5" w14:textId="77777777" w:rsidR="00EA2C4A" w:rsidRPr="00325E8E" w:rsidRDefault="00EA2C4A" w:rsidP="00EA2C4A">
      <w:pPr>
        <w:numPr>
          <w:ilvl w:val="0"/>
          <w:numId w:val="4"/>
        </w:numPr>
      </w:pPr>
      <w:r w:rsidRPr="00325E8E">
        <w:rPr>
          <w:b/>
          <w:bCs/>
        </w:rPr>
        <w:t>Ho2</w:t>
      </w:r>
      <w:r w:rsidRPr="00325E8E">
        <w:t>: There is no significant correlation between hours worked per week and work-life balance score.</w:t>
      </w:r>
    </w:p>
    <w:p w14:paraId="629366AB" w14:textId="77777777" w:rsidR="00EA2C4A" w:rsidRPr="00325E8E" w:rsidRDefault="00EA2C4A" w:rsidP="00EA2C4A">
      <w:pPr>
        <w:numPr>
          <w:ilvl w:val="0"/>
          <w:numId w:val="4"/>
        </w:numPr>
      </w:pPr>
      <w:r w:rsidRPr="00325E8E">
        <w:rPr>
          <w:b/>
          <w:bCs/>
        </w:rPr>
        <w:t>Ha2</w:t>
      </w:r>
      <w:r w:rsidRPr="00325E8E">
        <w:t>: There is a significant correlation between hours worked per week and work-life balance score.</w:t>
      </w:r>
    </w:p>
    <w:p w14:paraId="4BD686D6" w14:textId="77777777" w:rsidR="00EA2C4A" w:rsidRPr="00325E8E" w:rsidRDefault="00EA2C4A" w:rsidP="00EA2C4A">
      <w:r w:rsidRPr="00325E8E">
        <w:rPr>
          <w:b/>
          <w:bCs/>
        </w:rPr>
        <w:t>RQ3 – Predicting Mental Health</w:t>
      </w:r>
    </w:p>
    <w:p w14:paraId="7FFF9BFA" w14:textId="77777777" w:rsidR="00EA2C4A" w:rsidRPr="00325E8E" w:rsidRDefault="00EA2C4A" w:rsidP="00EA2C4A">
      <w:pPr>
        <w:numPr>
          <w:ilvl w:val="0"/>
          <w:numId w:val="5"/>
        </w:numPr>
      </w:pPr>
      <w:r w:rsidRPr="00325E8E">
        <w:rPr>
          <w:b/>
          <w:bCs/>
        </w:rPr>
        <w:t>Ho3</w:t>
      </w:r>
      <w:r w:rsidRPr="00325E8E">
        <w:t>: Burnout level and social isolation score do not significantly predict mental health status.</w:t>
      </w:r>
    </w:p>
    <w:p w14:paraId="0C0FB6AA" w14:textId="77777777" w:rsidR="00EA2C4A" w:rsidRPr="00325E8E" w:rsidRDefault="00EA2C4A" w:rsidP="00EA2C4A">
      <w:pPr>
        <w:numPr>
          <w:ilvl w:val="0"/>
          <w:numId w:val="5"/>
        </w:numPr>
      </w:pPr>
      <w:r w:rsidRPr="00325E8E">
        <w:rPr>
          <w:b/>
          <w:bCs/>
        </w:rPr>
        <w:t>Ha3</w:t>
      </w:r>
      <w:r w:rsidRPr="00325E8E">
        <w:t>: Burnout level and social isolation score significantly predict mental health status.</w:t>
      </w:r>
    </w:p>
    <w:p w14:paraId="51DF6083" w14:textId="77777777" w:rsidR="00EA2C4A" w:rsidRPr="00325E8E" w:rsidRDefault="00EA2C4A" w:rsidP="00EA2C4A">
      <w:r w:rsidRPr="00325E8E">
        <w:rPr>
          <w:b/>
          <w:bCs/>
        </w:rPr>
        <w:t>RQ4 – Balance by Gender/Region</w:t>
      </w:r>
    </w:p>
    <w:p w14:paraId="018669BF" w14:textId="77777777" w:rsidR="00EA2C4A" w:rsidRPr="00325E8E" w:rsidRDefault="00EA2C4A" w:rsidP="00EA2C4A">
      <w:pPr>
        <w:numPr>
          <w:ilvl w:val="0"/>
          <w:numId w:val="6"/>
        </w:numPr>
      </w:pPr>
      <w:r w:rsidRPr="00325E8E">
        <w:rPr>
          <w:b/>
          <w:bCs/>
        </w:rPr>
        <w:t>Ho4a</w:t>
      </w:r>
      <w:r w:rsidRPr="00325E8E">
        <w:t xml:space="preserve">: There is no significant difference in work-life balance across </w:t>
      </w:r>
      <w:proofErr w:type="gramStart"/>
      <w:r w:rsidRPr="00325E8E">
        <w:t>gender</w:t>
      </w:r>
      <w:proofErr w:type="gramEnd"/>
      <w:r w:rsidRPr="00325E8E">
        <w:t>.</w:t>
      </w:r>
    </w:p>
    <w:p w14:paraId="1C9363EF" w14:textId="77777777" w:rsidR="00EA2C4A" w:rsidRPr="00325E8E" w:rsidRDefault="00EA2C4A" w:rsidP="00EA2C4A">
      <w:pPr>
        <w:numPr>
          <w:ilvl w:val="0"/>
          <w:numId w:val="6"/>
        </w:numPr>
      </w:pPr>
      <w:r w:rsidRPr="00325E8E">
        <w:rPr>
          <w:b/>
          <w:bCs/>
        </w:rPr>
        <w:t>Ha4a</w:t>
      </w:r>
      <w:r w:rsidRPr="00325E8E">
        <w:t xml:space="preserve">: There is a significant difference in work-life balance across </w:t>
      </w:r>
      <w:proofErr w:type="gramStart"/>
      <w:r w:rsidRPr="00325E8E">
        <w:t>gender</w:t>
      </w:r>
      <w:proofErr w:type="gramEnd"/>
      <w:r w:rsidRPr="00325E8E">
        <w:t>.</w:t>
      </w:r>
    </w:p>
    <w:p w14:paraId="5D6D8D5B" w14:textId="77777777" w:rsidR="00EA2C4A" w:rsidRPr="00325E8E" w:rsidRDefault="00EA2C4A" w:rsidP="00EA2C4A">
      <w:pPr>
        <w:numPr>
          <w:ilvl w:val="0"/>
          <w:numId w:val="6"/>
        </w:numPr>
      </w:pPr>
      <w:r w:rsidRPr="00325E8E">
        <w:rPr>
          <w:b/>
          <w:bCs/>
        </w:rPr>
        <w:lastRenderedPageBreak/>
        <w:t>Ho4b</w:t>
      </w:r>
      <w:r w:rsidRPr="00325E8E">
        <w:t>: There is no significant difference in work-life balance across regions.</w:t>
      </w:r>
    </w:p>
    <w:p w14:paraId="7E7B1C91" w14:textId="4ED4D6FA" w:rsidR="00C43826" w:rsidRDefault="00EA2C4A" w:rsidP="00EA2C4A">
      <w:r w:rsidRPr="00325E8E">
        <w:rPr>
          <w:b/>
          <w:bCs/>
        </w:rPr>
        <w:t>Ha4b</w:t>
      </w:r>
      <w:r w:rsidRPr="00325E8E">
        <w:t>: There is a significant difference in work-life balance across regions.</w:t>
      </w:r>
    </w:p>
    <w:p w14:paraId="02F3A967" w14:textId="0CC7658A" w:rsidR="00EA2C4A" w:rsidRDefault="00EA2C4A" w:rsidP="00EA2C4A">
      <w:pPr>
        <w:pStyle w:val="Heading1"/>
      </w:pPr>
      <w:bookmarkStart w:id="6" w:name="_Toc207541138"/>
      <w:r>
        <w:t>Literature Review</w:t>
      </w:r>
      <w:bookmarkEnd w:id="6"/>
    </w:p>
    <w:p w14:paraId="1FE6E86F" w14:textId="77777777" w:rsidR="00EA2C4A" w:rsidRDefault="00EA2C4A" w:rsidP="00EA2C4A">
      <w:r>
        <w:t>This literature review synthesizes scholarly research relevant to the core focus of this Capstone Project: understanding the relationships between remote work structures and key wellness indicators such as burnout level, work-life balance, and mental health status. The selected studies provide theoretical and empirical foundations for exploring the hypotheses outlined in the research design and contribute to identifying potential intervention strategies for healthier remote work environments.</w:t>
      </w:r>
    </w:p>
    <w:p w14:paraId="786FA72A" w14:textId="77777777" w:rsidR="00EA2C4A" w:rsidRDefault="00EA2C4A" w:rsidP="00EA2C4A">
      <w:pPr>
        <w:pStyle w:val="Heading2"/>
      </w:pPr>
      <w:bookmarkStart w:id="7" w:name="_Toc206316017"/>
      <w:bookmarkStart w:id="8" w:name="_Toc206316096"/>
      <w:bookmarkStart w:id="9" w:name="_Toc207541139"/>
      <w:r>
        <w:t>Remote Work and Employee Well-Being</w:t>
      </w:r>
      <w:bookmarkEnd w:id="7"/>
      <w:bookmarkEnd w:id="8"/>
      <w:bookmarkEnd w:id="9"/>
    </w:p>
    <w:p w14:paraId="6E6CE2FA" w14:textId="77777777" w:rsidR="00EA2C4A" w:rsidRDefault="00EA2C4A" w:rsidP="00EA2C4A">
      <w:r>
        <w:t>Wang et al. (2021) present a work design perspective on effective remote working during the pandemic, emphasizing that job autonomy, technological support, and social connections are critical for sustaining employee well-being. Their study identifies how a lack of social connectivity and inadequate resource support can exacerbate burnout and stress, which directly relates to this project’s investigation into burnout levels across work arrangements (RQ1). The findings reinforce the importance of examining variables like social isolation scores and work-life balance in assessing the overall impact of remote work.</w:t>
      </w:r>
    </w:p>
    <w:p w14:paraId="624C803D" w14:textId="77777777" w:rsidR="00EA2C4A" w:rsidRDefault="00EA2C4A" w:rsidP="00EA2C4A">
      <w:r>
        <w:t xml:space="preserve">Similarly, </w:t>
      </w:r>
      <w:proofErr w:type="gramStart"/>
      <w:r>
        <w:t>Bloom</w:t>
      </w:r>
      <w:proofErr w:type="gramEnd"/>
      <w:r>
        <w:t xml:space="preserve"> et al. (2015) conducted an experimental study on remote work within a Chinese travel agency, demonstrating productivity gains but also noting potential drawbacks such as reduced career advancement opportunities and isolation effects. While their study predates the pandemic, it provides valuable insight into long-term outcomes that organizations should consider when designing remote work policies. The balance between performance outcomes and health impacts remains central to both the academic discourse and the aims of this project.</w:t>
      </w:r>
    </w:p>
    <w:p w14:paraId="2BE081E6" w14:textId="77777777" w:rsidR="00EA2C4A" w:rsidRDefault="00EA2C4A" w:rsidP="00EA2C4A"/>
    <w:p w14:paraId="5EE410F2" w14:textId="77777777" w:rsidR="00EA2C4A" w:rsidRDefault="00EA2C4A" w:rsidP="00EA2C4A">
      <w:pPr>
        <w:pStyle w:val="Heading2"/>
      </w:pPr>
      <w:bookmarkStart w:id="10" w:name="_Toc206316018"/>
      <w:bookmarkStart w:id="11" w:name="_Toc206316097"/>
      <w:bookmarkStart w:id="12" w:name="_Toc207541140"/>
      <w:r>
        <w:t>Physical and Mental Health Outcomes</w:t>
      </w:r>
      <w:bookmarkEnd w:id="10"/>
      <w:bookmarkEnd w:id="11"/>
      <w:bookmarkEnd w:id="12"/>
    </w:p>
    <w:p w14:paraId="6E6AFD30" w14:textId="77777777" w:rsidR="00EA2C4A" w:rsidRDefault="00EA2C4A" w:rsidP="00EA2C4A">
      <w:r>
        <w:t xml:space="preserve">Oakman et al. (2020) conducted a rapid review of mental and physical health effects associated with working from home, finding consistent evidence of musculoskeletal problems and declines in mental health outcomes. The study also emphasized that poor ergonomics and blurred boundaries between work and home life are significant contributors to health risks. This aligns with the dataset’s </w:t>
      </w:r>
      <w:proofErr w:type="spellStart"/>
      <w:r>
        <w:t>Physical_Health_Issues</w:t>
      </w:r>
      <w:proofErr w:type="spellEnd"/>
      <w:r>
        <w:t xml:space="preserve"> field, </w:t>
      </w:r>
      <w:r>
        <w:lastRenderedPageBreak/>
        <w:t>which often includes repetitive strain-related ailments like back pain, shoulder pain, and eye strain. Understanding these patterns is essential to making evidence-based recommendations for ergonomic interventions in remote environments.</w:t>
      </w:r>
    </w:p>
    <w:p w14:paraId="197FFC26" w14:textId="77777777" w:rsidR="00EA2C4A" w:rsidRDefault="00EA2C4A" w:rsidP="00EA2C4A">
      <w:r>
        <w:t>In addition, the American Psychological Association (APA, 2023) reports that remote work environments, if not properly supported, can lead to increased stress, anxiety, and feelings of isolation. The APA’s findings provide a contemporary, post-pandemic perspective on mental health challenges, making them particularly relevant for testing hypotheses related to burnout, social isolation, and mental health status (RQ3). These observations also underscore the importance of organizational policies that address both physical and psychological health in remote contexts.</w:t>
      </w:r>
    </w:p>
    <w:p w14:paraId="5DF8EBE2" w14:textId="77777777" w:rsidR="00EA2C4A" w:rsidRDefault="00EA2C4A" w:rsidP="00EA2C4A"/>
    <w:p w14:paraId="317E3224" w14:textId="77777777" w:rsidR="00EA2C4A" w:rsidRDefault="00EA2C4A" w:rsidP="00EA2C4A">
      <w:pPr>
        <w:pStyle w:val="Heading2"/>
      </w:pPr>
      <w:bookmarkStart w:id="13" w:name="_Toc206316019"/>
      <w:bookmarkStart w:id="14" w:name="_Toc206316098"/>
      <w:bookmarkStart w:id="15" w:name="_Toc207541141"/>
      <w:r>
        <w:t>Work-life Balance and Burnout</w:t>
      </w:r>
      <w:bookmarkEnd w:id="13"/>
      <w:bookmarkEnd w:id="14"/>
      <w:bookmarkEnd w:id="15"/>
    </w:p>
    <w:p w14:paraId="51565E47" w14:textId="77777777" w:rsidR="00EA2C4A" w:rsidRDefault="00EA2C4A" w:rsidP="00EA2C4A">
      <w:r>
        <w:t xml:space="preserve">Research by </w:t>
      </w:r>
      <w:proofErr w:type="spellStart"/>
      <w:r>
        <w:t>Felstead</w:t>
      </w:r>
      <w:proofErr w:type="spellEnd"/>
      <w:r>
        <w:t xml:space="preserve"> and </w:t>
      </w:r>
      <w:proofErr w:type="spellStart"/>
      <w:r>
        <w:t>Reuschke</w:t>
      </w:r>
      <w:proofErr w:type="spellEnd"/>
      <w:r>
        <w:t xml:space="preserve"> (2020) highlights that while remote work offers greater autonomy, it can also blur the temporal and spatial boundaries between professional and personal life. The authors argue that work intensification—where employees work longer hours and experience higher demands—is a significant risk factor for burnout. This directly informs the project’s second research question (RQ2) examining correlations between hours worked per week and work-life balance scores. Their work also emphasizes the need to consider demographic variables such as gender and region, as work-life balance experiences can vary across these groups (RQ4).</w:t>
      </w:r>
    </w:p>
    <w:p w14:paraId="796BA367" w14:textId="77777777" w:rsidR="00EA2C4A" w:rsidRDefault="00EA2C4A" w:rsidP="00EA2C4A">
      <w:r>
        <w:t xml:space="preserve">Additionally, studies like those of </w:t>
      </w:r>
      <w:proofErr w:type="spellStart"/>
      <w:r>
        <w:t>Eurofound</w:t>
      </w:r>
      <w:proofErr w:type="spellEnd"/>
      <w:r>
        <w:t xml:space="preserve"> (2021) report that hybrid work arrangements may offer the best balance of flexibility and social engagement, potentially mitigating burnout risks. This aligns with the hypothesis that differences in burnout levels will emerge across work arrangements, providing a nuanced understanding of how hybrid models may outperform fully remote or onsite structures in supporting employee health.</w:t>
      </w:r>
    </w:p>
    <w:p w14:paraId="3168AFEA" w14:textId="77777777" w:rsidR="00EA2C4A" w:rsidRDefault="00EA2C4A" w:rsidP="00EA2C4A"/>
    <w:p w14:paraId="1831637A" w14:textId="77777777" w:rsidR="00EA2C4A" w:rsidRDefault="00EA2C4A" w:rsidP="00EA2C4A">
      <w:pPr>
        <w:pStyle w:val="Heading2"/>
      </w:pPr>
      <w:bookmarkStart w:id="16" w:name="_Toc206316020"/>
      <w:bookmarkStart w:id="17" w:name="_Toc206316099"/>
      <w:bookmarkStart w:id="18" w:name="_Toc207541142"/>
      <w:r>
        <w:t>Social Isolation and Organizational Support</w:t>
      </w:r>
      <w:bookmarkEnd w:id="16"/>
      <w:bookmarkEnd w:id="17"/>
      <w:bookmarkEnd w:id="18"/>
    </w:p>
    <w:p w14:paraId="39C1ED07" w14:textId="77777777" w:rsidR="00EA2C4A" w:rsidRDefault="00EA2C4A" w:rsidP="00EA2C4A">
      <w:r>
        <w:t xml:space="preserve">Bartel et al. (2012) investigate the psychological and organizational impacts of social isolation in remote work contexts, finding that employees with fewer informal interactions and weaker organizational support structures report higher levels of disengagement and reduced performance. These insights connect directly to the dataset’s </w:t>
      </w:r>
      <w:proofErr w:type="spellStart"/>
      <w:r>
        <w:t>Social_Isolation_Score</w:t>
      </w:r>
      <w:proofErr w:type="spellEnd"/>
      <w:r>
        <w:t xml:space="preserve"> and suggest that higher isolation levels may serve as a predictive factor for mental health concerns. Understanding these relationships can guide </w:t>
      </w:r>
      <w:r>
        <w:lastRenderedPageBreak/>
        <w:t>recommendations for strengthening communication, collaboration, and support networks in remote settings.</w:t>
      </w:r>
    </w:p>
    <w:p w14:paraId="5FAEF7BD" w14:textId="77777777" w:rsidR="00EA2C4A" w:rsidRDefault="00EA2C4A" w:rsidP="00EA2C4A">
      <w:r>
        <w:t xml:space="preserve">Furthermore, organizational culture and leadership practices play a pivotal role in moderating isolation effects. Research by Toscano and </w:t>
      </w:r>
      <w:proofErr w:type="spellStart"/>
      <w:r>
        <w:t>Zappalà</w:t>
      </w:r>
      <w:proofErr w:type="spellEnd"/>
      <w:r>
        <w:t xml:space="preserve"> (2020) found that empathetic leadership and proactive communication reduced </w:t>
      </w:r>
      <w:proofErr w:type="gramStart"/>
      <w:r>
        <w:t>employees’</w:t>
      </w:r>
      <w:proofErr w:type="gramEnd"/>
      <w:r>
        <w:t xml:space="preserve"> perceived isolation and stress, emphasizing the importance of supportive managerial practices as part of a healthy remote work strategy.</w:t>
      </w:r>
    </w:p>
    <w:p w14:paraId="5662F177" w14:textId="77777777" w:rsidR="00EA2C4A" w:rsidRDefault="00EA2C4A" w:rsidP="00EA2C4A"/>
    <w:p w14:paraId="2CD639F9" w14:textId="474736E6" w:rsidR="00EA2C4A" w:rsidRDefault="00EA2C4A" w:rsidP="00EA2C4A">
      <w:pPr>
        <w:pStyle w:val="Heading2"/>
      </w:pPr>
      <w:bookmarkStart w:id="19" w:name="_Toc206316021"/>
      <w:bookmarkStart w:id="20" w:name="_Toc206316100"/>
      <w:bookmarkStart w:id="21" w:name="_Toc207541143"/>
      <w:r>
        <w:t>Conclusion</w:t>
      </w:r>
      <w:bookmarkEnd w:id="19"/>
      <w:bookmarkEnd w:id="20"/>
      <w:r>
        <w:t xml:space="preserve"> of the Literature Review</w:t>
      </w:r>
      <w:bookmarkEnd w:id="21"/>
    </w:p>
    <w:p w14:paraId="317AD3D5" w14:textId="77777777" w:rsidR="00EA2C4A" w:rsidRDefault="00EA2C4A" w:rsidP="00EA2C4A">
      <w:r>
        <w:t>The literature underscores the urgent need for organizations to approach remote work with a holistic understanding of its health implications. While the flexibility and autonomy of remote work can deliver substantial benefits, without intentional design and support, these arrangements can lead to detrimental physical, mental, and social health outcomes. The reviewed studies provide a robust framework for investigating these relationships, supporting the research questions and hypotheses outlined in this Capstone Project.</w:t>
      </w:r>
    </w:p>
    <w:p w14:paraId="501D6C11" w14:textId="77777777" w:rsidR="00EA2C4A" w:rsidRDefault="00EA2C4A" w:rsidP="00EA2C4A">
      <w:r>
        <w:t>By integrating insights from prior scholarship with empirical analysis of the Post Pandemic Remote Work Health Impact 2025 dataset, this project will contribute to developing practical, evidence-based recommendations for fostering healthier, more sustainable remote and hybrid work environments.</w:t>
      </w:r>
    </w:p>
    <w:p w14:paraId="5BB6F21C" w14:textId="77777777" w:rsidR="00EA2C4A" w:rsidRDefault="00EA2C4A" w:rsidP="00EA2C4A"/>
    <w:p w14:paraId="4F558BF4" w14:textId="45500E6F" w:rsidR="00EA2C4A" w:rsidRDefault="00EA2C4A" w:rsidP="00EA2C4A">
      <w:pPr>
        <w:pStyle w:val="Heading1"/>
      </w:pPr>
      <w:bookmarkStart w:id="22" w:name="_Toc207541144"/>
      <w:r>
        <w:t>Methodologies and Tools Used</w:t>
      </w:r>
      <w:bookmarkEnd w:id="22"/>
    </w:p>
    <w:p w14:paraId="5B550511" w14:textId="77777777" w:rsidR="00EA2C4A" w:rsidRDefault="00EA2C4A" w:rsidP="00EA2C4A">
      <w:r>
        <w:t xml:space="preserve">The methodology includes data preparation, hypothesis testing, and modeling. The Project will be executed using Python for computation and Tableau for visualization. </w:t>
      </w:r>
    </w:p>
    <w:p w14:paraId="67B03909" w14:textId="77777777" w:rsidR="00EA2C4A" w:rsidRDefault="00EA2C4A" w:rsidP="00EA2C4A">
      <w:r>
        <w:t>Step 1: Data Preparation</w:t>
      </w:r>
    </w:p>
    <w:p w14:paraId="6E8902A1" w14:textId="77777777" w:rsidR="00EA2C4A" w:rsidRDefault="00EA2C4A" w:rsidP="00EA2C4A">
      <w:pPr>
        <w:pStyle w:val="ListParagraph"/>
        <w:numPr>
          <w:ilvl w:val="0"/>
          <w:numId w:val="7"/>
        </w:numPr>
      </w:pPr>
      <w:r>
        <w:t xml:space="preserve">Cleaning:  </w:t>
      </w:r>
    </w:p>
    <w:p w14:paraId="1936DE11" w14:textId="77777777" w:rsidR="00EA2C4A" w:rsidRDefault="00EA2C4A" w:rsidP="00EA2C4A">
      <w:pPr>
        <w:pStyle w:val="ListParagraph"/>
        <w:numPr>
          <w:ilvl w:val="1"/>
          <w:numId w:val="7"/>
        </w:numPr>
      </w:pPr>
      <w:r>
        <w:t xml:space="preserve">Remove extra spaces, normalize categories, and handle any encoding issues. </w:t>
      </w:r>
    </w:p>
    <w:p w14:paraId="68F1E427" w14:textId="77777777" w:rsidR="00EA2C4A" w:rsidRDefault="00EA2C4A" w:rsidP="00EA2C4A">
      <w:pPr>
        <w:pStyle w:val="ListParagraph"/>
        <w:numPr>
          <w:ilvl w:val="0"/>
          <w:numId w:val="7"/>
        </w:numPr>
      </w:pPr>
      <w:r>
        <w:t>Transformation:</w:t>
      </w:r>
    </w:p>
    <w:p w14:paraId="22CA8BEE" w14:textId="77777777" w:rsidR="00EA2C4A" w:rsidRDefault="00EA2C4A" w:rsidP="00EA2C4A">
      <w:pPr>
        <w:pStyle w:val="ListParagraph"/>
        <w:numPr>
          <w:ilvl w:val="1"/>
          <w:numId w:val="7"/>
        </w:numPr>
      </w:pPr>
      <w:r>
        <w:t xml:space="preserve">Convert </w:t>
      </w:r>
      <w:proofErr w:type="spellStart"/>
      <w:r>
        <w:t>Burnout_Level</w:t>
      </w:r>
      <w:proofErr w:type="spellEnd"/>
      <w:r>
        <w:t xml:space="preserve"> into ordinal numeric values (Low=1, Medium=2, High=3)</w:t>
      </w:r>
    </w:p>
    <w:p w14:paraId="4F66E22E" w14:textId="77777777" w:rsidR="00EA2C4A" w:rsidRDefault="00EA2C4A" w:rsidP="00EA2C4A">
      <w:pPr>
        <w:pStyle w:val="ListParagraph"/>
        <w:numPr>
          <w:ilvl w:val="1"/>
          <w:numId w:val="7"/>
        </w:numPr>
      </w:pPr>
      <w:r>
        <w:t>One-hot encode categorical variables like Gender and Region</w:t>
      </w:r>
    </w:p>
    <w:p w14:paraId="38FFEBCF" w14:textId="77777777" w:rsidR="00EA2C4A" w:rsidRDefault="00EA2C4A" w:rsidP="00EA2C4A">
      <w:pPr>
        <w:pStyle w:val="ListParagraph"/>
        <w:numPr>
          <w:ilvl w:val="1"/>
          <w:numId w:val="7"/>
        </w:numPr>
      </w:pPr>
      <w:r>
        <w:lastRenderedPageBreak/>
        <w:t xml:space="preserve">Tokenize </w:t>
      </w:r>
      <w:proofErr w:type="spellStart"/>
      <w:r>
        <w:t>Physical_Health_Issues</w:t>
      </w:r>
      <w:proofErr w:type="spellEnd"/>
      <w:r>
        <w:t xml:space="preserve"> using </w:t>
      </w:r>
      <w:proofErr w:type="gramStart"/>
      <w:r>
        <w:t>split(</w:t>
      </w:r>
      <w:proofErr w:type="gramEnd"/>
      <w:r>
        <w:t>‘;’) and create binary flags for each symptom</w:t>
      </w:r>
    </w:p>
    <w:p w14:paraId="4D0629A8" w14:textId="77777777" w:rsidR="00EA2C4A" w:rsidRDefault="00EA2C4A" w:rsidP="00EA2C4A">
      <w:r>
        <w:t>Step 2: Descriptive Analysis:</w:t>
      </w:r>
    </w:p>
    <w:p w14:paraId="0078FA7C" w14:textId="77777777" w:rsidR="00EA2C4A" w:rsidRDefault="00EA2C4A" w:rsidP="00EA2C4A">
      <w:pPr>
        <w:pStyle w:val="ListParagraph"/>
        <w:numPr>
          <w:ilvl w:val="0"/>
          <w:numId w:val="8"/>
        </w:numPr>
      </w:pPr>
      <w:r>
        <w:t>Compute means, medians, and standard deviations for numerical variables</w:t>
      </w:r>
    </w:p>
    <w:p w14:paraId="3C2E2277" w14:textId="77777777" w:rsidR="00EA2C4A" w:rsidRDefault="00EA2C4A" w:rsidP="00EA2C4A">
      <w:pPr>
        <w:pStyle w:val="ListParagraph"/>
        <w:numPr>
          <w:ilvl w:val="0"/>
          <w:numId w:val="8"/>
        </w:numPr>
      </w:pPr>
      <w:r>
        <w:t>Visualize distributions using histogram, boxplot, and bar charts</w:t>
      </w:r>
    </w:p>
    <w:p w14:paraId="50ED0AA5" w14:textId="77777777" w:rsidR="00EA2C4A" w:rsidRDefault="00EA2C4A" w:rsidP="00EA2C4A">
      <w:pPr>
        <w:pStyle w:val="ListParagraph"/>
        <w:numPr>
          <w:ilvl w:val="0"/>
          <w:numId w:val="8"/>
        </w:numPr>
      </w:pPr>
      <w:r>
        <w:t>Use cross-tabulations to explore the relationship between work arrangement and burnout/mental health</w:t>
      </w:r>
    </w:p>
    <w:p w14:paraId="30BE31F6" w14:textId="77777777" w:rsidR="00EA2C4A" w:rsidRDefault="00EA2C4A" w:rsidP="00EA2C4A">
      <w:r>
        <w:t>Step 3: Hypothesis Testing</w:t>
      </w:r>
    </w:p>
    <w:p w14:paraId="0B8F71ED" w14:textId="77777777" w:rsidR="00EA2C4A" w:rsidRDefault="00EA2C4A" w:rsidP="00EA2C4A">
      <w:pPr>
        <w:pStyle w:val="ListParagraph"/>
        <w:numPr>
          <w:ilvl w:val="0"/>
          <w:numId w:val="9"/>
        </w:numPr>
      </w:pPr>
      <w:r w:rsidRPr="00EF2DE6">
        <w:rPr>
          <w:b/>
          <w:bCs/>
        </w:rPr>
        <w:t>Burnout and Work Arrangement</w:t>
      </w:r>
      <w:r w:rsidRPr="00EF2DE6">
        <w:t>:</w:t>
      </w:r>
      <w:r w:rsidRPr="00EF2DE6">
        <w:rPr>
          <w:b/>
          <w:bCs/>
        </w:rPr>
        <w:t xml:space="preserve"> </w:t>
      </w:r>
      <w:r>
        <w:t xml:space="preserve">One way ANOVA or Kruskal-Wallis Test </w:t>
      </w:r>
    </w:p>
    <w:p w14:paraId="1912567C" w14:textId="77777777" w:rsidR="00EA2C4A" w:rsidRPr="00AF2268" w:rsidRDefault="00EA2C4A" w:rsidP="00EA2C4A">
      <w:pPr>
        <w:pStyle w:val="ListParagraph"/>
        <w:numPr>
          <w:ilvl w:val="0"/>
          <w:numId w:val="9"/>
        </w:numPr>
      </w:pPr>
      <w:r w:rsidRPr="00EF2DE6">
        <w:rPr>
          <w:b/>
          <w:bCs/>
        </w:rPr>
        <w:t>Hours and Work-Life Balance</w:t>
      </w:r>
      <w:r>
        <w:t>: Pearson or Spearman Correlation analysis</w:t>
      </w:r>
    </w:p>
    <w:p w14:paraId="6F8C8E2A" w14:textId="77777777" w:rsidR="00EA2C4A" w:rsidRPr="00AF2268" w:rsidRDefault="00EA2C4A" w:rsidP="00EA2C4A">
      <w:pPr>
        <w:pStyle w:val="ListParagraph"/>
        <w:numPr>
          <w:ilvl w:val="0"/>
          <w:numId w:val="9"/>
        </w:numPr>
      </w:pPr>
      <w:r w:rsidRPr="00EF2DE6">
        <w:rPr>
          <w:b/>
          <w:bCs/>
        </w:rPr>
        <w:t>Predicting Mental Health</w:t>
      </w:r>
      <w:r>
        <w:t xml:space="preserve">: Logistic regression with </w:t>
      </w:r>
      <w:proofErr w:type="spellStart"/>
      <w:r>
        <w:t>Mental_Heatlth_</w:t>
      </w:r>
      <w:proofErr w:type="gramStart"/>
      <w:r>
        <w:t>Status</w:t>
      </w:r>
      <w:proofErr w:type="spellEnd"/>
      <w:r>
        <w:t>(</w:t>
      </w:r>
      <w:proofErr w:type="gramEnd"/>
      <w:r>
        <w:t>binary dummy coded_ as the dependent variable</w:t>
      </w:r>
    </w:p>
    <w:p w14:paraId="7E36C728" w14:textId="77777777" w:rsidR="00EA2C4A" w:rsidRDefault="00EA2C4A" w:rsidP="00EA2C4A">
      <w:pPr>
        <w:pStyle w:val="ListParagraph"/>
        <w:numPr>
          <w:ilvl w:val="0"/>
          <w:numId w:val="9"/>
        </w:numPr>
      </w:pPr>
      <w:r w:rsidRPr="00CC218E">
        <w:rPr>
          <w:b/>
          <w:bCs/>
        </w:rPr>
        <w:t>Balance by Gender/Region</w:t>
      </w:r>
      <w:proofErr w:type="gramStart"/>
      <w:r>
        <w:t>:  Independent t</w:t>
      </w:r>
      <w:proofErr w:type="gramEnd"/>
      <w:r>
        <w:t>-tests or ANOVA depending on the number of comparison groups</w:t>
      </w:r>
    </w:p>
    <w:p w14:paraId="16834AEF" w14:textId="77777777" w:rsidR="00EA2C4A" w:rsidRDefault="00EA2C4A" w:rsidP="00EA2C4A">
      <w:r>
        <w:t>Step 4: Visualization and Reporting</w:t>
      </w:r>
    </w:p>
    <w:p w14:paraId="45DE80F9" w14:textId="77777777" w:rsidR="00EA2C4A" w:rsidRDefault="00EA2C4A" w:rsidP="00EA2C4A">
      <w:pPr>
        <w:pStyle w:val="ListParagraph"/>
        <w:numPr>
          <w:ilvl w:val="0"/>
          <w:numId w:val="10"/>
        </w:numPr>
      </w:pPr>
      <w:r>
        <w:t>Tableau dashboards will present segment-level insights (e.g., Burnout by Gender or Region)</w:t>
      </w:r>
    </w:p>
    <w:p w14:paraId="0406BB9C" w14:textId="77777777" w:rsidR="00EA2C4A" w:rsidRDefault="00EA2C4A" w:rsidP="00EA2C4A">
      <w:pPr>
        <w:pStyle w:val="ListParagraph"/>
        <w:numPr>
          <w:ilvl w:val="0"/>
          <w:numId w:val="10"/>
        </w:numPr>
      </w:pPr>
      <w:r>
        <w:t>Regression coefficients and p-values will be summarized in tables for interpretation</w:t>
      </w:r>
    </w:p>
    <w:p w14:paraId="1157F969" w14:textId="77777777" w:rsidR="00EA2C4A" w:rsidRDefault="00EA2C4A" w:rsidP="00EA2C4A">
      <w:r>
        <w:t xml:space="preserve">This approach ensures a rigorous statistical examination and supports both exploratory and confirmatory analyses. </w:t>
      </w:r>
    </w:p>
    <w:p w14:paraId="7707EB49" w14:textId="77777777" w:rsidR="00EA2C4A" w:rsidRDefault="00EA2C4A" w:rsidP="00EA2C4A"/>
    <w:p w14:paraId="05DA4DED" w14:textId="77777777" w:rsidR="00EA2C4A" w:rsidRDefault="00EA2C4A" w:rsidP="00EA2C4A">
      <w:pPr>
        <w:pStyle w:val="Heading2"/>
      </w:pPr>
      <w:bookmarkStart w:id="23" w:name="_Toc207541145"/>
      <w:r>
        <w:t>Tools and Technologies Used</w:t>
      </w:r>
      <w:bookmarkEnd w:id="23"/>
    </w:p>
    <w:p w14:paraId="22EC410F" w14:textId="77777777" w:rsidR="00EA2C4A" w:rsidRDefault="00EA2C4A" w:rsidP="00EA2C4A">
      <w:r>
        <w:t xml:space="preserve">The following tools will be used throughout the project: </w:t>
      </w:r>
    </w:p>
    <w:p w14:paraId="5C88AC9F" w14:textId="77777777" w:rsidR="00EA2C4A" w:rsidRDefault="00EA2C4A" w:rsidP="00EA2C4A">
      <w:pPr>
        <w:pStyle w:val="ListParagraph"/>
        <w:numPr>
          <w:ilvl w:val="0"/>
          <w:numId w:val="11"/>
        </w:numPr>
      </w:pPr>
      <w:r>
        <w:rPr>
          <w:b/>
          <w:bCs/>
        </w:rPr>
        <w:t>Python</w:t>
      </w:r>
      <w:r>
        <w:t xml:space="preserve">: Main tool for data analysis (with pandas, scikit-learn, </w:t>
      </w:r>
      <w:proofErr w:type="spellStart"/>
      <w:r>
        <w:t>scipy</w:t>
      </w:r>
      <w:proofErr w:type="spellEnd"/>
      <w:r>
        <w:t xml:space="preserve">, and </w:t>
      </w:r>
      <w:proofErr w:type="spellStart"/>
      <w:r>
        <w:t>statsmodels</w:t>
      </w:r>
      <w:proofErr w:type="spellEnd"/>
      <w:r>
        <w:t xml:space="preserve">) </w:t>
      </w:r>
    </w:p>
    <w:p w14:paraId="0253373E" w14:textId="77777777" w:rsidR="00EA2C4A" w:rsidRDefault="00EA2C4A" w:rsidP="00EA2C4A">
      <w:pPr>
        <w:pStyle w:val="ListParagraph"/>
        <w:numPr>
          <w:ilvl w:val="0"/>
          <w:numId w:val="11"/>
        </w:numPr>
      </w:pPr>
      <w:r>
        <w:rPr>
          <w:b/>
          <w:bCs/>
        </w:rPr>
        <w:t>Tableau</w:t>
      </w:r>
      <w:r>
        <w:t>: Used to create interactive visualizations and summary dashboards for stakeholders reporting</w:t>
      </w:r>
    </w:p>
    <w:p w14:paraId="4D7AF314" w14:textId="77777777" w:rsidR="00EA2C4A" w:rsidRDefault="00EA2C4A" w:rsidP="00EA2C4A">
      <w:pPr>
        <w:pStyle w:val="ListParagraph"/>
        <w:numPr>
          <w:ilvl w:val="0"/>
          <w:numId w:val="11"/>
        </w:numPr>
      </w:pPr>
      <w:proofErr w:type="spellStart"/>
      <w:r>
        <w:rPr>
          <w:b/>
          <w:bCs/>
        </w:rPr>
        <w:t>Jupyter</w:t>
      </w:r>
      <w:proofErr w:type="spellEnd"/>
      <w:r>
        <w:rPr>
          <w:b/>
          <w:bCs/>
        </w:rPr>
        <w:t xml:space="preserve"> Notebook</w:t>
      </w:r>
      <w:r>
        <w:t>: For documenting analysis and presenting code alongside commentary</w:t>
      </w:r>
    </w:p>
    <w:p w14:paraId="00CC30E5" w14:textId="77777777" w:rsidR="00EA2C4A" w:rsidRDefault="00EA2C4A" w:rsidP="00EA2C4A">
      <w:r>
        <w:t xml:space="preserve">Python supports statistical modeling with robust support for logistic regression, ANOVA, and correlation testing. Tableau enhances accessibility for non-technical stakeholders and supports filtering, drilling down, and cross-tabulation. </w:t>
      </w:r>
    </w:p>
    <w:p w14:paraId="347C7784" w14:textId="77777777" w:rsidR="00EA2C4A" w:rsidRDefault="00EA2C4A" w:rsidP="00EA2C4A">
      <w:r>
        <w:lastRenderedPageBreak/>
        <w:t xml:space="preserve">These tools were chosen for their ability to handle large, multidimensional datasets and to balance technical depth with interpretability. </w:t>
      </w:r>
    </w:p>
    <w:p w14:paraId="4CA46F77" w14:textId="77777777" w:rsidR="00EA2C4A" w:rsidRDefault="00EA2C4A" w:rsidP="00EA2C4A"/>
    <w:p w14:paraId="63247310" w14:textId="7D76F2AD" w:rsidR="00E676CE" w:rsidRDefault="00E676CE" w:rsidP="00E676CE">
      <w:pPr>
        <w:pStyle w:val="Heading1"/>
      </w:pPr>
      <w:bookmarkStart w:id="24" w:name="_Toc207541146"/>
      <w:r>
        <w:t>Limitations</w:t>
      </w:r>
      <w:bookmarkEnd w:id="24"/>
    </w:p>
    <w:p w14:paraId="7C4FC875" w14:textId="77777777" w:rsidR="00E676CE" w:rsidRPr="00D7449D" w:rsidRDefault="00E676CE" w:rsidP="00E676CE">
      <w:r w:rsidRPr="00D7449D">
        <w:t xml:space="preserve">Every research project, no matter how carefully designed, faces certain constraints that affect the scope, depth, and generalizability of its findings. Recognizing these limitations is not a weakness but rather a critical aspect of academic rigor, as it demonstrates awareness of the study’s boundaries and provides context for interpreting results. This Capstone Project, which explores the health impacts of post-pandemic remote work using the </w:t>
      </w:r>
      <w:r w:rsidRPr="00D7449D">
        <w:rPr>
          <w:i/>
          <w:iCs/>
        </w:rPr>
        <w:t>Post Pandemic Remote Work Health Impact 2025</w:t>
      </w:r>
      <w:r w:rsidRPr="00D7449D">
        <w:t xml:space="preserve"> dataset, is subject to several limitations related to the dataset itself, methodological challenges, and broader contextual factors.</w:t>
      </w:r>
    </w:p>
    <w:p w14:paraId="1BCA198E" w14:textId="77777777" w:rsidR="00E676CE" w:rsidRPr="00D7449D" w:rsidRDefault="00E676CE" w:rsidP="00E676CE"/>
    <w:p w14:paraId="3343298A" w14:textId="77777777" w:rsidR="00E676CE" w:rsidRPr="00D7449D" w:rsidRDefault="00E676CE" w:rsidP="00E676CE">
      <w:pPr>
        <w:pStyle w:val="Heading2"/>
      </w:pPr>
      <w:bookmarkStart w:id="25" w:name="_Toc207541147"/>
      <w:r w:rsidRPr="00D7449D">
        <w:t>1. Dataset Limitations</w:t>
      </w:r>
      <w:bookmarkEnd w:id="25"/>
    </w:p>
    <w:p w14:paraId="329D5B84" w14:textId="77777777" w:rsidR="00E676CE" w:rsidRPr="00D7449D" w:rsidRDefault="00E676CE" w:rsidP="00E676CE">
      <w:pPr>
        <w:pStyle w:val="Heading3"/>
      </w:pPr>
      <w:bookmarkStart w:id="26" w:name="_Toc207541148"/>
      <w:r w:rsidRPr="00D7449D">
        <w:t>a. Self-Reported Data</w:t>
      </w:r>
      <w:bookmarkEnd w:id="26"/>
    </w:p>
    <w:p w14:paraId="59CC9C43" w14:textId="77777777" w:rsidR="00E676CE" w:rsidRPr="00D7449D" w:rsidRDefault="00E676CE" w:rsidP="00E676CE">
      <w:r w:rsidRPr="00D7449D">
        <w:t>The dataset relies heavily on survey responses, meaning that variables such as burnout level, work-life balance score, and mental health status are self-reported. Self-reported data introduces the possibility of response bias, where participants either overstate positive experiences or underreport negative ones due to social desirability. For instance, employees may minimize reporting burnout or mental health struggles to avoid perceived stigma, which could underestimate the true prevalence of these issues.</w:t>
      </w:r>
    </w:p>
    <w:p w14:paraId="199390DB" w14:textId="77777777" w:rsidR="00E676CE" w:rsidRPr="00D7449D" w:rsidRDefault="00E676CE" w:rsidP="00E676CE">
      <w:pPr>
        <w:pStyle w:val="Heading3"/>
      </w:pPr>
      <w:bookmarkStart w:id="27" w:name="_Toc207541149"/>
      <w:r w:rsidRPr="00D7449D">
        <w:t>b. Lack of Longitudinal Data</w:t>
      </w:r>
      <w:bookmarkEnd w:id="27"/>
    </w:p>
    <w:p w14:paraId="4D28E538" w14:textId="77777777" w:rsidR="00E676CE" w:rsidRPr="00D7449D" w:rsidRDefault="00E676CE" w:rsidP="00E676CE">
      <w:r w:rsidRPr="00D7449D">
        <w:t>The dataset is cross-sectional, capturing a snapshot in time rather than tracking individuals over months or years. While this allows for descriptive and correlational insights, it prevents the ability to establish causal relationships or evaluate changes in employee health as remote work evolves. For example, we cannot determine whether long-term remote work consistently leads to higher isolation or whether individuals adapt over time.</w:t>
      </w:r>
    </w:p>
    <w:p w14:paraId="34EE7002" w14:textId="77777777" w:rsidR="00E676CE" w:rsidRPr="00D7449D" w:rsidRDefault="00E676CE" w:rsidP="00E676CE">
      <w:pPr>
        <w:pStyle w:val="Heading2"/>
      </w:pPr>
      <w:bookmarkStart w:id="28" w:name="_Toc207541150"/>
      <w:r w:rsidRPr="00D7449D">
        <w:t>c. Missing Granularity</w:t>
      </w:r>
      <w:bookmarkEnd w:id="28"/>
    </w:p>
    <w:p w14:paraId="3A4BCE53" w14:textId="77777777" w:rsidR="00E676CE" w:rsidRPr="00D7449D" w:rsidRDefault="00E676CE" w:rsidP="00E676CE">
      <w:r w:rsidRPr="00D7449D">
        <w:t xml:space="preserve">Certain variables, while useful, lack the depth required for nuanced insights. For example, </w:t>
      </w:r>
      <w:proofErr w:type="spellStart"/>
      <w:r w:rsidRPr="00D7449D">
        <w:rPr>
          <w:i/>
          <w:iCs/>
        </w:rPr>
        <w:t>Physical_Health_Issues</w:t>
      </w:r>
      <w:proofErr w:type="spellEnd"/>
      <w:r w:rsidRPr="00D7449D">
        <w:t xml:space="preserve"> is a multi-label text field (e.g., “Back Pain; Eye Strain”), but it does not include severity or frequency of symptoms. Similarly, </w:t>
      </w:r>
      <w:proofErr w:type="spellStart"/>
      <w:proofErr w:type="gramStart"/>
      <w:r w:rsidRPr="00D7449D">
        <w:rPr>
          <w:i/>
          <w:iCs/>
        </w:rPr>
        <w:t>Work</w:t>
      </w:r>
      <w:proofErr w:type="gramEnd"/>
      <w:r w:rsidRPr="00D7449D">
        <w:rPr>
          <w:i/>
          <w:iCs/>
        </w:rPr>
        <w:t>_Arrangement</w:t>
      </w:r>
      <w:proofErr w:type="spellEnd"/>
      <w:r w:rsidRPr="00D7449D">
        <w:t xml:space="preserve"> is categorized </w:t>
      </w:r>
      <w:r w:rsidRPr="00D7449D">
        <w:lastRenderedPageBreak/>
        <w:t>broadly into Remote, Hybrid, or Onsite, but it does not distinguish between different hybrid schedules (e.g., 2 vs. 3 days onsite), which could meaningfully impact outcomes.</w:t>
      </w:r>
    </w:p>
    <w:p w14:paraId="09371894" w14:textId="77777777" w:rsidR="00E676CE" w:rsidRPr="00D7449D" w:rsidRDefault="00E676CE" w:rsidP="00E676CE">
      <w:pPr>
        <w:pStyle w:val="Heading3"/>
      </w:pPr>
      <w:bookmarkStart w:id="29" w:name="_Toc207541151"/>
      <w:r w:rsidRPr="00D7449D">
        <w:t>d. Representation of Industries and Regions</w:t>
      </w:r>
      <w:bookmarkEnd w:id="29"/>
    </w:p>
    <w:p w14:paraId="21B691C0" w14:textId="77777777" w:rsidR="00E676CE" w:rsidRPr="00D7449D" w:rsidRDefault="00E676CE" w:rsidP="00E676CE">
      <w:r w:rsidRPr="00D7449D">
        <w:t>Although the dataset spans multiple industries and global regions, it may not equally represent them. Some regions or industries may be overrepresented (e.g., professional services or technology), while others are underrepresented (e.g., agriculture or small business sectors). This imbalance creates potential sampling bias, limiting the generalizability of results to the broader workforce.</w:t>
      </w:r>
    </w:p>
    <w:p w14:paraId="74023E20" w14:textId="77777777" w:rsidR="00E676CE" w:rsidRPr="00D7449D" w:rsidRDefault="00E676CE" w:rsidP="00E676CE"/>
    <w:p w14:paraId="1516477D" w14:textId="77777777" w:rsidR="00E676CE" w:rsidRPr="00D7449D" w:rsidRDefault="00E676CE" w:rsidP="00E676CE">
      <w:pPr>
        <w:pStyle w:val="Heading2"/>
      </w:pPr>
      <w:bookmarkStart w:id="30" w:name="_Toc207541152"/>
      <w:r w:rsidRPr="00D7449D">
        <w:t>2. Methodological Limitations</w:t>
      </w:r>
      <w:bookmarkEnd w:id="30"/>
    </w:p>
    <w:p w14:paraId="12C1559D" w14:textId="77777777" w:rsidR="00E676CE" w:rsidRPr="00D7449D" w:rsidRDefault="00E676CE" w:rsidP="00E676CE">
      <w:pPr>
        <w:pStyle w:val="Heading3"/>
      </w:pPr>
      <w:bookmarkStart w:id="31" w:name="_Toc207541153"/>
      <w:r w:rsidRPr="00D7449D">
        <w:t>a. Statistical Generalizability</w:t>
      </w:r>
      <w:bookmarkEnd w:id="31"/>
    </w:p>
    <w:p w14:paraId="1DFE1B4A" w14:textId="77777777" w:rsidR="00E676CE" w:rsidRPr="00D7449D" w:rsidRDefault="00E676CE" w:rsidP="00E676CE">
      <w:r w:rsidRPr="00D7449D">
        <w:t>Because the project uses a secondary dataset, the sampling methods are not fully transparent. Without knowing whether the data was collected through random sampling or convenience sampling, it is difficult to assert that findings are statistically generalizable to the entire population of post-pandemic remote workers.</w:t>
      </w:r>
    </w:p>
    <w:p w14:paraId="3869A2A7" w14:textId="77777777" w:rsidR="00E676CE" w:rsidRPr="00D7449D" w:rsidRDefault="00E676CE" w:rsidP="00E676CE">
      <w:pPr>
        <w:pStyle w:val="Heading3"/>
      </w:pPr>
      <w:bookmarkStart w:id="32" w:name="_Toc207541154"/>
      <w:r w:rsidRPr="00D7449D">
        <w:t>b. Ordinal and Nominal Variables</w:t>
      </w:r>
      <w:bookmarkEnd w:id="32"/>
    </w:p>
    <w:p w14:paraId="4791A00F" w14:textId="77777777" w:rsidR="00E676CE" w:rsidRPr="00D7449D" w:rsidRDefault="00E676CE" w:rsidP="00E676CE">
      <w:r w:rsidRPr="00D7449D">
        <w:t>Several key variables, such as burnout level, social isolation score, and work-life balance score, are ordinal in nature. While ordinal data can be encoded numerically for analysis, the distance between categories (e.g., between “Low” and “Medium” burnout) is not truly equal. This introduces limitations when applying certain statistical models that assume interval-level measurement.</w:t>
      </w:r>
    </w:p>
    <w:p w14:paraId="38B62C8D" w14:textId="77777777" w:rsidR="00E676CE" w:rsidRPr="00D7449D" w:rsidRDefault="00E676CE" w:rsidP="00E676CE">
      <w:pPr>
        <w:pStyle w:val="Heading3"/>
      </w:pPr>
      <w:bookmarkStart w:id="33" w:name="_Toc207541155"/>
      <w:r w:rsidRPr="00D7449D">
        <w:t>c. Multi-Label Parsing</w:t>
      </w:r>
      <w:bookmarkEnd w:id="33"/>
    </w:p>
    <w:p w14:paraId="3FD7F38A" w14:textId="77777777" w:rsidR="00E676CE" w:rsidRPr="00D7449D" w:rsidRDefault="00E676CE" w:rsidP="00E676CE">
      <w:r w:rsidRPr="00D7449D">
        <w:t xml:space="preserve">Variables like </w:t>
      </w:r>
      <w:proofErr w:type="spellStart"/>
      <w:r w:rsidRPr="00D7449D">
        <w:rPr>
          <w:i/>
          <w:iCs/>
        </w:rPr>
        <w:t>Physical_Health_Issues</w:t>
      </w:r>
      <w:proofErr w:type="spellEnd"/>
      <w:r w:rsidRPr="00D7449D">
        <w:t xml:space="preserve"> present challenges for preprocessing. Splitting compound text fields into binary indicators increases complexity and the risk of inconsistencies in categorization. For example, “Neck Pain” and “Back/Neck Pain” may be treated as separate entries, introducing noise into the analysis unless carefully standardized.</w:t>
      </w:r>
    </w:p>
    <w:p w14:paraId="5AA6D890" w14:textId="77777777" w:rsidR="00E676CE" w:rsidRPr="00D7449D" w:rsidRDefault="00E676CE" w:rsidP="00E676CE">
      <w:pPr>
        <w:pStyle w:val="Heading3"/>
      </w:pPr>
      <w:bookmarkStart w:id="34" w:name="_Toc207541156"/>
      <w:r w:rsidRPr="00D7449D">
        <w:t>d. Causality vs. Correlation</w:t>
      </w:r>
      <w:bookmarkEnd w:id="34"/>
    </w:p>
    <w:p w14:paraId="4DCEE793" w14:textId="77777777" w:rsidR="00E676CE" w:rsidRPr="00D7449D" w:rsidRDefault="00E676CE" w:rsidP="00E676CE">
      <w:r w:rsidRPr="00D7449D">
        <w:t xml:space="preserve">Perhaps the most significant methodological limitation is the inability to infer causation. While statistical tests and predictive models can identify correlations (e.g., between hours worked and burnout), they cannot determine whether one variable directly causes another. </w:t>
      </w:r>
      <w:r w:rsidRPr="00D7449D">
        <w:lastRenderedPageBreak/>
        <w:t>External factors such as organizational culture, leadership practices, or personal life circumstances could also drive these outcomes but are not included in the dataset.</w:t>
      </w:r>
    </w:p>
    <w:p w14:paraId="1596D563" w14:textId="77777777" w:rsidR="00E676CE" w:rsidRPr="00D7449D" w:rsidRDefault="00E676CE" w:rsidP="00E676CE"/>
    <w:p w14:paraId="5684E86B" w14:textId="77777777" w:rsidR="00E676CE" w:rsidRPr="00D7449D" w:rsidRDefault="00E676CE" w:rsidP="00E676CE">
      <w:pPr>
        <w:pStyle w:val="Heading2"/>
      </w:pPr>
      <w:bookmarkStart w:id="35" w:name="_Toc207541157"/>
      <w:r w:rsidRPr="00D7449D">
        <w:t>3. Ethical and Human Considerations</w:t>
      </w:r>
      <w:bookmarkEnd w:id="35"/>
    </w:p>
    <w:p w14:paraId="43D52637" w14:textId="77777777" w:rsidR="00E676CE" w:rsidRPr="00D7449D" w:rsidRDefault="00E676CE" w:rsidP="00E676CE">
      <w:pPr>
        <w:pStyle w:val="Heading3"/>
      </w:pPr>
      <w:bookmarkStart w:id="36" w:name="_Toc207541158"/>
      <w:r w:rsidRPr="00D7449D">
        <w:t>a. Sensitivity of Mental Health Data</w:t>
      </w:r>
      <w:bookmarkEnd w:id="36"/>
    </w:p>
    <w:p w14:paraId="6327E18C" w14:textId="77777777" w:rsidR="00E676CE" w:rsidRPr="00D7449D" w:rsidRDefault="00E676CE" w:rsidP="00E676CE">
      <w:r w:rsidRPr="00D7449D">
        <w:t>Variables related to mental health and burnout are ethically sensitive and subject to stigma. Even though the dataset is anonymized, presenting findings without care could reinforce stereotypes. For example, highlighting that one region reports higher anxiety may unintentionally stigmatize employees from that area. Thus, results must be communicated with caution, which may reduce the directness of conclusions drawn.</w:t>
      </w:r>
    </w:p>
    <w:p w14:paraId="0C04A256" w14:textId="77777777" w:rsidR="00E676CE" w:rsidRPr="00D7449D" w:rsidRDefault="00E676CE" w:rsidP="00E676CE">
      <w:pPr>
        <w:pStyle w:val="Heading3"/>
      </w:pPr>
      <w:bookmarkStart w:id="37" w:name="_Toc207541159"/>
      <w:r w:rsidRPr="00D7449D">
        <w:t>b. Organizational Misuse of Findings</w:t>
      </w:r>
      <w:bookmarkEnd w:id="37"/>
    </w:p>
    <w:p w14:paraId="28D474FE" w14:textId="77777777" w:rsidR="00E676CE" w:rsidRPr="00D7449D" w:rsidRDefault="00E676CE" w:rsidP="00E676CE">
      <w:r w:rsidRPr="00D7449D">
        <w:t>Another ethical limitation lies in how results could be interpreted by organizations. While the purpose of this project is to inform supportive workplace practices, there is a risk that findings might be misapplied. For instance, if hybrid arrangements appear healthier than remote, some companies could mandate hybrid schedules without considering individual employee needs. The challenge lies in ensuring recommendations are framed in ways that prevent misuse, though researchers cannot fully control how stakeholders apply the results.</w:t>
      </w:r>
    </w:p>
    <w:p w14:paraId="7998ED24" w14:textId="77777777" w:rsidR="00E676CE" w:rsidRPr="00D7449D" w:rsidRDefault="00E676CE" w:rsidP="00E676CE"/>
    <w:p w14:paraId="7ACE791B" w14:textId="77777777" w:rsidR="00E676CE" w:rsidRPr="00D7449D" w:rsidRDefault="00E676CE" w:rsidP="00E676CE">
      <w:pPr>
        <w:pStyle w:val="Heading2"/>
      </w:pPr>
      <w:bookmarkStart w:id="38" w:name="_Toc207541160"/>
      <w:r w:rsidRPr="00D7449D">
        <w:t>4. Technological Limitations</w:t>
      </w:r>
      <w:bookmarkEnd w:id="38"/>
    </w:p>
    <w:p w14:paraId="5E090AE6" w14:textId="77777777" w:rsidR="00E676CE" w:rsidRPr="00D7449D" w:rsidRDefault="00E676CE" w:rsidP="00E676CE">
      <w:pPr>
        <w:pStyle w:val="Heading3"/>
      </w:pPr>
      <w:bookmarkStart w:id="39" w:name="_Toc207541161"/>
      <w:r w:rsidRPr="00D7449D">
        <w:t>a. Data Quality and Encoding</w:t>
      </w:r>
      <w:bookmarkEnd w:id="39"/>
    </w:p>
    <w:p w14:paraId="1BF410C5" w14:textId="77777777" w:rsidR="00E676CE" w:rsidRPr="00D7449D" w:rsidRDefault="00E676CE" w:rsidP="00E676CE">
      <w:r w:rsidRPr="00D7449D">
        <w:t>Technological challenges stem from preparing and encoding the dataset for analysis. Improper handling of ordinal and nominal variables could introduce bias in machine learning models. For example, encoding burnout levels as 1, 2, and 3 assumes equal spacing between categories, which may not reflect real-world differences.</w:t>
      </w:r>
    </w:p>
    <w:p w14:paraId="7D3408AA" w14:textId="77777777" w:rsidR="00E676CE" w:rsidRPr="00D7449D" w:rsidRDefault="00E676CE" w:rsidP="00E676CE">
      <w:pPr>
        <w:pStyle w:val="Heading3"/>
      </w:pPr>
      <w:bookmarkStart w:id="40" w:name="_Toc207541162"/>
      <w:r w:rsidRPr="00D7449D">
        <w:t>b. Limitations of Predictive Models</w:t>
      </w:r>
      <w:bookmarkEnd w:id="40"/>
    </w:p>
    <w:p w14:paraId="503D5D50" w14:textId="77777777" w:rsidR="00E676CE" w:rsidRPr="00D7449D" w:rsidRDefault="00E676CE" w:rsidP="00E676CE">
      <w:r w:rsidRPr="00D7449D">
        <w:t>Machine learning models themselves have limitations. They can highlight patterns, but they are prone to overfitting, biased predictions, or poor performance if the dataset is unbalanced. These technical constraints mean results should be interpreted as guidelines, not absolute predictions.</w:t>
      </w:r>
    </w:p>
    <w:p w14:paraId="5D31B421" w14:textId="77777777" w:rsidR="00E676CE" w:rsidRPr="00D7449D" w:rsidRDefault="00E676CE" w:rsidP="00E676CE">
      <w:pPr>
        <w:pStyle w:val="Heading3"/>
      </w:pPr>
      <w:bookmarkStart w:id="41" w:name="_Toc207541163"/>
      <w:r w:rsidRPr="00D7449D">
        <w:lastRenderedPageBreak/>
        <w:t>c. Lack of Real-Time Data</w:t>
      </w:r>
      <w:bookmarkEnd w:id="41"/>
    </w:p>
    <w:p w14:paraId="56D84FAC" w14:textId="77777777" w:rsidR="00E676CE" w:rsidRPr="00D7449D" w:rsidRDefault="00E676CE" w:rsidP="00E676CE">
      <w:r w:rsidRPr="00D7449D">
        <w:t xml:space="preserve">The dataset captures responses from a fixed point in 2025. However, workplace dynamics and employee health are evolving rapidly as organizations </w:t>
      </w:r>
      <w:proofErr w:type="gramStart"/>
      <w:r w:rsidRPr="00D7449D">
        <w:t>refine</w:t>
      </w:r>
      <w:proofErr w:type="gramEnd"/>
      <w:r w:rsidRPr="00D7449D">
        <w:t xml:space="preserve"> hybrid work models. The absence of real-time or continuously updated data limits the relevance of findings for future conditions.</w:t>
      </w:r>
    </w:p>
    <w:p w14:paraId="437552B9" w14:textId="77777777" w:rsidR="00E676CE" w:rsidRPr="00D7449D" w:rsidRDefault="00E676CE" w:rsidP="00E676CE"/>
    <w:p w14:paraId="06F369DD" w14:textId="77777777" w:rsidR="00E676CE" w:rsidRPr="00D7449D" w:rsidRDefault="00E676CE" w:rsidP="00E676CE">
      <w:pPr>
        <w:pStyle w:val="Heading2"/>
      </w:pPr>
      <w:bookmarkStart w:id="42" w:name="_Toc207541164"/>
      <w:r w:rsidRPr="00D7449D">
        <w:t>5. Contextual Limitations</w:t>
      </w:r>
      <w:bookmarkEnd w:id="42"/>
    </w:p>
    <w:p w14:paraId="4330F0EB" w14:textId="77777777" w:rsidR="00E676CE" w:rsidRPr="00D7449D" w:rsidRDefault="00E676CE" w:rsidP="00E676CE">
      <w:pPr>
        <w:pStyle w:val="Heading3"/>
      </w:pPr>
      <w:bookmarkStart w:id="43" w:name="_Toc207541165"/>
      <w:r w:rsidRPr="00D7449D">
        <w:t>a. Cultural and Regional Differences</w:t>
      </w:r>
      <w:bookmarkEnd w:id="43"/>
    </w:p>
    <w:p w14:paraId="47973299" w14:textId="77777777" w:rsidR="00E676CE" w:rsidRPr="00D7449D" w:rsidRDefault="00E676CE" w:rsidP="00E676CE">
      <w:r w:rsidRPr="00D7449D">
        <w:t>The dataset includes responses from multiple regions, but cultural norms around mental health, work-life balance, and workplace expectations vary widely. For example, discussing stress or burnout may be normalized in some cultures but stigmatized in others. This creates challenges in making cross-regional comparisons and limits the ability to draw universal conclusions.</w:t>
      </w:r>
    </w:p>
    <w:p w14:paraId="0E7CFF83" w14:textId="77777777" w:rsidR="00E676CE" w:rsidRPr="00D7449D" w:rsidRDefault="00E676CE" w:rsidP="00E676CE">
      <w:pPr>
        <w:pStyle w:val="Heading3"/>
      </w:pPr>
      <w:bookmarkStart w:id="44" w:name="_Toc207541166"/>
      <w:r w:rsidRPr="00D7449D">
        <w:t>b. Impact of External Factors</w:t>
      </w:r>
      <w:bookmarkEnd w:id="44"/>
    </w:p>
    <w:p w14:paraId="6C62F597" w14:textId="77777777" w:rsidR="00E676CE" w:rsidRPr="00D7449D" w:rsidRDefault="00E676CE" w:rsidP="00E676CE">
      <w:r w:rsidRPr="00D7449D">
        <w:t>Employee health outcomes are influenced by external factors not captured in the dataset, such as access to healthcare, national labor policies, or family responsibilities. These externalities mean the dataset cannot fully explain the complexity of health outcomes in remote work environments.</w:t>
      </w:r>
    </w:p>
    <w:p w14:paraId="1E9494E3" w14:textId="495A7C85" w:rsidR="00E676CE" w:rsidRDefault="00464EAE" w:rsidP="00464EAE">
      <w:pPr>
        <w:pStyle w:val="Heading1"/>
      </w:pPr>
      <w:bookmarkStart w:id="45" w:name="_Toc207541167"/>
      <w:r>
        <w:t>Ethical Considerations</w:t>
      </w:r>
      <w:bookmarkEnd w:id="45"/>
    </w:p>
    <w:p w14:paraId="3EA8EDF7" w14:textId="77777777" w:rsidR="00464EAE" w:rsidRPr="00672E7E" w:rsidRDefault="00464EAE" w:rsidP="00464EAE">
      <w:r w:rsidRPr="00672E7E">
        <w:t>This Capstone Project addresses an important and sensitive research area: the health implications of remote work in the post-pandemic era. Because the dataset includes variables such as mental health status, burnout levels, social isolation scores, and salary ranges, the research requires careful consideration of human dignity, fairness, and responsible use of data. Ethical principles are essential not only to ensure compliance with research standards but also to guarantee that findings are presented in ways that benefit employees and organizations rather than harm them. This section outlines the ethical issues most relevant to the project and describes the steps that will be taken to address them.</w:t>
      </w:r>
    </w:p>
    <w:p w14:paraId="71BDF5AB" w14:textId="77777777" w:rsidR="00464EAE" w:rsidRPr="00672E7E" w:rsidRDefault="00464EAE" w:rsidP="00464EAE">
      <w:pPr>
        <w:pStyle w:val="Heading2"/>
      </w:pPr>
      <w:bookmarkStart w:id="46" w:name="_Toc207541168"/>
      <w:r w:rsidRPr="00672E7E">
        <w:t>1. Data Anonymity and Privacy Protection</w:t>
      </w:r>
      <w:bookmarkEnd w:id="46"/>
    </w:p>
    <w:p w14:paraId="1F869244" w14:textId="77777777" w:rsidR="00464EAE" w:rsidRPr="00672E7E" w:rsidRDefault="00464EAE" w:rsidP="00464EAE">
      <w:r w:rsidRPr="00672E7E">
        <w:t xml:space="preserve">The first and most fundamental ethical principle is protecting the anonymity of individuals represented in the dataset. The dataset is fully anonymized, meaning there are no </w:t>
      </w:r>
      <w:r w:rsidRPr="00672E7E">
        <w:lastRenderedPageBreak/>
        <w:t>personally identifiable information (PII) fields such as names, addresses, or unique IDs. However, indirect identifiers such as age, gender, region, job role, and salary range could, if combined, potentially narrow down to a small group of individuals in real-world contexts.</w:t>
      </w:r>
    </w:p>
    <w:p w14:paraId="08A5F8F9" w14:textId="77777777" w:rsidR="00464EAE" w:rsidRPr="00672E7E" w:rsidRDefault="00464EAE" w:rsidP="00464EAE">
      <w:r w:rsidRPr="00672E7E">
        <w:t>To mitigate this, the dataset will be treated with the highest degree of confidentiality. All analysis will focus on group-level trends rather than individual records. Findings will be reported in aggregate form (e.g., averages, percentages, or distributions), and no effort will be made to re-identify or trace data back to any person or subgroup. This approach ensures compliance with standard ethical research practices and reflects a commitment to respecting the privacy of participants.</w:t>
      </w:r>
    </w:p>
    <w:p w14:paraId="624D19C2" w14:textId="77777777" w:rsidR="00464EAE" w:rsidRPr="00672E7E" w:rsidRDefault="00464EAE" w:rsidP="00464EAE">
      <w:pPr>
        <w:pStyle w:val="Heading2"/>
      </w:pPr>
      <w:bookmarkStart w:id="47" w:name="_Toc207541169"/>
      <w:r w:rsidRPr="00672E7E">
        <w:t>2. Mental Health Reporting and Stigma Prevention</w:t>
      </w:r>
      <w:bookmarkEnd w:id="47"/>
    </w:p>
    <w:p w14:paraId="42E2153F" w14:textId="77777777" w:rsidR="00464EAE" w:rsidRPr="00672E7E" w:rsidRDefault="00464EAE" w:rsidP="00464EAE">
      <w:r w:rsidRPr="00672E7E">
        <w:t>The dataset includes variables on mental health status, which is a highly sensitive and potentially stigmatizing topic. If handled carelessly, analysis in this area could reinforce stereotypes or imply that certain roles, genders, or regions are more prone to poor mental health, creating damaging narratives. For example, reporting that “workers in a specific region have higher rates of stress disorders” could be misinterpreted in ways that stigmatize an entire group.</w:t>
      </w:r>
    </w:p>
    <w:p w14:paraId="7655EFB2" w14:textId="77777777" w:rsidR="00464EAE" w:rsidRPr="00672E7E" w:rsidRDefault="00464EAE" w:rsidP="00464EAE">
      <w:r w:rsidRPr="00672E7E">
        <w:t>To avoid such harm, findings related to mental health will be communicated with caution. Neutral and supportive language will be used, avoiding terms that place blame on individuals. For example, instead of framing results as “employees with poor mental health,” results will be reported as “higher isolation scores are associated with increased likelihood of stress-related outcomes.” This shifts the focus away from the individual and toward workplace structures and environmental factors that organizations can address. Furthermore, all results will highlight the importance of organizational support systems, access to resources, and workplace interventions rather than attributing responsibility solely to employees.</w:t>
      </w:r>
    </w:p>
    <w:p w14:paraId="59D96963" w14:textId="77777777" w:rsidR="00464EAE" w:rsidRPr="00672E7E" w:rsidRDefault="00464EAE" w:rsidP="00464EAE">
      <w:pPr>
        <w:pStyle w:val="Heading2"/>
      </w:pPr>
      <w:bookmarkStart w:id="48" w:name="_Toc207541170"/>
      <w:r w:rsidRPr="00672E7E">
        <w:t>3. Addressing Sampling Bias and Representativeness</w:t>
      </w:r>
      <w:bookmarkEnd w:id="48"/>
    </w:p>
    <w:p w14:paraId="04ACE032" w14:textId="77777777" w:rsidR="00464EAE" w:rsidRPr="00672E7E" w:rsidRDefault="00464EAE" w:rsidP="00464EAE">
      <w:r w:rsidRPr="00672E7E">
        <w:t>Another ethical challenge lies in the potential for sampling bias within the dataset. If certain groups (e.g., specific industries, genders, or regions) are over- or underrepresented, the results could present a skewed picture that does not generalize well to the larger workforce. For example, if most participants are from professional services or technology industries, conclusions about manufacturing or healthcare workers may be unreliable.</w:t>
      </w:r>
    </w:p>
    <w:p w14:paraId="7721A0D9" w14:textId="77777777" w:rsidR="00464EAE" w:rsidRPr="00672E7E" w:rsidRDefault="00464EAE" w:rsidP="00464EAE">
      <w:r w:rsidRPr="00672E7E">
        <w:t xml:space="preserve">To address this, the research will apply strategies such as stratified analysis or statistical weighting where feasible. This ensures that smaller groups are represented fairly and that results are not dominated by the most common demographic categories. Where biases </w:t>
      </w:r>
      <w:r w:rsidRPr="00672E7E">
        <w:lastRenderedPageBreak/>
        <w:t>cannot be fully corrected, they will be explicitly acknowledged in the reporting. Transparency about dataset limitations will prevent overgeneralization and help ensure that findings are interpreted in the proper context.</w:t>
      </w:r>
    </w:p>
    <w:p w14:paraId="602497FF" w14:textId="77777777" w:rsidR="00464EAE" w:rsidRPr="00672E7E" w:rsidRDefault="00464EAE" w:rsidP="00464EAE">
      <w:pPr>
        <w:pStyle w:val="Heading2"/>
      </w:pPr>
      <w:bookmarkStart w:id="49" w:name="_Toc207541171"/>
      <w:r w:rsidRPr="00672E7E">
        <w:t>4. Responsible Use of AI and Predictive Models</w:t>
      </w:r>
      <w:bookmarkEnd w:id="49"/>
    </w:p>
    <w:p w14:paraId="76E7F284" w14:textId="77777777" w:rsidR="00464EAE" w:rsidRPr="00672E7E" w:rsidRDefault="00464EAE" w:rsidP="00464EAE">
      <w:r w:rsidRPr="00672E7E">
        <w:t>This project involves statistical testing and may incorporate predictive modeling to identify health risk factors associated with remote work. While these methods can provide valuable insights, they also raise ethical concerns if interpreted too rigidly or applied in inappropriate contexts.</w:t>
      </w:r>
    </w:p>
    <w:p w14:paraId="3B4FACD6" w14:textId="77777777" w:rsidR="00464EAE" w:rsidRPr="00672E7E" w:rsidRDefault="00464EAE" w:rsidP="00464EAE">
      <w:r w:rsidRPr="00672E7E">
        <w:t>Predictive models will not be used for employment decisions, such as hiring, firing, or evaluating individual employees. Nor will they be presented as medical diagnoses. Instead, predictive outputs will be framed as organizational-level patterns that can inform wellness strategies and HR policies. For example, a model showing that high weekly hours combined with poor work-life balance predicts increased burnout will be used to recommend organizational changes, not to label employees. This aligns with the principle of “do no harm,” ensuring that models serve to improve work environments rather than penalize individuals.</w:t>
      </w:r>
    </w:p>
    <w:p w14:paraId="7AA66362" w14:textId="77777777" w:rsidR="00464EAE" w:rsidRPr="00672E7E" w:rsidRDefault="00464EAE" w:rsidP="00464EAE">
      <w:pPr>
        <w:pStyle w:val="Heading2"/>
      </w:pPr>
      <w:bookmarkStart w:id="50" w:name="_Toc207541172"/>
      <w:r w:rsidRPr="00672E7E">
        <w:t>5. Transparency and Reproducibility</w:t>
      </w:r>
      <w:bookmarkEnd w:id="50"/>
    </w:p>
    <w:p w14:paraId="5C3F980B" w14:textId="77777777" w:rsidR="00464EAE" w:rsidRPr="00672E7E" w:rsidRDefault="00464EAE" w:rsidP="00464EAE">
      <w:r w:rsidRPr="00672E7E">
        <w:t xml:space="preserve">Transparency is a cornerstone of ethical research. For this project, all assumptions, preprocessing decisions, and modeling choices will be carefully documented. For example, if ordinal variables such as burnout levels (“Low, Medium, High”) are recoded into numeric scales, the reasoning will be explained. Similarly, if multi-label variables like </w:t>
      </w:r>
      <w:proofErr w:type="spellStart"/>
      <w:r w:rsidRPr="00672E7E">
        <w:rPr>
          <w:i/>
          <w:iCs/>
        </w:rPr>
        <w:t>Physical_Health_Issues</w:t>
      </w:r>
      <w:proofErr w:type="spellEnd"/>
      <w:r w:rsidRPr="00672E7E">
        <w:t xml:space="preserve"> are parsed into binary indicators, this process will be documented.</w:t>
      </w:r>
    </w:p>
    <w:p w14:paraId="0EB8B823" w14:textId="77777777" w:rsidR="00464EAE" w:rsidRPr="00672E7E" w:rsidRDefault="00464EAE" w:rsidP="00464EAE">
      <w:r w:rsidRPr="00672E7E">
        <w:t xml:space="preserve">The use of reproducible tools such as </w:t>
      </w:r>
      <w:proofErr w:type="spellStart"/>
      <w:r w:rsidRPr="00672E7E">
        <w:t>Jupyter</w:t>
      </w:r>
      <w:proofErr w:type="spellEnd"/>
      <w:r w:rsidRPr="00672E7E">
        <w:t xml:space="preserve"> Notebooks ensures that every step of the analysis can be reviewed and replicated by others. If findings are shared in academic or organizational contexts, full documentation will be provided so that peers can validate and critique the methodology. This commitment to transparency not only strengthens the credibility of the research but also reinforces ethical accountability.</w:t>
      </w:r>
    </w:p>
    <w:p w14:paraId="5F7CDDE5" w14:textId="77777777" w:rsidR="00464EAE" w:rsidRPr="00672E7E" w:rsidRDefault="00464EAE" w:rsidP="00464EAE">
      <w:pPr>
        <w:pStyle w:val="Heading2"/>
      </w:pPr>
      <w:bookmarkStart w:id="51" w:name="_Toc207541173"/>
      <w:r w:rsidRPr="00672E7E">
        <w:t>6. Organizational Responsibility and Misuse Prevention</w:t>
      </w:r>
      <w:bookmarkEnd w:id="51"/>
    </w:p>
    <w:p w14:paraId="54598976" w14:textId="77777777" w:rsidR="00464EAE" w:rsidRPr="00672E7E" w:rsidRDefault="00464EAE" w:rsidP="00464EAE">
      <w:r w:rsidRPr="00672E7E">
        <w:t>A unique ethical risk in workplace research is how organizations might choose to use the findings. There is a danger that results could be misinterpreted or misapplied to justify cutting wellness programs, reducing flexibility, or making cost-saving decisions at the expense of employees. For example, if results show that hybrid arrangements reduce burnout, an organization might mandate hybrid work without considering employees who thrive in fully remote setups.</w:t>
      </w:r>
    </w:p>
    <w:p w14:paraId="09FB4398" w14:textId="77777777" w:rsidR="00464EAE" w:rsidRPr="00672E7E" w:rsidRDefault="00464EAE" w:rsidP="00464EAE">
      <w:r w:rsidRPr="00672E7E">
        <w:lastRenderedPageBreak/>
        <w:t>To mitigate this, recommendations will be explicitly framed in terms of enhancing employee health and organizational sustainability. Reports will stress that findings should support improvements in work-life balance, wellness initiatives, and mental health resources. Ethical interpretation will emphasize that the goal is to create inclusive and adaptable strategies, not one-size-fits-all solutions.</w:t>
      </w:r>
    </w:p>
    <w:p w14:paraId="075CDBE3" w14:textId="77777777" w:rsidR="00464EAE" w:rsidRPr="00672E7E" w:rsidRDefault="00464EAE" w:rsidP="00464EAE">
      <w:pPr>
        <w:pStyle w:val="Heading2"/>
      </w:pPr>
      <w:bookmarkStart w:id="52" w:name="_Toc207541174"/>
      <w:r w:rsidRPr="00672E7E">
        <w:t>7. Broader Ethical Commitment</w:t>
      </w:r>
      <w:bookmarkEnd w:id="52"/>
    </w:p>
    <w:p w14:paraId="106C59C0" w14:textId="77777777" w:rsidR="00464EAE" w:rsidRPr="00672E7E" w:rsidRDefault="00464EAE" w:rsidP="00464EAE">
      <w:r w:rsidRPr="00672E7E">
        <w:t>Ultimately, these ethical considerations extend beyond compliance. They reflect a broader commitment to using data science responsibly in workplace research. By prioritizing privacy, reducing stigma, addressing bias, ensuring transparency, and preventing misuse, this project aims to generate findings that benefit employees and organizations alike. The guiding principle is that research should serve to empower individuals and promote healthier, more sustainable work environments in the post-pandemic era.</w:t>
      </w:r>
    </w:p>
    <w:p w14:paraId="2AB10690" w14:textId="77777777" w:rsidR="003A50B6" w:rsidRDefault="003A50B6" w:rsidP="003A50B6"/>
    <w:p w14:paraId="6FFDB956" w14:textId="25E1814C" w:rsidR="003A50B6" w:rsidRPr="008F5948" w:rsidRDefault="003A50B6" w:rsidP="003A50B6">
      <w:r w:rsidRPr="008F5948">
        <w:t xml:space="preserve">In bringing these elements together, the Capstone Project establishes a comprehensive foundation for examining the health implications of remote and hybrid work in the post-pandemic era. The introduction demonstrated why this research </w:t>
      </w:r>
      <w:r w:rsidR="008D4C20" w:rsidRPr="008F5948">
        <w:t>matters</w:t>
      </w:r>
      <w:r w:rsidRPr="008F5948">
        <w:t xml:space="preserve"> more than ever, while the objectives and research questions defined a clear path for analysis. The overview of the study highlighted the unique strengths of the </w:t>
      </w:r>
      <w:r w:rsidRPr="008F5948">
        <w:rPr>
          <w:i/>
          <w:iCs/>
        </w:rPr>
        <w:t>Post Pandemic Remote Work Health Impact 2025</w:t>
      </w:r>
      <w:r w:rsidRPr="008F5948">
        <w:t xml:space="preserve"> dataset, and the hypotheses provided a structured framework for testing meaningful relationships between work structures and wellness outcomes. The literature review further reinforced the study’s direction by demonstrating that while remote work provides flexibility and productivity benefits, it also carries risks of burnout, isolation, and physical or mental health challenges if not managed with intention. Together, the methodological design and choice of tools ensure that the project will approach these questions with statistical rigor, while the recognition of limitations and ethical considerations confirms that findings will be framed responsibly and transparently.</w:t>
      </w:r>
    </w:p>
    <w:p w14:paraId="73BC0E07" w14:textId="77777777" w:rsidR="003A50B6" w:rsidRPr="008F5948" w:rsidRDefault="003A50B6" w:rsidP="003A50B6">
      <w:r w:rsidRPr="008F5948">
        <w:t>What emerges is a balanced and thoughtful study that acknowledges both the opportunities and challenges of remote work. By connecting theory with empirical analysis, the project is positioned to provide organizations and policymakers with evidence-based insights into how work arrangements, hours, and demographic factors affect employee well-being. Ultimately, this transition from framing and design into analysis sets the stage for meaningful contributions that not only advance academic discourse but also equip leaders with actionable strategies for creating healthier, more sustainable workplaces in the digital era.</w:t>
      </w:r>
    </w:p>
    <w:p w14:paraId="3FA9F887" w14:textId="52A7AA41" w:rsidR="008D4C20" w:rsidRDefault="008D4C20" w:rsidP="00464EAE"/>
    <w:p w14:paraId="47D422C8" w14:textId="77777777" w:rsidR="00A72438" w:rsidRPr="00237C6A" w:rsidRDefault="00A72438" w:rsidP="00A72438">
      <w:pPr>
        <w:pStyle w:val="Heading2"/>
      </w:pPr>
      <w:bookmarkStart w:id="53" w:name="_Toc207541175"/>
      <w:r w:rsidRPr="00237C6A">
        <w:lastRenderedPageBreak/>
        <w:t>Results and Discussion</w:t>
      </w:r>
      <w:bookmarkEnd w:id="53"/>
    </w:p>
    <w:p w14:paraId="30472C59" w14:textId="77777777" w:rsidR="00A72438" w:rsidRPr="00237C6A" w:rsidRDefault="00A72438" w:rsidP="00A72438">
      <w:pPr>
        <w:pStyle w:val="Heading3"/>
      </w:pPr>
      <w:bookmarkStart w:id="54" w:name="_Toc207541176"/>
      <w:r w:rsidRPr="00237C6A">
        <w:t>Introduction to Results</w:t>
      </w:r>
      <w:bookmarkEnd w:id="54"/>
    </w:p>
    <w:p w14:paraId="357D1611" w14:textId="77777777" w:rsidR="00A72438" w:rsidRPr="00AA1819" w:rsidRDefault="00A72438" w:rsidP="00A72438">
      <w:r w:rsidRPr="00AA1819">
        <w:t xml:space="preserve">The purpose of this Capstone study was to analyze the health implications of remote and hybrid work in the post-pandemic era using the </w:t>
      </w:r>
      <w:r w:rsidRPr="00AA1819">
        <w:rPr>
          <w:i/>
          <w:iCs/>
        </w:rPr>
        <w:t>Post Pandemic Remote Work Health Impact 2025</w:t>
      </w:r>
      <w:r w:rsidRPr="00AA1819">
        <w:t xml:space="preserve"> dataset. Four primary research questions guided the </w:t>
      </w:r>
      <w:proofErr w:type="gramStart"/>
      <w:r w:rsidRPr="00AA1819">
        <w:t>analysis,</w:t>
      </w:r>
      <w:proofErr w:type="gramEnd"/>
      <w:r w:rsidRPr="00AA1819">
        <w:t xml:space="preserve"> each tied to a null and alternative hypothesis. RQ1 examined whether burnout levels differ across work arrangements (remote, hybrid, onsite). RQ2 investigated whether the number of hours worked per week correlates with work-life balance scores. RQ3 tested the predictive power of burnout and social isolation on the presence of a mental health condition. Finally, RQ4 assessed whether work-life balance differs by demographic factors such as gender and region.</w:t>
      </w:r>
    </w:p>
    <w:p w14:paraId="1AC46BCF" w14:textId="77777777" w:rsidR="00A72438" w:rsidRPr="00AA1819" w:rsidRDefault="00A72438" w:rsidP="00A72438">
      <w:r w:rsidRPr="00AA1819">
        <w:t>Results are presented using APA-formatted tables and figures embedded directly in this section, followed by narrative interpretations. Each hypothesis is explicitly evaluated, with decisions to reject or retain the null hypothesis explained in relation to the data. Broader implications are also considered, including limitations and recommendations for future research.</w:t>
      </w:r>
    </w:p>
    <w:p w14:paraId="7C68B1AC" w14:textId="77777777" w:rsidR="00A72438" w:rsidRPr="00AA1819" w:rsidRDefault="00A72438" w:rsidP="00A72438"/>
    <w:p w14:paraId="57750CA4" w14:textId="77777777" w:rsidR="00A72438" w:rsidRPr="00AA1819" w:rsidRDefault="00A72438" w:rsidP="00A72438">
      <w:pPr>
        <w:pStyle w:val="Heading3"/>
      </w:pPr>
      <w:bookmarkStart w:id="55" w:name="_Toc207541177"/>
      <w:r w:rsidRPr="00AA1819">
        <w:t>Descriptive Statistics</w:t>
      </w:r>
      <w:bookmarkEnd w:id="55"/>
    </w:p>
    <w:p w14:paraId="4072E4D7" w14:textId="77777777" w:rsidR="00A72438" w:rsidRPr="00AA1819" w:rsidRDefault="00A72438" w:rsidP="00A72438">
      <w:r w:rsidRPr="00AA1819">
        <w:t>Before testing hypotheses, descriptive statistics were computed to provide an overview of the dataset. Numeric variables included age, hours worked per week, burnout level (coded 1–3), work-life balance score (1–5), and social isolation score (1–5).</w:t>
      </w:r>
    </w:p>
    <w:p w14:paraId="12C1F036" w14:textId="77777777" w:rsidR="00A72438" w:rsidRPr="00AA1819" w:rsidRDefault="00A72438" w:rsidP="00A72438">
      <w:r w:rsidRPr="00AA1819">
        <w:t>Table 1 presents descriptive statistics for these numeric variables.</w:t>
      </w:r>
    </w:p>
    <w:p w14:paraId="352914DF" w14:textId="77777777" w:rsidR="00A72438" w:rsidRPr="00AA1819" w:rsidRDefault="00A72438" w:rsidP="00A72438">
      <w:r w:rsidRPr="00AA1819">
        <w:t>Table 1</w:t>
      </w:r>
      <w:r w:rsidRPr="00AA1819">
        <w:br/>
      </w:r>
      <w:r w:rsidRPr="00AA1819">
        <w:rPr>
          <w:i/>
          <w:iCs/>
        </w:rPr>
        <w:t>Descriptive Statistics for Numeric Variables (N = 3,157)</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573"/>
        <w:gridCol w:w="642"/>
        <w:gridCol w:w="514"/>
        <w:gridCol w:w="440"/>
        <w:gridCol w:w="515"/>
        <w:gridCol w:w="515"/>
        <w:gridCol w:w="515"/>
        <w:gridCol w:w="483"/>
        <w:gridCol w:w="852"/>
      </w:tblGrid>
      <w:tr w:rsidR="00A72438" w:rsidRPr="00AA1819" w14:paraId="19C3AAF6" w14:textId="77777777" w:rsidTr="00B82195">
        <w:trPr>
          <w:tblHeader/>
          <w:tblCellSpacing w:w="15" w:type="dxa"/>
        </w:trPr>
        <w:tc>
          <w:tcPr>
            <w:tcW w:w="0" w:type="auto"/>
            <w:vAlign w:val="center"/>
            <w:hideMark/>
          </w:tcPr>
          <w:p w14:paraId="04126CE8" w14:textId="77777777" w:rsidR="00A72438" w:rsidRPr="00AA1819" w:rsidRDefault="00A72438" w:rsidP="00B82195">
            <w:r w:rsidRPr="00AA1819">
              <w:t>Variable</w:t>
            </w:r>
          </w:p>
        </w:tc>
        <w:tc>
          <w:tcPr>
            <w:tcW w:w="0" w:type="auto"/>
            <w:vAlign w:val="center"/>
            <w:hideMark/>
          </w:tcPr>
          <w:p w14:paraId="51E8B51B" w14:textId="77777777" w:rsidR="00A72438" w:rsidRPr="00AA1819" w:rsidRDefault="00A72438" w:rsidP="00B82195">
            <w:r w:rsidRPr="00AA1819">
              <w:t>N</w:t>
            </w:r>
          </w:p>
        </w:tc>
        <w:tc>
          <w:tcPr>
            <w:tcW w:w="0" w:type="auto"/>
            <w:vAlign w:val="center"/>
            <w:hideMark/>
          </w:tcPr>
          <w:p w14:paraId="6778A8D2" w14:textId="77777777" w:rsidR="00A72438" w:rsidRPr="00AA1819" w:rsidRDefault="00A72438" w:rsidP="00B82195">
            <w:r w:rsidRPr="00AA1819">
              <w:t>M</w:t>
            </w:r>
          </w:p>
        </w:tc>
        <w:tc>
          <w:tcPr>
            <w:tcW w:w="0" w:type="auto"/>
            <w:vAlign w:val="center"/>
            <w:hideMark/>
          </w:tcPr>
          <w:p w14:paraId="1AF15C3B" w14:textId="77777777" w:rsidR="00A72438" w:rsidRPr="00AA1819" w:rsidRDefault="00A72438" w:rsidP="00B82195">
            <w:r w:rsidRPr="00AA1819">
              <w:t>SD</w:t>
            </w:r>
          </w:p>
        </w:tc>
        <w:tc>
          <w:tcPr>
            <w:tcW w:w="0" w:type="auto"/>
            <w:vAlign w:val="center"/>
            <w:hideMark/>
          </w:tcPr>
          <w:p w14:paraId="386BF20A" w14:textId="77777777" w:rsidR="00A72438" w:rsidRPr="00AA1819" w:rsidRDefault="00A72438" w:rsidP="00B82195">
            <w:r w:rsidRPr="00AA1819">
              <w:t>Min</w:t>
            </w:r>
          </w:p>
        </w:tc>
        <w:tc>
          <w:tcPr>
            <w:tcW w:w="0" w:type="auto"/>
            <w:vAlign w:val="center"/>
            <w:hideMark/>
          </w:tcPr>
          <w:p w14:paraId="203142BA" w14:textId="77777777" w:rsidR="00A72438" w:rsidRPr="00AA1819" w:rsidRDefault="00A72438" w:rsidP="00B82195">
            <w:r w:rsidRPr="00AA1819">
              <w:t>25%</w:t>
            </w:r>
          </w:p>
        </w:tc>
        <w:tc>
          <w:tcPr>
            <w:tcW w:w="0" w:type="auto"/>
            <w:vAlign w:val="center"/>
            <w:hideMark/>
          </w:tcPr>
          <w:p w14:paraId="1CD98BED" w14:textId="77777777" w:rsidR="00A72438" w:rsidRPr="00AA1819" w:rsidRDefault="00A72438" w:rsidP="00B82195">
            <w:r w:rsidRPr="00AA1819">
              <w:t>50%</w:t>
            </w:r>
          </w:p>
        </w:tc>
        <w:tc>
          <w:tcPr>
            <w:tcW w:w="0" w:type="auto"/>
            <w:vAlign w:val="center"/>
            <w:hideMark/>
          </w:tcPr>
          <w:p w14:paraId="60D9B8F8" w14:textId="77777777" w:rsidR="00A72438" w:rsidRPr="00AA1819" w:rsidRDefault="00A72438" w:rsidP="00B82195">
            <w:r w:rsidRPr="00AA1819">
              <w:t>75%</w:t>
            </w:r>
          </w:p>
        </w:tc>
        <w:tc>
          <w:tcPr>
            <w:tcW w:w="0" w:type="auto"/>
            <w:vAlign w:val="center"/>
            <w:hideMark/>
          </w:tcPr>
          <w:p w14:paraId="1B99F2F0" w14:textId="77777777" w:rsidR="00A72438" w:rsidRPr="00AA1819" w:rsidRDefault="00A72438" w:rsidP="00B82195">
            <w:r w:rsidRPr="00AA1819">
              <w:t>Max</w:t>
            </w:r>
          </w:p>
        </w:tc>
        <w:tc>
          <w:tcPr>
            <w:tcW w:w="0" w:type="auto"/>
            <w:vAlign w:val="center"/>
            <w:hideMark/>
          </w:tcPr>
          <w:p w14:paraId="7C09A9CA" w14:textId="77777777" w:rsidR="00A72438" w:rsidRPr="00AA1819" w:rsidRDefault="00A72438" w:rsidP="00B82195">
            <w:r w:rsidRPr="00AA1819">
              <w:t>Median</w:t>
            </w:r>
          </w:p>
        </w:tc>
      </w:tr>
      <w:tr w:rsidR="00A72438" w:rsidRPr="00AA1819" w14:paraId="382E7303" w14:textId="77777777" w:rsidTr="00B82195">
        <w:trPr>
          <w:tblCellSpacing w:w="15" w:type="dxa"/>
        </w:trPr>
        <w:tc>
          <w:tcPr>
            <w:tcW w:w="0" w:type="auto"/>
            <w:vAlign w:val="center"/>
            <w:hideMark/>
          </w:tcPr>
          <w:p w14:paraId="02826D85" w14:textId="77777777" w:rsidR="00A72438" w:rsidRPr="00AA1819" w:rsidRDefault="00A72438" w:rsidP="00B82195">
            <w:r w:rsidRPr="00AA1819">
              <w:t>Age</w:t>
            </w:r>
          </w:p>
        </w:tc>
        <w:tc>
          <w:tcPr>
            <w:tcW w:w="0" w:type="auto"/>
            <w:vAlign w:val="center"/>
            <w:hideMark/>
          </w:tcPr>
          <w:p w14:paraId="60B04C19" w14:textId="77777777" w:rsidR="00A72438" w:rsidRPr="00AA1819" w:rsidRDefault="00A72438" w:rsidP="00B82195">
            <w:r w:rsidRPr="00AA1819">
              <w:t>3157</w:t>
            </w:r>
          </w:p>
        </w:tc>
        <w:tc>
          <w:tcPr>
            <w:tcW w:w="0" w:type="auto"/>
            <w:vAlign w:val="center"/>
            <w:hideMark/>
          </w:tcPr>
          <w:p w14:paraId="6664518B" w14:textId="77777777" w:rsidR="00A72438" w:rsidRPr="00AA1819" w:rsidRDefault="00A72438" w:rsidP="00B82195">
            <w:r w:rsidRPr="00AA1819">
              <w:t>43.73</w:t>
            </w:r>
          </w:p>
        </w:tc>
        <w:tc>
          <w:tcPr>
            <w:tcW w:w="0" w:type="auto"/>
            <w:vAlign w:val="center"/>
            <w:hideMark/>
          </w:tcPr>
          <w:p w14:paraId="31993902" w14:textId="77777777" w:rsidR="00A72438" w:rsidRPr="00AA1819" w:rsidRDefault="00A72438" w:rsidP="00B82195">
            <w:r w:rsidRPr="00AA1819">
              <w:t>9.56</w:t>
            </w:r>
          </w:p>
        </w:tc>
        <w:tc>
          <w:tcPr>
            <w:tcW w:w="0" w:type="auto"/>
            <w:vAlign w:val="center"/>
            <w:hideMark/>
          </w:tcPr>
          <w:p w14:paraId="5E2CD0B3" w14:textId="77777777" w:rsidR="00A72438" w:rsidRPr="00AA1819" w:rsidRDefault="00A72438" w:rsidP="00B82195">
            <w:r w:rsidRPr="00AA1819">
              <w:t>19</w:t>
            </w:r>
          </w:p>
        </w:tc>
        <w:tc>
          <w:tcPr>
            <w:tcW w:w="0" w:type="auto"/>
            <w:vAlign w:val="center"/>
            <w:hideMark/>
          </w:tcPr>
          <w:p w14:paraId="784F4E19" w14:textId="77777777" w:rsidR="00A72438" w:rsidRPr="00AA1819" w:rsidRDefault="00A72438" w:rsidP="00B82195">
            <w:r w:rsidRPr="00AA1819">
              <w:t>37</w:t>
            </w:r>
          </w:p>
        </w:tc>
        <w:tc>
          <w:tcPr>
            <w:tcW w:w="0" w:type="auto"/>
            <w:vAlign w:val="center"/>
            <w:hideMark/>
          </w:tcPr>
          <w:p w14:paraId="15740494" w14:textId="77777777" w:rsidR="00A72438" w:rsidRPr="00AA1819" w:rsidRDefault="00A72438" w:rsidP="00B82195">
            <w:r w:rsidRPr="00AA1819">
              <w:t>44</w:t>
            </w:r>
          </w:p>
        </w:tc>
        <w:tc>
          <w:tcPr>
            <w:tcW w:w="0" w:type="auto"/>
            <w:vAlign w:val="center"/>
            <w:hideMark/>
          </w:tcPr>
          <w:p w14:paraId="1EE06009" w14:textId="77777777" w:rsidR="00A72438" w:rsidRPr="00AA1819" w:rsidRDefault="00A72438" w:rsidP="00B82195">
            <w:r w:rsidRPr="00AA1819">
              <w:t>51</w:t>
            </w:r>
          </w:p>
        </w:tc>
        <w:tc>
          <w:tcPr>
            <w:tcW w:w="0" w:type="auto"/>
            <w:vAlign w:val="center"/>
            <w:hideMark/>
          </w:tcPr>
          <w:p w14:paraId="20D0EA93" w14:textId="77777777" w:rsidR="00A72438" w:rsidRPr="00AA1819" w:rsidRDefault="00A72438" w:rsidP="00B82195">
            <w:r w:rsidRPr="00AA1819">
              <w:t>65</w:t>
            </w:r>
          </w:p>
        </w:tc>
        <w:tc>
          <w:tcPr>
            <w:tcW w:w="0" w:type="auto"/>
            <w:vAlign w:val="center"/>
            <w:hideMark/>
          </w:tcPr>
          <w:p w14:paraId="09C3D0D0" w14:textId="77777777" w:rsidR="00A72438" w:rsidRPr="00AA1819" w:rsidRDefault="00A72438" w:rsidP="00B82195">
            <w:r w:rsidRPr="00AA1819">
              <w:t>44</w:t>
            </w:r>
          </w:p>
        </w:tc>
      </w:tr>
      <w:tr w:rsidR="00A72438" w:rsidRPr="00AA1819" w14:paraId="7E1F9621" w14:textId="77777777" w:rsidTr="00B82195">
        <w:trPr>
          <w:tblCellSpacing w:w="15" w:type="dxa"/>
        </w:trPr>
        <w:tc>
          <w:tcPr>
            <w:tcW w:w="0" w:type="auto"/>
            <w:vAlign w:val="center"/>
            <w:hideMark/>
          </w:tcPr>
          <w:p w14:paraId="68FEFD73" w14:textId="77777777" w:rsidR="00A72438" w:rsidRPr="00AA1819" w:rsidRDefault="00A72438" w:rsidP="00B82195">
            <w:r w:rsidRPr="00AA1819">
              <w:t>Hours Worked per Week</w:t>
            </w:r>
          </w:p>
        </w:tc>
        <w:tc>
          <w:tcPr>
            <w:tcW w:w="0" w:type="auto"/>
            <w:vAlign w:val="center"/>
            <w:hideMark/>
          </w:tcPr>
          <w:p w14:paraId="194E09EF" w14:textId="77777777" w:rsidR="00A72438" w:rsidRPr="00AA1819" w:rsidRDefault="00A72438" w:rsidP="00B82195">
            <w:r w:rsidRPr="00AA1819">
              <w:t>3157</w:t>
            </w:r>
          </w:p>
        </w:tc>
        <w:tc>
          <w:tcPr>
            <w:tcW w:w="0" w:type="auto"/>
            <w:vAlign w:val="center"/>
            <w:hideMark/>
          </w:tcPr>
          <w:p w14:paraId="61DFD18A" w14:textId="77777777" w:rsidR="00A72438" w:rsidRPr="00AA1819" w:rsidRDefault="00A72438" w:rsidP="00B82195">
            <w:r w:rsidRPr="00AA1819">
              <w:t>49.90</w:t>
            </w:r>
          </w:p>
        </w:tc>
        <w:tc>
          <w:tcPr>
            <w:tcW w:w="0" w:type="auto"/>
            <w:vAlign w:val="center"/>
            <w:hideMark/>
          </w:tcPr>
          <w:p w14:paraId="6276926B" w14:textId="77777777" w:rsidR="00A72438" w:rsidRPr="00AA1819" w:rsidRDefault="00A72438" w:rsidP="00B82195">
            <w:r w:rsidRPr="00AA1819">
              <w:t>9.32</w:t>
            </w:r>
          </w:p>
        </w:tc>
        <w:tc>
          <w:tcPr>
            <w:tcW w:w="0" w:type="auto"/>
            <w:vAlign w:val="center"/>
            <w:hideMark/>
          </w:tcPr>
          <w:p w14:paraId="79DBF34D" w14:textId="77777777" w:rsidR="00A72438" w:rsidRPr="00AA1819" w:rsidRDefault="00A72438" w:rsidP="00B82195">
            <w:r w:rsidRPr="00AA1819">
              <w:t>20</w:t>
            </w:r>
          </w:p>
        </w:tc>
        <w:tc>
          <w:tcPr>
            <w:tcW w:w="0" w:type="auto"/>
            <w:vAlign w:val="center"/>
            <w:hideMark/>
          </w:tcPr>
          <w:p w14:paraId="0611C86A" w14:textId="77777777" w:rsidR="00A72438" w:rsidRPr="00AA1819" w:rsidRDefault="00A72438" w:rsidP="00B82195">
            <w:r w:rsidRPr="00AA1819">
              <w:t>43</w:t>
            </w:r>
          </w:p>
        </w:tc>
        <w:tc>
          <w:tcPr>
            <w:tcW w:w="0" w:type="auto"/>
            <w:vAlign w:val="center"/>
            <w:hideMark/>
          </w:tcPr>
          <w:p w14:paraId="73422C4C" w14:textId="77777777" w:rsidR="00A72438" w:rsidRPr="00AA1819" w:rsidRDefault="00A72438" w:rsidP="00B82195">
            <w:r w:rsidRPr="00AA1819">
              <w:t>50</w:t>
            </w:r>
          </w:p>
        </w:tc>
        <w:tc>
          <w:tcPr>
            <w:tcW w:w="0" w:type="auto"/>
            <w:vAlign w:val="center"/>
            <w:hideMark/>
          </w:tcPr>
          <w:p w14:paraId="4CAA5CBD" w14:textId="77777777" w:rsidR="00A72438" w:rsidRPr="00AA1819" w:rsidRDefault="00A72438" w:rsidP="00B82195">
            <w:r w:rsidRPr="00AA1819">
              <w:t>56</w:t>
            </w:r>
          </w:p>
        </w:tc>
        <w:tc>
          <w:tcPr>
            <w:tcW w:w="0" w:type="auto"/>
            <w:vAlign w:val="center"/>
            <w:hideMark/>
          </w:tcPr>
          <w:p w14:paraId="3EB4A5B0" w14:textId="77777777" w:rsidR="00A72438" w:rsidRPr="00AA1819" w:rsidRDefault="00A72438" w:rsidP="00B82195">
            <w:r w:rsidRPr="00AA1819">
              <w:t>80</w:t>
            </w:r>
          </w:p>
        </w:tc>
        <w:tc>
          <w:tcPr>
            <w:tcW w:w="0" w:type="auto"/>
            <w:vAlign w:val="center"/>
            <w:hideMark/>
          </w:tcPr>
          <w:p w14:paraId="33452169" w14:textId="77777777" w:rsidR="00A72438" w:rsidRPr="00AA1819" w:rsidRDefault="00A72438" w:rsidP="00B82195">
            <w:r w:rsidRPr="00AA1819">
              <w:t>50</w:t>
            </w:r>
          </w:p>
        </w:tc>
      </w:tr>
      <w:tr w:rsidR="00A72438" w:rsidRPr="00AA1819" w14:paraId="1C12CC76" w14:textId="77777777" w:rsidTr="00B82195">
        <w:trPr>
          <w:tblCellSpacing w:w="15" w:type="dxa"/>
        </w:trPr>
        <w:tc>
          <w:tcPr>
            <w:tcW w:w="0" w:type="auto"/>
            <w:vAlign w:val="center"/>
            <w:hideMark/>
          </w:tcPr>
          <w:p w14:paraId="1CCF59CA" w14:textId="77777777" w:rsidR="00A72438" w:rsidRPr="00AA1819" w:rsidRDefault="00A72438" w:rsidP="00B82195">
            <w:r w:rsidRPr="00AA1819">
              <w:t>Work-Life Balance (1–5)</w:t>
            </w:r>
          </w:p>
        </w:tc>
        <w:tc>
          <w:tcPr>
            <w:tcW w:w="0" w:type="auto"/>
            <w:vAlign w:val="center"/>
            <w:hideMark/>
          </w:tcPr>
          <w:p w14:paraId="59B46024" w14:textId="77777777" w:rsidR="00A72438" w:rsidRPr="00AA1819" w:rsidRDefault="00A72438" w:rsidP="00B82195">
            <w:r w:rsidRPr="00AA1819">
              <w:t>3157</w:t>
            </w:r>
          </w:p>
        </w:tc>
        <w:tc>
          <w:tcPr>
            <w:tcW w:w="0" w:type="auto"/>
            <w:vAlign w:val="center"/>
            <w:hideMark/>
          </w:tcPr>
          <w:p w14:paraId="77D92309" w14:textId="77777777" w:rsidR="00A72438" w:rsidRPr="00AA1819" w:rsidRDefault="00A72438" w:rsidP="00B82195">
            <w:r w:rsidRPr="00AA1819">
              <w:t>3.00</w:t>
            </w:r>
          </w:p>
        </w:tc>
        <w:tc>
          <w:tcPr>
            <w:tcW w:w="0" w:type="auto"/>
            <w:vAlign w:val="center"/>
            <w:hideMark/>
          </w:tcPr>
          <w:p w14:paraId="602207EE" w14:textId="77777777" w:rsidR="00A72438" w:rsidRPr="00AA1819" w:rsidRDefault="00A72438" w:rsidP="00B82195">
            <w:r w:rsidRPr="00AA1819">
              <w:t>1.12</w:t>
            </w:r>
          </w:p>
        </w:tc>
        <w:tc>
          <w:tcPr>
            <w:tcW w:w="0" w:type="auto"/>
            <w:vAlign w:val="center"/>
            <w:hideMark/>
          </w:tcPr>
          <w:p w14:paraId="14971273" w14:textId="77777777" w:rsidR="00A72438" w:rsidRPr="00AA1819" w:rsidRDefault="00A72438" w:rsidP="00B82195">
            <w:r w:rsidRPr="00AA1819">
              <w:t>1</w:t>
            </w:r>
          </w:p>
        </w:tc>
        <w:tc>
          <w:tcPr>
            <w:tcW w:w="0" w:type="auto"/>
            <w:vAlign w:val="center"/>
            <w:hideMark/>
          </w:tcPr>
          <w:p w14:paraId="02AB8938" w14:textId="77777777" w:rsidR="00A72438" w:rsidRPr="00AA1819" w:rsidRDefault="00A72438" w:rsidP="00B82195">
            <w:r w:rsidRPr="00AA1819">
              <w:t>2</w:t>
            </w:r>
          </w:p>
        </w:tc>
        <w:tc>
          <w:tcPr>
            <w:tcW w:w="0" w:type="auto"/>
            <w:vAlign w:val="center"/>
            <w:hideMark/>
          </w:tcPr>
          <w:p w14:paraId="09BBC8BE" w14:textId="77777777" w:rsidR="00A72438" w:rsidRPr="00AA1819" w:rsidRDefault="00A72438" w:rsidP="00B82195">
            <w:r w:rsidRPr="00AA1819">
              <w:t>3</w:t>
            </w:r>
          </w:p>
        </w:tc>
        <w:tc>
          <w:tcPr>
            <w:tcW w:w="0" w:type="auto"/>
            <w:vAlign w:val="center"/>
            <w:hideMark/>
          </w:tcPr>
          <w:p w14:paraId="0410D8A0" w14:textId="77777777" w:rsidR="00A72438" w:rsidRPr="00AA1819" w:rsidRDefault="00A72438" w:rsidP="00B82195">
            <w:r w:rsidRPr="00AA1819">
              <w:t>4</w:t>
            </w:r>
          </w:p>
        </w:tc>
        <w:tc>
          <w:tcPr>
            <w:tcW w:w="0" w:type="auto"/>
            <w:vAlign w:val="center"/>
            <w:hideMark/>
          </w:tcPr>
          <w:p w14:paraId="1553340E" w14:textId="77777777" w:rsidR="00A72438" w:rsidRPr="00AA1819" w:rsidRDefault="00A72438" w:rsidP="00B82195">
            <w:r w:rsidRPr="00AA1819">
              <w:t>5</w:t>
            </w:r>
          </w:p>
        </w:tc>
        <w:tc>
          <w:tcPr>
            <w:tcW w:w="0" w:type="auto"/>
            <w:vAlign w:val="center"/>
            <w:hideMark/>
          </w:tcPr>
          <w:p w14:paraId="3400C1AD" w14:textId="77777777" w:rsidR="00A72438" w:rsidRPr="00AA1819" w:rsidRDefault="00A72438" w:rsidP="00B82195">
            <w:r w:rsidRPr="00AA1819">
              <w:t>3</w:t>
            </w:r>
          </w:p>
        </w:tc>
      </w:tr>
      <w:tr w:rsidR="00A72438" w:rsidRPr="00AA1819" w14:paraId="49968AAD" w14:textId="77777777" w:rsidTr="00B82195">
        <w:trPr>
          <w:tblCellSpacing w:w="15" w:type="dxa"/>
        </w:trPr>
        <w:tc>
          <w:tcPr>
            <w:tcW w:w="0" w:type="auto"/>
            <w:vAlign w:val="center"/>
            <w:hideMark/>
          </w:tcPr>
          <w:p w14:paraId="183A90B4" w14:textId="77777777" w:rsidR="00A72438" w:rsidRPr="00AA1819" w:rsidRDefault="00A72438" w:rsidP="00B82195">
            <w:r w:rsidRPr="00AA1819">
              <w:t>Social Isolation (1–5)</w:t>
            </w:r>
          </w:p>
        </w:tc>
        <w:tc>
          <w:tcPr>
            <w:tcW w:w="0" w:type="auto"/>
            <w:vAlign w:val="center"/>
            <w:hideMark/>
          </w:tcPr>
          <w:p w14:paraId="19CE07F5" w14:textId="77777777" w:rsidR="00A72438" w:rsidRPr="00AA1819" w:rsidRDefault="00A72438" w:rsidP="00B82195">
            <w:r w:rsidRPr="00AA1819">
              <w:t>3157</w:t>
            </w:r>
          </w:p>
        </w:tc>
        <w:tc>
          <w:tcPr>
            <w:tcW w:w="0" w:type="auto"/>
            <w:vAlign w:val="center"/>
            <w:hideMark/>
          </w:tcPr>
          <w:p w14:paraId="10140F2F" w14:textId="77777777" w:rsidR="00A72438" w:rsidRPr="00AA1819" w:rsidRDefault="00A72438" w:rsidP="00B82195">
            <w:r w:rsidRPr="00AA1819">
              <w:t>2.70</w:t>
            </w:r>
          </w:p>
        </w:tc>
        <w:tc>
          <w:tcPr>
            <w:tcW w:w="0" w:type="auto"/>
            <w:vAlign w:val="center"/>
            <w:hideMark/>
          </w:tcPr>
          <w:p w14:paraId="6C9734FF" w14:textId="77777777" w:rsidR="00A72438" w:rsidRPr="00AA1819" w:rsidRDefault="00A72438" w:rsidP="00B82195">
            <w:r w:rsidRPr="00AA1819">
              <w:t>1.08</w:t>
            </w:r>
          </w:p>
        </w:tc>
        <w:tc>
          <w:tcPr>
            <w:tcW w:w="0" w:type="auto"/>
            <w:vAlign w:val="center"/>
            <w:hideMark/>
          </w:tcPr>
          <w:p w14:paraId="7FD8F9F1" w14:textId="77777777" w:rsidR="00A72438" w:rsidRPr="00AA1819" w:rsidRDefault="00A72438" w:rsidP="00B82195">
            <w:r w:rsidRPr="00AA1819">
              <w:t>1</w:t>
            </w:r>
          </w:p>
        </w:tc>
        <w:tc>
          <w:tcPr>
            <w:tcW w:w="0" w:type="auto"/>
            <w:vAlign w:val="center"/>
            <w:hideMark/>
          </w:tcPr>
          <w:p w14:paraId="41F9948D" w14:textId="77777777" w:rsidR="00A72438" w:rsidRPr="00AA1819" w:rsidRDefault="00A72438" w:rsidP="00B82195">
            <w:r w:rsidRPr="00AA1819">
              <w:t>2</w:t>
            </w:r>
          </w:p>
        </w:tc>
        <w:tc>
          <w:tcPr>
            <w:tcW w:w="0" w:type="auto"/>
            <w:vAlign w:val="center"/>
            <w:hideMark/>
          </w:tcPr>
          <w:p w14:paraId="1EC4C4C2" w14:textId="77777777" w:rsidR="00A72438" w:rsidRPr="00AA1819" w:rsidRDefault="00A72438" w:rsidP="00B82195">
            <w:r w:rsidRPr="00AA1819">
              <w:t>3</w:t>
            </w:r>
          </w:p>
        </w:tc>
        <w:tc>
          <w:tcPr>
            <w:tcW w:w="0" w:type="auto"/>
            <w:vAlign w:val="center"/>
            <w:hideMark/>
          </w:tcPr>
          <w:p w14:paraId="7DBD10A7" w14:textId="77777777" w:rsidR="00A72438" w:rsidRPr="00AA1819" w:rsidRDefault="00A72438" w:rsidP="00B82195">
            <w:r w:rsidRPr="00AA1819">
              <w:t>3</w:t>
            </w:r>
          </w:p>
        </w:tc>
        <w:tc>
          <w:tcPr>
            <w:tcW w:w="0" w:type="auto"/>
            <w:vAlign w:val="center"/>
            <w:hideMark/>
          </w:tcPr>
          <w:p w14:paraId="5934D020" w14:textId="77777777" w:rsidR="00A72438" w:rsidRPr="00AA1819" w:rsidRDefault="00A72438" w:rsidP="00B82195">
            <w:r w:rsidRPr="00AA1819">
              <w:t>5</w:t>
            </w:r>
          </w:p>
        </w:tc>
        <w:tc>
          <w:tcPr>
            <w:tcW w:w="0" w:type="auto"/>
            <w:vAlign w:val="center"/>
            <w:hideMark/>
          </w:tcPr>
          <w:p w14:paraId="5A214666" w14:textId="77777777" w:rsidR="00A72438" w:rsidRPr="00AA1819" w:rsidRDefault="00A72438" w:rsidP="00B82195">
            <w:r w:rsidRPr="00AA1819">
              <w:t>3</w:t>
            </w:r>
          </w:p>
        </w:tc>
      </w:tr>
      <w:tr w:rsidR="00A72438" w:rsidRPr="00AA1819" w14:paraId="475735FC" w14:textId="77777777" w:rsidTr="00B82195">
        <w:trPr>
          <w:tblCellSpacing w:w="15" w:type="dxa"/>
        </w:trPr>
        <w:tc>
          <w:tcPr>
            <w:tcW w:w="0" w:type="auto"/>
            <w:vAlign w:val="center"/>
            <w:hideMark/>
          </w:tcPr>
          <w:p w14:paraId="2F52DD99" w14:textId="77777777" w:rsidR="00A72438" w:rsidRPr="00AA1819" w:rsidRDefault="00A72438" w:rsidP="00B82195">
            <w:r w:rsidRPr="00AA1819">
              <w:lastRenderedPageBreak/>
              <w:t>Burnout (1–3)</w:t>
            </w:r>
          </w:p>
        </w:tc>
        <w:tc>
          <w:tcPr>
            <w:tcW w:w="0" w:type="auto"/>
            <w:vAlign w:val="center"/>
            <w:hideMark/>
          </w:tcPr>
          <w:p w14:paraId="190C0CC1" w14:textId="77777777" w:rsidR="00A72438" w:rsidRPr="00AA1819" w:rsidRDefault="00A72438" w:rsidP="00B82195">
            <w:r w:rsidRPr="00AA1819">
              <w:t>3157</w:t>
            </w:r>
          </w:p>
        </w:tc>
        <w:tc>
          <w:tcPr>
            <w:tcW w:w="0" w:type="auto"/>
            <w:vAlign w:val="center"/>
            <w:hideMark/>
          </w:tcPr>
          <w:p w14:paraId="7E51F73D" w14:textId="77777777" w:rsidR="00A72438" w:rsidRPr="00AA1819" w:rsidRDefault="00A72438" w:rsidP="00B82195">
            <w:r w:rsidRPr="00AA1819">
              <w:t>2.10</w:t>
            </w:r>
          </w:p>
        </w:tc>
        <w:tc>
          <w:tcPr>
            <w:tcW w:w="0" w:type="auto"/>
            <w:vAlign w:val="center"/>
            <w:hideMark/>
          </w:tcPr>
          <w:p w14:paraId="2986E908" w14:textId="77777777" w:rsidR="00A72438" w:rsidRPr="00AA1819" w:rsidRDefault="00A72438" w:rsidP="00B82195">
            <w:r w:rsidRPr="00AA1819">
              <w:t>0.68</w:t>
            </w:r>
          </w:p>
        </w:tc>
        <w:tc>
          <w:tcPr>
            <w:tcW w:w="0" w:type="auto"/>
            <w:vAlign w:val="center"/>
            <w:hideMark/>
          </w:tcPr>
          <w:p w14:paraId="37A693C6" w14:textId="77777777" w:rsidR="00A72438" w:rsidRPr="00AA1819" w:rsidRDefault="00A72438" w:rsidP="00B82195">
            <w:r w:rsidRPr="00AA1819">
              <w:t>1</w:t>
            </w:r>
          </w:p>
        </w:tc>
        <w:tc>
          <w:tcPr>
            <w:tcW w:w="0" w:type="auto"/>
            <w:vAlign w:val="center"/>
            <w:hideMark/>
          </w:tcPr>
          <w:p w14:paraId="0C7FF1CB" w14:textId="77777777" w:rsidR="00A72438" w:rsidRPr="00AA1819" w:rsidRDefault="00A72438" w:rsidP="00B82195">
            <w:r w:rsidRPr="00AA1819">
              <w:t>2</w:t>
            </w:r>
          </w:p>
        </w:tc>
        <w:tc>
          <w:tcPr>
            <w:tcW w:w="0" w:type="auto"/>
            <w:vAlign w:val="center"/>
            <w:hideMark/>
          </w:tcPr>
          <w:p w14:paraId="236BAA93" w14:textId="77777777" w:rsidR="00A72438" w:rsidRPr="00AA1819" w:rsidRDefault="00A72438" w:rsidP="00B82195">
            <w:r w:rsidRPr="00AA1819">
              <w:t>2</w:t>
            </w:r>
          </w:p>
        </w:tc>
        <w:tc>
          <w:tcPr>
            <w:tcW w:w="0" w:type="auto"/>
            <w:vAlign w:val="center"/>
            <w:hideMark/>
          </w:tcPr>
          <w:p w14:paraId="747B9B39" w14:textId="77777777" w:rsidR="00A72438" w:rsidRPr="00AA1819" w:rsidRDefault="00A72438" w:rsidP="00B82195">
            <w:r w:rsidRPr="00AA1819">
              <w:t>3</w:t>
            </w:r>
          </w:p>
        </w:tc>
        <w:tc>
          <w:tcPr>
            <w:tcW w:w="0" w:type="auto"/>
            <w:vAlign w:val="center"/>
            <w:hideMark/>
          </w:tcPr>
          <w:p w14:paraId="44FEC108" w14:textId="77777777" w:rsidR="00A72438" w:rsidRPr="00AA1819" w:rsidRDefault="00A72438" w:rsidP="00B82195">
            <w:r w:rsidRPr="00AA1819">
              <w:t>3</w:t>
            </w:r>
          </w:p>
        </w:tc>
        <w:tc>
          <w:tcPr>
            <w:tcW w:w="0" w:type="auto"/>
            <w:vAlign w:val="center"/>
            <w:hideMark/>
          </w:tcPr>
          <w:p w14:paraId="7C403C53" w14:textId="77777777" w:rsidR="00A72438" w:rsidRPr="00AA1819" w:rsidRDefault="00A72438" w:rsidP="00B82195">
            <w:r w:rsidRPr="00AA1819">
              <w:t>2</w:t>
            </w:r>
          </w:p>
        </w:tc>
      </w:tr>
    </w:tbl>
    <w:p w14:paraId="77BEEBDF" w14:textId="77777777" w:rsidR="00A72438" w:rsidRPr="00AA1819" w:rsidRDefault="00A72438" w:rsidP="00A72438">
      <w:r w:rsidRPr="00AA1819">
        <w:t>The average employee in the dataset is approximately 44 years old and works about 50 hours per week. Work-life balance scores cluster around the midpoint (M = 3.00, SD = 1.12), indicating variability in employee experiences. Social isolation averages 2.70, suggesting moderate isolation overall. Burnout levels average 2.10 (between Medium and High), reflecting a notable prevalence of employee stress.</w:t>
      </w:r>
    </w:p>
    <w:p w14:paraId="726BB65B" w14:textId="77777777" w:rsidR="00A72438" w:rsidRPr="00AA1819" w:rsidRDefault="00A72438" w:rsidP="00A72438">
      <w:r w:rsidRPr="00AA1819">
        <w:t>Frequencies of categorical variables are shown in Table 2. Work arrangement is distributed as Onsite (49.5%), Hybrid (31.9%), and Remote (18.6%). Burnout level distribution shows 18% Low, 42% Medium, and 40% High. Gender is approximately balanced, though slightly male-skewed.</w:t>
      </w:r>
    </w:p>
    <w:p w14:paraId="293FB413" w14:textId="77777777" w:rsidR="00A72438" w:rsidRPr="00AA1819" w:rsidRDefault="00A72438" w:rsidP="00A72438">
      <w:r w:rsidRPr="00AA1819">
        <w:t>Table 2</w:t>
      </w:r>
      <w:r w:rsidRPr="00AA1819">
        <w:br/>
      </w:r>
      <w:r w:rsidRPr="00AA1819">
        <w:rPr>
          <w:i/>
          <w:iCs/>
        </w:rPr>
        <w:t>Frequencies of Key Categorical Variables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259"/>
        <w:gridCol w:w="1642"/>
        <w:gridCol w:w="702"/>
        <w:gridCol w:w="737"/>
      </w:tblGrid>
      <w:tr w:rsidR="00A72438" w:rsidRPr="00AA1819" w14:paraId="7E2ECBBC" w14:textId="77777777" w:rsidTr="00B82195">
        <w:trPr>
          <w:tblHeader/>
          <w:tblCellSpacing w:w="15" w:type="dxa"/>
        </w:trPr>
        <w:tc>
          <w:tcPr>
            <w:tcW w:w="0" w:type="auto"/>
            <w:vAlign w:val="center"/>
            <w:hideMark/>
          </w:tcPr>
          <w:p w14:paraId="0BEC0FDA" w14:textId="77777777" w:rsidR="00A72438" w:rsidRPr="00AA1819" w:rsidRDefault="00A72438" w:rsidP="00B82195">
            <w:r w:rsidRPr="00AA1819">
              <w:t>Variable</w:t>
            </w:r>
          </w:p>
        </w:tc>
        <w:tc>
          <w:tcPr>
            <w:tcW w:w="0" w:type="auto"/>
            <w:vAlign w:val="center"/>
            <w:hideMark/>
          </w:tcPr>
          <w:p w14:paraId="7A28D497" w14:textId="77777777" w:rsidR="00A72438" w:rsidRPr="00AA1819" w:rsidRDefault="00A72438" w:rsidP="00B82195">
            <w:r w:rsidRPr="00AA1819">
              <w:t>Category</w:t>
            </w:r>
          </w:p>
        </w:tc>
        <w:tc>
          <w:tcPr>
            <w:tcW w:w="0" w:type="auto"/>
            <w:vAlign w:val="center"/>
            <w:hideMark/>
          </w:tcPr>
          <w:p w14:paraId="0B70A01E" w14:textId="77777777" w:rsidR="00A72438" w:rsidRPr="00AA1819" w:rsidRDefault="00A72438" w:rsidP="00B82195">
            <w:r w:rsidRPr="00AA1819">
              <w:t>Count</w:t>
            </w:r>
          </w:p>
        </w:tc>
        <w:tc>
          <w:tcPr>
            <w:tcW w:w="0" w:type="auto"/>
            <w:vAlign w:val="center"/>
            <w:hideMark/>
          </w:tcPr>
          <w:p w14:paraId="7ABB4ABA" w14:textId="77777777" w:rsidR="00A72438" w:rsidRPr="00AA1819" w:rsidRDefault="00A72438" w:rsidP="00B82195">
            <w:r w:rsidRPr="00AA1819">
              <w:t>%</w:t>
            </w:r>
          </w:p>
        </w:tc>
      </w:tr>
      <w:tr w:rsidR="00A72438" w:rsidRPr="00AA1819" w14:paraId="1FF3D412" w14:textId="77777777" w:rsidTr="00B82195">
        <w:trPr>
          <w:tblCellSpacing w:w="15" w:type="dxa"/>
        </w:trPr>
        <w:tc>
          <w:tcPr>
            <w:tcW w:w="0" w:type="auto"/>
            <w:vAlign w:val="center"/>
            <w:hideMark/>
          </w:tcPr>
          <w:p w14:paraId="644AE966" w14:textId="77777777" w:rsidR="00A72438" w:rsidRPr="00AA1819" w:rsidRDefault="00A72438" w:rsidP="00B82195">
            <w:r w:rsidRPr="00AA1819">
              <w:t>Work Arrangement</w:t>
            </w:r>
          </w:p>
        </w:tc>
        <w:tc>
          <w:tcPr>
            <w:tcW w:w="0" w:type="auto"/>
            <w:vAlign w:val="center"/>
            <w:hideMark/>
          </w:tcPr>
          <w:p w14:paraId="28E8E2DF" w14:textId="77777777" w:rsidR="00A72438" w:rsidRPr="00AA1819" w:rsidRDefault="00A72438" w:rsidP="00B82195">
            <w:r w:rsidRPr="00AA1819">
              <w:t>Onsite</w:t>
            </w:r>
          </w:p>
        </w:tc>
        <w:tc>
          <w:tcPr>
            <w:tcW w:w="0" w:type="auto"/>
            <w:vAlign w:val="center"/>
            <w:hideMark/>
          </w:tcPr>
          <w:p w14:paraId="09543F4F" w14:textId="77777777" w:rsidR="00A72438" w:rsidRPr="00AA1819" w:rsidRDefault="00A72438" w:rsidP="00B82195">
            <w:r w:rsidRPr="00AA1819">
              <w:t>1,562</w:t>
            </w:r>
          </w:p>
        </w:tc>
        <w:tc>
          <w:tcPr>
            <w:tcW w:w="0" w:type="auto"/>
            <w:vAlign w:val="center"/>
            <w:hideMark/>
          </w:tcPr>
          <w:p w14:paraId="000D7951" w14:textId="77777777" w:rsidR="00A72438" w:rsidRPr="00AA1819" w:rsidRDefault="00A72438" w:rsidP="00B82195">
            <w:r w:rsidRPr="00AA1819">
              <w:t>49.5%</w:t>
            </w:r>
          </w:p>
        </w:tc>
      </w:tr>
      <w:tr w:rsidR="00A72438" w:rsidRPr="00AA1819" w14:paraId="659AF691" w14:textId="77777777" w:rsidTr="00B82195">
        <w:trPr>
          <w:tblCellSpacing w:w="15" w:type="dxa"/>
        </w:trPr>
        <w:tc>
          <w:tcPr>
            <w:tcW w:w="0" w:type="auto"/>
            <w:vAlign w:val="center"/>
            <w:hideMark/>
          </w:tcPr>
          <w:p w14:paraId="681B807E" w14:textId="77777777" w:rsidR="00A72438" w:rsidRPr="00AA1819" w:rsidRDefault="00A72438" w:rsidP="00B82195"/>
        </w:tc>
        <w:tc>
          <w:tcPr>
            <w:tcW w:w="0" w:type="auto"/>
            <w:vAlign w:val="center"/>
            <w:hideMark/>
          </w:tcPr>
          <w:p w14:paraId="021D53F8" w14:textId="77777777" w:rsidR="00A72438" w:rsidRPr="00AA1819" w:rsidRDefault="00A72438" w:rsidP="00B82195">
            <w:r w:rsidRPr="00AA1819">
              <w:t>Hybrid</w:t>
            </w:r>
          </w:p>
        </w:tc>
        <w:tc>
          <w:tcPr>
            <w:tcW w:w="0" w:type="auto"/>
            <w:vAlign w:val="center"/>
            <w:hideMark/>
          </w:tcPr>
          <w:p w14:paraId="3A2AFDAD" w14:textId="77777777" w:rsidR="00A72438" w:rsidRPr="00AA1819" w:rsidRDefault="00A72438" w:rsidP="00B82195">
            <w:r w:rsidRPr="00AA1819">
              <w:t>1,007</w:t>
            </w:r>
          </w:p>
        </w:tc>
        <w:tc>
          <w:tcPr>
            <w:tcW w:w="0" w:type="auto"/>
            <w:vAlign w:val="center"/>
            <w:hideMark/>
          </w:tcPr>
          <w:p w14:paraId="1E52B29D" w14:textId="77777777" w:rsidR="00A72438" w:rsidRPr="00AA1819" w:rsidRDefault="00A72438" w:rsidP="00B82195">
            <w:r w:rsidRPr="00AA1819">
              <w:t>31.9%</w:t>
            </w:r>
          </w:p>
        </w:tc>
      </w:tr>
      <w:tr w:rsidR="00A72438" w:rsidRPr="00AA1819" w14:paraId="69E0B2BB" w14:textId="77777777" w:rsidTr="00B82195">
        <w:trPr>
          <w:tblCellSpacing w:w="15" w:type="dxa"/>
        </w:trPr>
        <w:tc>
          <w:tcPr>
            <w:tcW w:w="0" w:type="auto"/>
            <w:vAlign w:val="center"/>
            <w:hideMark/>
          </w:tcPr>
          <w:p w14:paraId="04F20819" w14:textId="77777777" w:rsidR="00A72438" w:rsidRPr="00AA1819" w:rsidRDefault="00A72438" w:rsidP="00B82195"/>
        </w:tc>
        <w:tc>
          <w:tcPr>
            <w:tcW w:w="0" w:type="auto"/>
            <w:vAlign w:val="center"/>
            <w:hideMark/>
          </w:tcPr>
          <w:p w14:paraId="542D5E61" w14:textId="77777777" w:rsidR="00A72438" w:rsidRPr="00AA1819" w:rsidRDefault="00A72438" w:rsidP="00B82195">
            <w:r w:rsidRPr="00AA1819">
              <w:t>Remote</w:t>
            </w:r>
          </w:p>
        </w:tc>
        <w:tc>
          <w:tcPr>
            <w:tcW w:w="0" w:type="auto"/>
            <w:vAlign w:val="center"/>
            <w:hideMark/>
          </w:tcPr>
          <w:p w14:paraId="6B8A8B06" w14:textId="77777777" w:rsidR="00A72438" w:rsidRPr="00AA1819" w:rsidRDefault="00A72438" w:rsidP="00B82195">
            <w:r w:rsidRPr="00AA1819">
              <w:t>588</w:t>
            </w:r>
          </w:p>
        </w:tc>
        <w:tc>
          <w:tcPr>
            <w:tcW w:w="0" w:type="auto"/>
            <w:vAlign w:val="center"/>
            <w:hideMark/>
          </w:tcPr>
          <w:p w14:paraId="3D045293" w14:textId="77777777" w:rsidR="00A72438" w:rsidRPr="00AA1819" w:rsidRDefault="00A72438" w:rsidP="00B82195">
            <w:r w:rsidRPr="00AA1819">
              <w:t>18.6%</w:t>
            </w:r>
          </w:p>
        </w:tc>
      </w:tr>
      <w:tr w:rsidR="00A72438" w:rsidRPr="00AA1819" w14:paraId="387891F0" w14:textId="77777777" w:rsidTr="00B82195">
        <w:trPr>
          <w:tblCellSpacing w:w="15" w:type="dxa"/>
        </w:trPr>
        <w:tc>
          <w:tcPr>
            <w:tcW w:w="0" w:type="auto"/>
            <w:vAlign w:val="center"/>
            <w:hideMark/>
          </w:tcPr>
          <w:p w14:paraId="6C35AE43" w14:textId="77777777" w:rsidR="00A72438" w:rsidRPr="00AA1819" w:rsidRDefault="00A72438" w:rsidP="00B82195">
            <w:r w:rsidRPr="00AA1819">
              <w:t>Burnout Level</w:t>
            </w:r>
          </w:p>
        </w:tc>
        <w:tc>
          <w:tcPr>
            <w:tcW w:w="0" w:type="auto"/>
            <w:vAlign w:val="center"/>
            <w:hideMark/>
          </w:tcPr>
          <w:p w14:paraId="626B239E" w14:textId="77777777" w:rsidR="00A72438" w:rsidRPr="00AA1819" w:rsidRDefault="00A72438" w:rsidP="00B82195">
            <w:r w:rsidRPr="00AA1819">
              <w:t>Low</w:t>
            </w:r>
          </w:p>
        </w:tc>
        <w:tc>
          <w:tcPr>
            <w:tcW w:w="0" w:type="auto"/>
            <w:vAlign w:val="center"/>
            <w:hideMark/>
          </w:tcPr>
          <w:p w14:paraId="4342582A" w14:textId="77777777" w:rsidR="00A72438" w:rsidRPr="00AA1819" w:rsidRDefault="00A72438" w:rsidP="00B82195">
            <w:r w:rsidRPr="00AA1819">
              <w:t>569</w:t>
            </w:r>
          </w:p>
        </w:tc>
        <w:tc>
          <w:tcPr>
            <w:tcW w:w="0" w:type="auto"/>
            <w:vAlign w:val="center"/>
            <w:hideMark/>
          </w:tcPr>
          <w:p w14:paraId="633D0F15" w14:textId="77777777" w:rsidR="00A72438" w:rsidRPr="00AA1819" w:rsidRDefault="00A72438" w:rsidP="00B82195">
            <w:r w:rsidRPr="00AA1819">
              <w:t>18.0%</w:t>
            </w:r>
          </w:p>
        </w:tc>
      </w:tr>
      <w:tr w:rsidR="00A72438" w:rsidRPr="00AA1819" w14:paraId="2643D2E1" w14:textId="77777777" w:rsidTr="00B82195">
        <w:trPr>
          <w:tblCellSpacing w:w="15" w:type="dxa"/>
        </w:trPr>
        <w:tc>
          <w:tcPr>
            <w:tcW w:w="0" w:type="auto"/>
            <w:vAlign w:val="center"/>
            <w:hideMark/>
          </w:tcPr>
          <w:p w14:paraId="048380F4" w14:textId="77777777" w:rsidR="00A72438" w:rsidRPr="00AA1819" w:rsidRDefault="00A72438" w:rsidP="00B82195"/>
        </w:tc>
        <w:tc>
          <w:tcPr>
            <w:tcW w:w="0" w:type="auto"/>
            <w:vAlign w:val="center"/>
            <w:hideMark/>
          </w:tcPr>
          <w:p w14:paraId="43F6BF2C" w14:textId="77777777" w:rsidR="00A72438" w:rsidRPr="00AA1819" w:rsidRDefault="00A72438" w:rsidP="00B82195">
            <w:r w:rsidRPr="00AA1819">
              <w:t>Medium</w:t>
            </w:r>
          </w:p>
        </w:tc>
        <w:tc>
          <w:tcPr>
            <w:tcW w:w="0" w:type="auto"/>
            <w:vAlign w:val="center"/>
            <w:hideMark/>
          </w:tcPr>
          <w:p w14:paraId="6C10CD1A" w14:textId="77777777" w:rsidR="00A72438" w:rsidRPr="00AA1819" w:rsidRDefault="00A72438" w:rsidP="00B82195">
            <w:r w:rsidRPr="00AA1819">
              <w:t>1,326</w:t>
            </w:r>
          </w:p>
        </w:tc>
        <w:tc>
          <w:tcPr>
            <w:tcW w:w="0" w:type="auto"/>
            <w:vAlign w:val="center"/>
            <w:hideMark/>
          </w:tcPr>
          <w:p w14:paraId="5B9961A5" w14:textId="77777777" w:rsidR="00A72438" w:rsidRPr="00AA1819" w:rsidRDefault="00A72438" w:rsidP="00B82195">
            <w:r w:rsidRPr="00AA1819">
              <w:t>42.0%</w:t>
            </w:r>
          </w:p>
        </w:tc>
      </w:tr>
      <w:tr w:rsidR="00A72438" w:rsidRPr="00AA1819" w14:paraId="32966F8B" w14:textId="77777777" w:rsidTr="00B82195">
        <w:trPr>
          <w:tblCellSpacing w:w="15" w:type="dxa"/>
        </w:trPr>
        <w:tc>
          <w:tcPr>
            <w:tcW w:w="0" w:type="auto"/>
            <w:vAlign w:val="center"/>
            <w:hideMark/>
          </w:tcPr>
          <w:p w14:paraId="12FDD6B6" w14:textId="77777777" w:rsidR="00A72438" w:rsidRPr="00AA1819" w:rsidRDefault="00A72438" w:rsidP="00B82195"/>
        </w:tc>
        <w:tc>
          <w:tcPr>
            <w:tcW w:w="0" w:type="auto"/>
            <w:vAlign w:val="center"/>
            <w:hideMark/>
          </w:tcPr>
          <w:p w14:paraId="2F22B6D8" w14:textId="77777777" w:rsidR="00A72438" w:rsidRPr="00AA1819" w:rsidRDefault="00A72438" w:rsidP="00B82195">
            <w:r w:rsidRPr="00AA1819">
              <w:t>High</w:t>
            </w:r>
          </w:p>
        </w:tc>
        <w:tc>
          <w:tcPr>
            <w:tcW w:w="0" w:type="auto"/>
            <w:vAlign w:val="center"/>
            <w:hideMark/>
          </w:tcPr>
          <w:p w14:paraId="61CD552F" w14:textId="77777777" w:rsidR="00A72438" w:rsidRPr="00AA1819" w:rsidRDefault="00A72438" w:rsidP="00B82195">
            <w:r w:rsidRPr="00AA1819">
              <w:t>1,262</w:t>
            </w:r>
          </w:p>
        </w:tc>
        <w:tc>
          <w:tcPr>
            <w:tcW w:w="0" w:type="auto"/>
            <w:vAlign w:val="center"/>
            <w:hideMark/>
          </w:tcPr>
          <w:p w14:paraId="1D49C850" w14:textId="77777777" w:rsidR="00A72438" w:rsidRPr="00AA1819" w:rsidRDefault="00A72438" w:rsidP="00B82195">
            <w:r w:rsidRPr="00AA1819">
              <w:t>40.0%</w:t>
            </w:r>
          </w:p>
        </w:tc>
      </w:tr>
      <w:tr w:rsidR="00A72438" w:rsidRPr="00AA1819" w14:paraId="25FF810B" w14:textId="77777777" w:rsidTr="00B82195">
        <w:trPr>
          <w:tblCellSpacing w:w="15" w:type="dxa"/>
        </w:trPr>
        <w:tc>
          <w:tcPr>
            <w:tcW w:w="0" w:type="auto"/>
            <w:vAlign w:val="center"/>
            <w:hideMark/>
          </w:tcPr>
          <w:p w14:paraId="5041F01A" w14:textId="77777777" w:rsidR="00A72438" w:rsidRPr="00AA1819" w:rsidRDefault="00A72438" w:rsidP="00B82195">
            <w:r w:rsidRPr="00AA1819">
              <w:t>Mental Health Status</w:t>
            </w:r>
          </w:p>
        </w:tc>
        <w:tc>
          <w:tcPr>
            <w:tcW w:w="0" w:type="auto"/>
            <w:vAlign w:val="center"/>
            <w:hideMark/>
          </w:tcPr>
          <w:p w14:paraId="0CA4EFAA" w14:textId="77777777" w:rsidR="00A72438" w:rsidRPr="00AA1819" w:rsidRDefault="00A72438" w:rsidP="00B82195">
            <w:r w:rsidRPr="00AA1819">
              <w:t>None</w:t>
            </w:r>
          </w:p>
        </w:tc>
        <w:tc>
          <w:tcPr>
            <w:tcW w:w="0" w:type="auto"/>
            <w:vAlign w:val="center"/>
            <w:hideMark/>
          </w:tcPr>
          <w:p w14:paraId="2E8AF48C" w14:textId="77777777" w:rsidR="00A72438" w:rsidRPr="00AA1819" w:rsidRDefault="00A72438" w:rsidP="00B82195">
            <w:r w:rsidRPr="00AA1819">
              <w:t>2,361</w:t>
            </w:r>
          </w:p>
        </w:tc>
        <w:tc>
          <w:tcPr>
            <w:tcW w:w="0" w:type="auto"/>
            <w:vAlign w:val="center"/>
            <w:hideMark/>
          </w:tcPr>
          <w:p w14:paraId="23D463A5" w14:textId="77777777" w:rsidR="00A72438" w:rsidRPr="00AA1819" w:rsidRDefault="00A72438" w:rsidP="00B82195">
            <w:r w:rsidRPr="00AA1819">
              <w:t>74.8%</w:t>
            </w:r>
          </w:p>
        </w:tc>
      </w:tr>
      <w:tr w:rsidR="00A72438" w:rsidRPr="00AA1819" w14:paraId="0CDC5654" w14:textId="77777777" w:rsidTr="00B82195">
        <w:trPr>
          <w:tblCellSpacing w:w="15" w:type="dxa"/>
        </w:trPr>
        <w:tc>
          <w:tcPr>
            <w:tcW w:w="0" w:type="auto"/>
            <w:vAlign w:val="center"/>
            <w:hideMark/>
          </w:tcPr>
          <w:p w14:paraId="56063D24" w14:textId="77777777" w:rsidR="00A72438" w:rsidRPr="00AA1819" w:rsidRDefault="00A72438" w:rsidP="00B82195"/>
        </w:tc>
        <w:tc>
          <w:tcPr>
            <w:tcW w:w="0" w:type="auto"/>
            <w:vAlign w:val="center"/>
            <w:hideMark/>
          </w:tcPr>
          <w:p w14:paraId="4864661E" w14:textId="77777777" w:rsidR="00A72438" w:rsidRPr="00AA1819" w:rsidRDefault="00A72438" w:rsidP="00B82195">
            <w:r w:rsidRPr="00AA1819">
              <w:t>Stress Disorder</w:t>
            </w:r>
          </w:p>
        </w:tc>
        <w:tc>
          <w:tcPr>
            <w:tcW w:w="0" w:type="auto"/>
            <w:vAlign w:val="center"/>
            <w:hideMark/>
          </w:tcPr>
          <w:p w14:paraId="4EAE7725" w14:textId="77777777" w:rsidR="00A72438" w:rsidRPr="00AA1819" w:rsidRDefault="00A72438" w:rsidP="00B82195">
            <w:r w:rsidRPr="00AA1819">
              <w:t>437</w:t>
            </w:r>
          </w:p>
        </w:tc>
        <w:tc>
          <w:tcPr>
            <w:tcW w:w="0" w:type="auto"/>
            <w:vAlign w:val="center"/>
            <w:hideMark/>
          </w:tcPr>
          <w:p w14:paraId="161DB603" w14:textId="77777777" w:rsidR="00A72438" w:rsidRPr="00AA1819" w:rsidRDefault="00A72438" w:rsidP="00B82195">
            <w:r w:rsidRPr="00AA1819">
              <w:t>13.8%</w:t>
            </w:r>
          </w:p>
        </w:tc>
      </w:tr>
      <w:tr w:rsidR="00A72438" w:rsidRPr="00AA1819" w14:paraId="5668AFDA" w14:textId="77777777" w:rsidTr="00B82195">
        <w:trPr>
          <w:tblCellSpacing w:w="15" w:type="dxa"/>
        </w:trPr>
        <w:tc>
          <w:tcPr>
            <w:tcW w:w="0" w:type="auto"/>
            <w:vAlign w:val="center"/>
            <w:hideMark/>
          </w:tcPr>
          <w:p w14:paraId="7BE881B2" w14:textId="77777777" w:rsidR="00A72438" w:rsidRPr="00AA1819" w:rsidRDefault="00A72438" w:rsidP="00B82195"/>
        </w:tc>
        <w:tc>
          <w:tcPr>
            <w:tcW w:w="0" w:type="auto"/>
            <w:vAlign w:val="center"/>
            <w:hideMark/>
          </w:tcPr>
          <w:p w14:paraId="21C477D0" w14:textId="77777777" w:rsidR="00A72438" w:rsidRPr="00AA1819" w:rsidRDefault="00A72438" w:rsidP="00B82195">
            <w:r w:rsidRPr="00AA1819">
              <w:t>Anxiety</w:t>
            </w:r>
          </w:p>
        </w:tc>
        <w:tc>
          <w:tcPr>
            <w:tcW w:w="0" w:type="auto"/>
            <w:vAlign w:val="center"/>
            <w:hideMark/>
          </w:tcPr>
          <w:p w14:paraId="09351AA4" w14:textId="77777777" w:rsidR="00A72438" w:rsidRPr="00AA1819" w:rsidRDefault="00A72438" w:rsidP="00B82195">
            <w:r w:rsidRPr="00AA1819">
              <w:t>263</w:t>
            </w:r>
          </w:p>
        </w:tc>
        <w:tc>
          <w:tcPr>
            <w:tcW w:w="0" w:type="auto"/>
            <w:vAlign w:val="center"/>
            <w:hideMark/>
          </w:tcPr>
          <w:p w14:paraId="554BC245" w14:textId="77777777" w:rsidR="00A72438" w:rsidRPr="00AA1819" w:rsidRDefault="00A72438" w:rsidP="00B82195">
            <w:r w:rsidRPr="00AA1819">
              <w:t>8.3%</w:t>
            </w:r>
          </w:p>
        </w:tc>
      </w:tr>
      <w:tr w:rsidR="00A72438" w:rsidRPr="00AA1819" w14:paraId="75D78D59" w14:textId="77777777" w:rsidTr="00B82195">
        <w:trPr>
          <w:tblCellSpacing w:w="15" w:type="dxa"/>
        </w:trPr>
        <w:tc>
          <w:tcPr>
            <w:tcW w:w="0" w:type="auto"/>
            <w:vAlign w:val="center"/>
            <w:hideMark/>
          </w:tcPr>
          <w:p w14:paraId="092F0F6C" w14:textId="77777777" w:rsidR="00A72438" w:rsidRPr="00AA1819" w:rsidRDefault="00A72438" w:rsidP="00B82195"/>
        </w:tc>
        <w:tc>
          <w:tcPr>
            <w:tcW w:w="0" w:type="auto"/>
            <w:vAlign w:val="center"/>
            <w:hideMark/>
          </w:tcPr>
          <w:p w14:paraId="6D6F51D0" w14:textId="77777777" w:rsidR="00A72438" w:rsidRPr="00AA1819" w:rsidRDefault="00A72438" w:rsidP="00B82195">
            <w:r w:rsidRPr="00AA1819">
              <w:t>PTSD</w:t>
            </w:r>
          </w:p>
        </w:tc>
        <w:tc>
          <w:tcPr>
            <w:tcW w:w="0" w:type="auto"/>
            <w:vAlign w:val="center"/>
            <w:hideMark/>
          </w:tcPr>
          <w:p w14:paraId="62A27F83" w14:textId="77777777" w:rsidR="00A72438" w:rsidRPr="00AA1819" w:rsidRDefault="00A72438" w:rsidP="00B82195">
            <w:r w:rsidRPr="00AA1819">
              <w:t>96</w:t>
            </w:r>
          </w:p>
        </w:tc>
        <w:tc>
          <w:tcPr>
            <w:tcW w:w="0" w:type="auto"/>
            <w:vAlign w:val="center"/>
            <w:hideMark/>
          </w:tcPr>
          <w:p w14:paraId="0F02B49C" w14:textId="77777777" w:rsidR="00A72438" w:rsidRPr="00AA1819" w:rsidRDefault="00A72438" w:rsidP="00B82195">
            <w:r w:rsidRPr="00AA1819">
              <w:t>3.0%</w:t>
            </w:r>
          </w:p>
        </w:tc>
      </w:tr>
      <w:tr w:rsidR="00A72438" w:rsidRPr="00AA1819" w14:paraId="0E3E5EFD" w14:textId="77777777" w:rsidTr="00B82195">
        <w:trPr>
          <w:tblCellSpacing w:w="15" w:type="dxa"/>
        </w:trPr>
        <w:tc>
          <w:tcPr>
            <w:tcW w:w="0" w:type="auto"/>
            <w:vAlign w:val="center"/>
            <w:hideMark/>
          </w:tcPr>
          <w:p w14:paraId="695696E0" w14:textId="77777777" w:rsidR="00A72438" w:rsidRPr="00AA1819" w:rsidRDefault="00A72438" w:rsidP="00B82195">
            <w:r w:rsidRPr="00AA1819">
              <w:t>Gender</w:t>
            </w:r>
          </w:p>
        </w:tc>
        <w:tc>
          <w:tcPr>
            <w:tcW w:w="0" w:type="auto"/>
            <w:vAlign w:val="center"/>
            <w:hideMark/>
          </w:tcPr>
          <w:p w14:paraId="39E6FFD8" w14:textId="77777777" w:rsidR="00A72438" w:rsidRPr="00AA1819" w:rsidRDefault="00A72438" w:rsidP="00B82195">
            <w:r w:rsidRPr="00AA1819">
              <w:t>Male</w:t>
            </w:r>
          </w:p>
        </w:tc>
        <w:tc>
          <w:tcPr>
            <w:tcW w:w="0" w:type="auto"/>
            <w:vAlign w:val="center"/>
            <w:hideMark/>
          </w:tcPr>
          <w:p w14:paraId="6DF1CD98" w14:textId="77777777" w:rsidR="00A72438" w:rsidRPr="00AA1819" w:rsidRDefault="00A72438" w:rsidP="00B82195">
            <w:r w:rsidRPr="00AA1819">
              <w:t>1,642</w:t>
            </w:r>
          </w:p>
        </w:tc>
        <w:tc>
          <w:tcPr>
            <w:tcW w:w="0" w:type="auto"/>
            <w:vAlign w:val="center"/>
            <w:hideMark/>
          </w:tcPr>
          <w:p w14:paraId="70692F09" w14:textId="77777777" w:rsidR="00A72438" w:rsidRPr="00AA1819" w:rsidRDefault="00A72438" w:rsidP="00B82195">
            <w:r w:rsidRPr="00AA1819">
              <w:t>52.0%</w:t>
            </w:r>
          </w:p>
        </w:tc>
      </w:tr>
      <w:tr w:rsidR="00A72438" w:rsidRPr="00AA1819" w14:paraId="76C7093B" w14:textId="77777777" w:rsidTr="00B82195">
        <w:trPr>
          <w:tblCellSpacing w:w="15" w:type="dxa"/>
        </w:trPr>
        <w:tc>
          <w:tcPr>
            <w:tcW w:w="0" w:type="auto"/>
            <w:vAlign w:val="center"/>
            <w:hideMark/>
          </w:tcPr>
          <w:p w14:paraId="09CEC6FC" w14:textId="77777777" w:rsidR="00A72438" w:rsidRPr="00AA1819" w:rsidRDefault="00A72438" w:rsidP="00B82195"/>
        </w:tc>
        <w:tc>
          <w:tcPr>
            <w:tcW w:w="0" w:type="auto"/>
            <w:vAlign w:val="center"/>
            <w:hideMark/>
          </w:tcPr>
          <w:p w14:paraId="5CB4786D" w14:textId="77777777" w:rsidR="00A72438" w:rsidRPr="00AA1819" w:rsidRDefault="00A72438" w:rsidP="00B82195">
            <w:r w:rsidRPr="00AA1819">
              <w:t>Female</w:t>
            </w:r>
          </w:p>
        </w:tc>
        <w:tc>
          <w:tcPr>
            <w:tcW w:w="0" w:type="auto"/>
            <w:vAlign w:val="center"/>
            <w:hideMark/>
          </w:tcPr>
          <w:p w14:paraId="127CE75C" w14:textId="77777777" w:rsidR="00A72438" w:rsidRPr="00AA1819" w:rsidRDefault="00A72438" w:rsidP="00B82195">
            <w:r w:rsidRPr="00AA1819">
              <w:t>1,434</w:t>
            </w:r>
          </w:p>
        </w:tc>
        <w:tc>
          <w:tcPr>
            <w:tcW w:w="0" w:type="auto"/>
            <w:vAlign w:val="center"/>
            <w:hideMark/>
          </w:tcPr>
          <w:p w14:paraId="5CC46E44" w14:textId="77777777" w:rsidR="00A72438" w:rsidRPr="00AA1819" w:rsidRDefault="00A72438" w:rsidP="00B82195">
            <w:r w:rsidRPr="00AA1819">
              <w:t>45.4%</w:t>
            </w:r>
          </w:p>
        </w:tc>
      </w:tr>
      <w:tr w:rsidR="00A72438" w:rsidRPr="00AA1819" w14:paraId="76667B3D" w14:textId="77777777" w:rsidTr="00B82195">
        <w:trPr>
          <w:tblCellSpacing w:w="15" w:type="dxa"/>
        </w:trPr>
        <w:tc>
          <w:tcPr>
            <w:tcW w:w="0" w:type="auto"/>
            <w:vAlign w:val="center"/>
            <w:hideMark/>
          </w:tcPr>
          <w:p w14:paraId="4CBA172A" w14:textId="77777777" w:rsidR="00A72438" w:rsidRPr="00AA1819" w:rsidRDefault="00A72438" w:rsidP="00B82195"/>
        </w:tc>
        <w:tc>
          <w:tcPr>
            <w:tcW w:w="0" w:type="auto"/>
            <w:vAlign w:val="center"/>
            <w:hideMark/>
          </w:tcPr>
          <w:p w14:paraId="1A17947B" w14:textId="77777777" w:rsidR="00A72438" w:rsidRPr="00AA1819" w:rsidRDefault="00A72438" w:rsidP="00B82195">
            <w:r w:rsidRPr="00AA1819">
              <w:t>Other/NA</w:t>
            </w:r>
          </w:p>
        </w:tc>
        <w:tc>
          <w:tcPr>
            <w:tcW w:w="0" w:type="auto"/>
            <w:vAlign w:val="center"/>
            <w:hideMark/>
          </w:tcPr>
          <w:p w14:paraId="15A7ED95" w14:textId="77777777" w:rsidR="00A72438" w:rsidRPr="00AA1819" w:rsidRDefault="00A72438" w:rsidP="00B82195">
            <w:r w:rsidRPr="00AA1819">
              <w:t>81</w:t>
            </w:r>
          </w:p>
        </w:tc>
        <w:tc>
          <w:tcPr>
            <w:tcW w:w="0" w:type="auto"/>
            <w:vAlign w:val="center"/>
            <w:hideMark/>
          </w:tcPr>
          <w:p w14:paraId="665217C3" w14:textId="77777777" w:rsidR="00A72438" w:rsidRPr="00AA1819" w:rsidRDefault="00A72438" w:rsidP="00B82195">
            <w:r w:rsidRPr="00AA1819">
              <w:t>2.6%</w:t>
            </w:r>
          </w:p>
        </w:tc>
      </w:tr>
      <w:tr w:rsidR="00A72438" w:rsidRPr="00AA1819" w14:paraId="2098E55D" w14:textId="77777777" w:rsidTr="00B82195">
        <w:trPr>
          <w:tblCellSpacing w:w="15" w:type="dxa"/>
        </w:trPr>
        <w:tc>
          <w:tcPr>
            <w:tcW w:w="0" w:type="auto"/>
            <w:vAlign w:val="center"/>
            <w:hideMark/>
          </w:tcPr>
          <w:p w14:paraId="5492C679" w14:textId="77777777" w:rsidR="00A72438" w:rsidRPr="00AA1819" w:rsidRDefault="00A72438" w:rsidP="00B82195">
            <w:r w:rsidRPr="00AA1819">
              <w:t>Region</w:t>
            </w:r>
          </w:p>
        </w:tc>
        <w:tc>
          <w:tcPr>
            <w:tcW w:w="0" w:type="auto"/>
            <w:vAlign w:val="center"/>
            <w:hideMark/>
          </w:tcPr>
          <w:p w14:paraId="1DD4FEC7" w14:textId="77777777" w:rsidR="00A72438" w:rsidRPr="00AA1819" w:rsidRDefault="00A72438" w:rsidP="00B82195">
            <w:r w:rsidRPr="00AA1819">
              <w:t>North America</w:t>
            </w:r>
          </w:p>
        </w:tc>
        <w:tc>
          <w:tcPr>
            <w:tcW w:w="0" w:type="auto"/>
            <w:vAlign w:val="center"/>
            <w:hideMark/>
          </w:tcPr>
          <w:p w14:paraId="0F3EE493" w14:textId="77777777" w:rsidR="00A72438" w:rsidRPr="00AA1819" w:rsidRDefault="00A72438" w:rsidP="00B82195">
            <w:r w:rsidRPr="00AA1819">
              <w:t>1,028</w:t>
            </w:r>
          </w:p>
        </w:tc>
        <w:tc>
          <w:tcPr>
            <w:tcW w:w="0" w:type="auto"/>
            <w:vAlign w:val="center"/>
            <w:hideMark/>
          </w:tcPr>
          <w:p w14:paraId="7AD38B6E" w14:textId="77777777" w:rsidR="00A72438" w:rsidRPr="00AA1819" w:rsidRDefault="00A72438" w:rsidP="00B82195">
            <w:r w:rsidRPr="00AA1819">
              <w:t>32.6%</w:t>
            </w:r>
          </w:p>
        </w:tc>
      </w:tr>
      <w:tr w:rsidR="00A72438" w:rsidRPr="00AA1819" w14:paraId="77BD451C" w14:textId="77777777" w:rsidTr="00B82195">
        <w:trPr>
          <w:tblCellSpacing w:w="15" w:type="dxa"/>
        </w:trPr>
        <w:tc>
          <w:tcPr>
            <w:tcW w:w="0" w:type="auto"/>
            <w:vAlign w:val="center"/>
            <w:hideMark/>
          </w:tcPr>
          <w:p w14:paraId="24A3D191" w14:textId="77777777" w:rsidR="00A72438" w:rsidRPr="00AA1819" w:rsidRDefault="00A72438" w:rsidP="00B82195"/>
        </w:tc>
        <w:tc>
          <w:tcPr>
            <w:tcW w:w="0" w:type="auto"/>
            <w:vAlign w:val="center"/>
            <w:hideMark/>
          </w:tcPr>
          <w:p w14:paraId="3BAB64AB" w14:textId="77777777" w:rsidR="00A72438" w:rsidRPr="00AA1819" w:rsidRDefault="00A72438" w:rsidP="00B82195">
            <w:r w:rsidRPr="00AA1819">
              <w:t>Europe</w:t>
            </w:r>
          </w:p>
        </w:tc>
        <w:tc>
          <w:tcPr>
            <w:tcW w:w="0" w:type="auto"/>
            <w:vAlign w:val="center"/>
            <w:hideMark/>
          </w:tcPr>
          <w:p w14:paraId="3941C86B" w14:textId="77777777" w:rsidR="00A72438" w:rsidRPr="00AA1819" w:rsidRDefault="00A72438" w:rsidP="00B82195">
            <w:r w:rsidRPr="00AA1819">
              <w:t>811</w:t>
            </w:r>
          </w:p>
        </w:tc>
        <w:tc>
          <w:tcPr>
            <w:tcW w:w="0" w:type="auto"/>
            <w:vAlign w:val="center"/>
            <w:hideMark/>
          </w:tcPr>
          <w:p w14:paraId="2BB2719C" w14:textId="77777777" w:rsidR="00A72438" w:rsidRPr="00AA1819" w:rsidRDefault="00A72438" w:rsidP="00B82195">
            <w:r w:rsidRPr="00AA1819">
              <w:t>25.7%</w:t>
            </w:r>
          </w:p>
        </w:tc>
      </w:tr>
      <w:tr w:rsidR="00A72438" w:rsidRPr="00AA1819" w14:paraId="0FF5A0AF" w14:textId="77777777" w:rsidTr="00B82195">
        <w:trPr>
          <w:tblCellSpacing w:w="15" w:type="dxa"/>
        </w:trPr>
        <w:tc>
          <w:tcPr>
            <w:tcW w:w="0" w:type="auto"/>
            <w:vAlign w:val="center"/>
            <w:hideMark/>
          </w:tcPr>
          <w:p w14:paraId="33114267" w14:textId="77777777" w:rsidR="00A72438" w:rsidRPr="00AA1819" w:rsidRDefault="00A72438" w:rsidP="00B82195"/>
        </w:tc>
        <w:tc>
          <w:tcPr>
            <w:tcW w:w="0" w:type="auto"/>
            <w:vAlign w:val="center"/>
            <w:hideMark/>
          </w:tcPr>
          <w:p w14:paraId="382D2D61" w14:textId="77777777" w:rsidR="00A72438" w:rsidRPr="00AA1819" w:rsidRDefault="00A72438" w:rsidP="00B82195">
            <w:r w:rsidRPr="00AA1819">
              <w:t>Asia</w:t>
            </w:r>
          </w:p>
        </w:tc>
        <w:tc>
          <w:tcPr>
            <w:tcW w:w="0" w:type="auto"/>
            <w:vAlign w:val="center"/>
            <w:hideMark/>
          </w:tcPr>
          <w:p w14:paraId="3832B26A" w14:textId="77777777" w:rsidR="00A72438" w:rsidRPr="00AA1819" w:rsidRDefault="00A72438" w:rsidP="00B82195">
            <w:r w:rsidRPr="00AA1819">
              <w:t>694</w:t>
            </w:r>
          </w:p>
        </w:tc>
        <w:tc>
          <w:tcPr>
            <w:tcW w:w="0" w:type="auto"/>
            <w:vAlign w:val="center"/>
            <w:hideMark/>
          </w:tcPr>
          <w:p w14:paraId="0BF34DA0" w14:textId="77777777" w:rsidR="00A72438" w:rsidRPr="00AA1819" w:rsidRDefault="00A72438" w:rsidP="00B82195">
            <w:r w:rsidRPr="00AA1819">
              <w:t>22.0%</w:t>
            </w:r>
          </w:p>
        </w:tc>
      </w:tr>
      <w:tr w:rsidR="00A72438" w:rsidRPr="00AA1819" w14:paraId="093DAF79" w14:textId="77777777" w:rsidTr="00B82195">
        <w:trPr>
          <w:tblCellSpacing w:w="15" w:type="dxa"/>
        </w:trPr>
        <w:tc>
          <w:tcPr>
            <w:tcW w:w="0" w:type="auto"/>
            <w:vAlign w:val="center"/>
            <w:hideMark/>
          </w:tcPr>
          <w:p w14:paraId="5D221DD5" w14:textId="77777777" w:rsidR="00A72438" w:rsidRPr="00AA1819" w:rsidRDefault="00A72438" w:rsidP="00B82195"/>
        </w:tc>
        <w:tc>
          <w:tcPr>
            <w:tcW w:w="0" w:type="auto"/>
            <w:vAlign w:val="center"/>
            <w:hideMark/>
          </w:tcPr>
          <w:p w14:paraId="00DF606E" w14:textId="77777777" w:rsidR="00A72438" w:rsidRPr="00AA1819" w:rsidRDefault="00A72438" w:rsidP="00B82195">
            <w:r w:rsidRPr="00AA1819">
              <w:t>Africa</w:t>
            </w:r>
          </w:p>
        </w:tc>
        <w:tc>
          <w:tcPr>
            <w:tcW w:w="0" w:type="auto"/>
            <w:vAlign w:val="center"/>
            <w:hideMark/>
          </w:tcPr>
          <w:p w14:paraId="14830C98" w14:textId="77777777" w:rsidR="00A72438" w:rsidRPr="00AA1819" w:rsidRDefault="00A72438" w:rsidP="00B82195">
            <w:r w:rsidRPr="00AA1819">
              <w:t>335</w:t>
            </w:r>
          </w:p>
        </w:tc>
        <w:tc>
          <w:tcPr>
            <w:tcW w:w="0" w:type="auto"/>
            <w:vAlign w:val="center"/>
            <w:hideMark/>
          </w:tcPr>
          <w:p w14:paraId="0286D247" w14:textId="77777777" w:rsidR="00A72438" w:rsidRPr="00AA1819" w:rsidRDefault="00A72438" w:rsidP="00B82195">
            <w:r w:rsidRPr="00AA1819">
              <w:t>10.6%</w:t>
            </w:r>
          </w:p>
        </w:tc>
      </w:tr>
      <w:tr w:rsidR="00A72438" w:rsidRPr="00AA1819" w14:paraId="1954E61E" w14:textId="77777777" w:rsidTr="00B82195">
        <w:trPr>
          <w:tblCellSpacing w:w="15" w:type="dxa"/>
        </w:trPr>
        <w:tc>
          <w:tcPr>
            <w:tcW w:w="0" w:type="auto"/>
            <w:vAlign w:val="center"/>
            <w:hideMark/>
          </w:tcPr>
          <w:p w14:paraId="1E815D3C" w14:textId="77777777" w:rsidR="00A72438" w:rsidRPr="00AA1819" w:rsidRDefault="00A72438" w:rsidP="00B82195"/>
        </w:tc>
        <w:tc>
          <w:tcPr>
            <w:tcW w:w="0" w:type="auto"/>
            <w:vAlign w:val="center"/>
            <w:hideMark/>
          </w:tcPr>
          <w:p w14:paraId="63E29652" w14:textId="77777777" w:rsidR="00A72438" w:rsidRPr="00AA1819" w:rsidRDefault="00A72438" w:rsidP="00B82195">
            <w:r w:rsidRPr="00AA1819">
              <w:t>South America</w:t>
            </w:r>
          </w:p>
        </w:tc>
        <w:tc>
          <w:tcPr>
            <w:tcW w:w="0" w:type="auto"/>
            <w:vAlign w:val="center"/>
            <w:hideMark/>
          </w:tcPr>
          <w:p w14:paraId="06ADC4B3" w14:textId="77777777" w:rsidR="00A72438" w:rsidRPr="00AA1819" w:rsidRDefault="00A72438" w:rsidP="00B82195">
            <w:r w:rsidRPr="00AA1819">
              <w:t>189</w:t>
            </w:r>
          </w:p>
        </w:tc>
        <w:tc>
          <w:tcPr>
            <w:tcW w:w="0" w:type="auto"/>
            <w:vAlign w:val="center"/>
            <w:hideMark/>
          </w:tcPr>
          <w:p w14:paraId="535FB2A2" w14:textId="77777777" w:rsidR="00A72438" w:rsidRPr="00AA1819" w:rsidRDefault="00A72438" w:rsidP="00B82195">
            <w:r w:rsidRPr="00AA1819">
              <w:t>6.0%</w:t>
            </w:r>
          </w:p>
        </w:tc>
      </w:tr>
      <w:tr w:rsidR="00A72438" w:rsidRPr="00AA1819" w14:paraId="4D373EA0" w14:textId="77777777" w:rsidTr="00B82195">
        <w:trPr>
          <w:tblCellSpacing w:w="15" w:type="dxa"/>
        </w:trPr>
        <w:tc>
          <w:tcPr>
            <w:tcW w:w="0" w:type="auto"/>
            <w:vAlign w:val="center"/>
            <w:hideMark/>
          </w:tcPr>
          <w:p w14:paraId="690CCAA3" w14:textId="77777777" w:rsidR="00A72438" w:rsidRPr="00AA1819" w:rsidRDefault="00A72438" w:rsidP="00B82195"/>
        </w:tc>
        <w:tc>
          <w:tcPr>
            <w:tcW w:w="0" w:type="auto"/>
            <w:vAlign w:val="center"/>
            <w:hideMark/>
          </w:tcPr>
          <w:p w14:paraId="2AC6C2D5" w14:textId="77777777" w:rsidR="00A72438" w:rsidRPr="00AA1819" w:rsidRDefault="00A72438" w:rsidP="00B82195">
            <w:r w:rsidRPr="00AA1819">
              <w:t>Oceania</w:t>
            </w:r>
          </w:p>
        </w:tc>
        <w:tc>
          <w:tcPr>
            <w:tcW w:w="0" w:type="auto"/>
            <w:vAlign w:val="center"/>
            <w:hideMark/>
          </w:tcPr>
          <w:p w14:paraId="262D2346" w14:textId="77777777" w:rsidR="00A72438" w:rsidRPr="00AA1819" w:rsidRDefault="00A72438" w:rsidP="00B82195">
            <w:r w:rsidRPr="00AA1819">
              <w:t>100</w:t>
            </w:r>
          </w:p>
        </w:tc>
        <w:tc>
          <w:tcPr>
            <w:tcW w:w="0" w:type="auto"/>
            <w:vAlign w:val="center"/>
            <w:hideMark/>
          </w:tcPr>
          <w:p w14:paraId="2CAEE941" w14:textId="77777777" w:rsidR="00A72438" w:rsidRPr="00AA1819" w:rsidRDefault="00A72438" w:rsidP="00B82195">
            <w:r w:rsidRPr="00AA1819">
              <w:t>3.2%</w:t>
            </w:r>
          </w:p>
        </w:tc>
      </w:tr>
    </w:tbl>
    <w:p w14:paraId="1A5AA6C9" w14:textId="787E6E4D" w:rsidR="00A72438" w:rsidRPr="00AA1819" w:rsidRDefault="00A72438" w:rsidP="00A72438">
      <w:r w:rsidRPr="00AA1819">
        <w:t>These descriptives show a diverse and balanced dataset across multiple demographics, enabling robust comparisons between groups.</w:t>
      </w:r>
    </w:p>
    <w:p w14:paraId="22BD1FC0" w14:textId="77777777" w:rsidR="00A72438" w:rsidRPr="00AA1819" w:rsidRDefault="00A72438" w:rsidP="00A72438">
      <w:pPr>
        <w:pStyle w:val="Heading4"/>
      </w:pPr>
      <w:r w:rsidRPr="00AA1819">
        <w:t>Hypothesis Testing</w:t>
      </w:r>
    </w:p>
    <w:p w14:paraId="4C77BB1A" w14:textId="77777777" w:rsidR="00A72438" w:rsidRPr="00AA1819" w:rsidRDefault="00A72438" w:rsidP="00A72438">
      <w:r w:rsidRPr="00AA1819">
        <w:rPr>
          <w:rStyle w:val="Heading5Char"/>
        </w:rPr>
        <w:t>RQ1: Burnout by Work Arrangement</w:t>
      </w:r>
      <w:r w:rsidRPr="00AA1819">
        <w:br/>
        <w:t xml:space="preserve">A one-way ANOVA tested whether burnout levels differ across Remote, Hybrid, and Onsite employees. Results were statistically significant, </w:t>
      </w:r>
      <w:proofErr w:type="gramStart"/>
      <w:r w:rsidRPr="00AA1819">
        <w:t>F(</w:t>
      </w:r>
      <w:proofErr w:type="gramEnd"/>
      <w:r w:rsidRPr="00AA1819">
        <w:t>2, 3154) = 59.28, p &lt; .001, with a small effect size (η² = .036).</w:t>
      </w:r>
    </w:p>
    <w:p w14:paraId="2851B0AF" w14:textId="77777777" w:rsidR="00A72438" w:rsidRPr="00AA1819" w:rsidRDefault="00A72438" w:rsidP="00A72438">
      <w:r w:rsidRPr="00AA1819">
        <w:t>Table 3 shows the ANOVA output, while Table 4 summarizes group means. Figure 1 presents a boxplot of burnout by arrangement.</w:t>
      </w:r>
    </w:p>
    <w:p w14:paraId="60F3F40D" w14:textId="77777777" w:rsidR="00A72438" w:rsidRPr="00AA1819" w:rsidRDefault="00A72438" w:rsidP="00A72438">
      <w:r w:rsidRPr="00AA1819">
        <w:t>Table 3</w:t>
      </w:r>
      <w:r w:rsidRPr="00AA1819">
        <w:br/>
      </w:r>
      <w:r w:rsidRPr="00AA1819">
        <w:rPr>
          <w:i/>
          <w:iCs/>
        </w:rPr>
        <w:t>ANOVA Results for Burnout by Work Arrangement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642"/>
        <w:gridCol w:w="514"/>
        <w:gridCol w:w="667"/>
      </w:tblGrid>
      <w:tr w:rsidR="00A72438" w:rsidRPr="00AA1819" w14:paraId="13F04231" w14:textId="77777777" w:rsidTr="00B82195">
        <w:trPr>
          <w:tblHeader/>
          <w:tblCellSpacing w:w="15" w:type="dxa"/>
        </w:trPr>
        <w:tc>
          <w:tcPr>
            <w:tcW w:w="0" w:type="auto"/>
            <w:vAlign w:val="center"/>
            <w:hideMark/>
          </w:tcPr>
          <w:p w14:paraId="09E685B2" w14:textId="77777777" w:rsidR="00A72438" w:rsidRPr="00AA1819" w:rsidRDefault="00A72438" w:rsidP="00B82195">
            <w:r w:rsidRPr="00AA1819">
              <w:t>Test</w:t>
            </w:r>
          </w:p>
        </w:tc>
        <w:tc>
          <w:tcPr>
            <w:tcW w:w="0" w:type="auto"/>
            <w:vAlign w:val="center"/>
            <w:hideMark/>
          </w:tcPr>
          <w:p w14:paraId="6BA3B183" w14:textId="77777777" w:rsidR="00A72438" w:rsidRPr="00AA1819" w:rsidRDefault="00A72438" w:rsidP="00B82195">
            <w:r w:rsidRPr="00AA1819">
              <w:t>F</w:t>
            </w:r>
          </w:p>
        </w:tc>
        <w:tc>
          <w:tcPr>
            <w:tcW w:w="0" w:type="auto"/>
            <w:vAlign w:val="center"/>
            <w:hideMark/>
          </w:tcPr>
          <w:p w14:paraId="01DDE31C" w14:textId="77777777" w:rsidR="00A72438" w:rsidRPr="00AA1819" w:rsidRDefault="00A72438" w:rsidP="00B82195">
            <w:r w:rsidRPr="00AA1819">
              <w:t>p</w:t>
            </w:r>
          </w:p>
        </w:tc>
        <w:tc>
          <w:tcPr>
            <w:tcW w:w="0" w:type="auto"/>
            <w:vAlign w:val="center"/>
            <w:hideMark/>
          </w:tcPr>
          <w:p w14:paraId="385E47AB" w14:textId="77777777" w:rsidR="00A72438" w:rsidRPr="00AA1819" w:rsidRDefault="00A72438" w:rsidP="00B82195">
            <w:r w:rsidRPr="00AA1819">
              <w:t>η²</w:t>
            </w:r>
          </w:p>
        </w:tc>
      </w:tr>
      <w:tr w:rsidR="00A72438" w:rsidRPr="00AA1819" w14:paraId="1A3187CA" w14:textId="77777777" w:rsidTr="00B82195">
        <w:trPr>
          <w:tblCellSpacing w:w="15" w:type="dxa"/>
        </w:trPr>
        <w:tc>
          <w:tcPr>
            <w:tcW w:w="0" w:type="auto"/>
            <w:vAlign w:val="center"/>
            <w:hideMark/>
          </w:tcPr>
          <w:p w14:paraId="03281ED5" w14:textId="77777777" w:rsidR="00A72438" w:rsidRPr="00AA1819" w:rsidRDefault="00A72438" w:rsidP="00B82195">
            <w:r w:rsidRPr="00AA1819">
              <w:t>One-way ANOVA</w:t>
            </w:r>
          </w:p>
        </w:tc>
        <w:tc>
          <w:tcPr>
            <w:tcW w:w="0" w:type="auto"/>
            <w:vAlign w:val="center"/>
            <w:hideMark/>
          </w:tcPr>
          <w:p w14:paraId="35337A5E" w14:textId="77777777" w:rsidR="00A72438" w:rsidRPr="00AA1819" w:rsidRDefault="00A72438" w:rsidP="00B82195">
            <w:r w:rsidRPr="00AA1819">
              <w:t>59.28</w:t>
            </w:r>
          </w:p>
        </w:tc>
        <w:tc>
          <w:tcPr>
            <w:tcW w:w="0" w:type="auto"/>
            <w:vAlign w:val="center"/>
            <w:hideMark/>
          </w:tcPr>
          <w:p w14:paraId="12EA2957" w14:textId="77777777" w:rsidR="00A72438" w:rsidRPr="00AA1819" w:rsidRDefault="00A72438" w:rsidP="00B82195">
            <w:r w:rsidRPr="00AA1819">
              <w:t>.000</w:t>
            </w:r>
          </w:p>
        </w:tc>
        <w:tc>
          <w:tcPr>
            <w:tcW w:w="0" w:type="auto"/>
            <w:vAlign w:val="center"/>
            <w:hideMark/>
          </w:tcPr>
          <w:p w14:paraId="3C40BA22" w14:textId="77777777" w:rsidR="00A72438" w:rsidRPr="00AA1819" w:rsidRDefault="00A72438" w:rsidP="00B82195">
            <w:r w:rsidRPr="00AA1819">
              <w:t>0.036</w:t>
            </w:r>
          </w:p>
        </w:tc>
      </w:tr>
    </w:tbl>
    <w:p w14:paraId="79331743" w14:textId="77777777" w:rsidR="00A72438" w:rsidRPr="00AA1819" w:rsidRDefault="00A72438" w:rsidP="00A72438">
      <w:r w:rsidRPr="00AA1819">
        <w:t>Table 4</w:t>
      </w:r>
      <w:r w:rsidRPr="00AA1819">
        <w:br/>
      </w:r>
      <w:r w:rsidRPr="00AA1819">
        <w:rPr>
          <w:i/>
          <w:iCs/>
        </w:rPr>
        <w:t>Group Means for Burnout by Work Arrangement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642"/>
        <w:gridCol w:w="514"/>
        <w:gridCol w:w="539"/>
      </w:tblGrid>
      <w:tr w:rsidR="00A72438" w:rsidRPr="00AA1819" w14:paraId="46B618A6" w14:textId="77777777" w:rsidTr="00B82195">
        <w:trPr>
          <w:tblHeader/>
          <w:tblCellSpacing w:w="15" w:type="dxa"/>
        </w:trPr>
        <w:tc>
          <w:tcPr>
            <w:tcW w:w="0" w:type="auto"/>
            <w:vAlign w:val="center"/>
            <w:hideMark/>
          </w:tcPr>
          <w:p w14:paraId="38105F19" w14:textId="77777777" w:rsidR="00A72438" w:rsidRPr="00AA1819" w:rsidRDefault="00A72438" w:rsidP="00B82195">
            <w:r w:rsidRPr="00AA1819">
              <w:t>Work Arrangement</w:t>
            </w:r>
          </w:p>
        </w:tc>
        <w:tc>
          <w:tcPr>
            <w:tcW w:w="0" w:type="auto"/>
            <w:vAlign w:val="center"/>
            <w:hideMark/>
          </w:tcPr>
          <w:p w14:paraId="671D225D" w14:textId="77777777" w:rsidR="00A72438" w:rsidRPr="00AA1819" w:rsidRDefault="00A72438" w:rsidP="00B82195">
            <w:r w:rsidRPr="00AA1819">
              <w:t>N</w:t>
            </w:r>
          </w:p>
        </w:tc>
        <w:tc>
          <w:tcPr>
            <w:tcW w:w="0" w:type="auto"/>
            <w:vAlign w:val="center"/>
            <w:hideMark/>
          </w:tcPr>
          <w:p w14:paraId="63BC3348" w14:textId="77777777" w:rsidR="00A72438" w:rsidRPr="00AA1819" w:rsidRDefault="00A72438" w:rsidP="00B82195">
            <w:r w:rsidRPr="00AA1819">
              <w:t>M</w:t>
            </w:r>
          </w:p>
        </w:tc>
        <w:tc>
          <w:tcPr>
            <w:tcW w:w="0" w:type="auto"/>
            <w:vAlign w:val="center"/>
            <w:hideMark/>
          </w:tcPr>
          <w:p w14:paraId="460847C5" w14:textId="77777777" w:rsidR="00A72438" w:rsidRPr="00AA1819" w:rsidRDefault="00A72438" w:rsidP="00B82195">
            <w:r w:rsidRPr="00AA1819">
              <w:t>SD</w:t>
            </w:r>
          </w:p>
        </w:tc>
      </w:tr>
      <w:tr w:rsidR="00A72438" w:rsidRPr="00AA1819" w14:paraId="4F2C8654" w14:textId="77777777" w:rsidTr="00B82195">
        <w:trPr>
          <w:tblCellSpacing w:w="15" w:type="dxa"/>
        </w:trPr>
        <w:tc>
          <w:tcPr>
            <w:tcW w:w="0" w:type="auto"/>
            <w:vAlign w:val="center"/>
            <w:hideMark/>
          </w:tcPr>
          <w:p w14:paraId="52DC681A" w14:textId="77777777" w:rsidR="00A72438" w:rsidRPr="00AA1819" w:rsidRDefault="00A72438" w:rsidP="00B82195">
            <w:r w:rsidRPr="00AA1819">
              <w:t>Remote</w:t>
            </w:r>
          </w:p>
        </w:tc>
        <w:tc>
          <w:tcPr>
            <w:tcW w:w="0" w:type="auto"/>
            <w:vAlign w:val="center"/>
            <w:hideMark/>
          </w:tcPr>
          <w:p w14:paraId="6C929871" w14:textId="77777777" w:rsidR="00A72438" w:rsidRPr="00AA1819" w:rsidRDefault="00A72438" w:rsidP="00B82195">
            <w:r w:rsidRPr="00AA1819">
              <w:t>588</w:t>
            </w:r>
          </w:p>
        </w:tc>
        <w:tc>
          <w:tcPr>
            <w:tcW w:w="0" w:type="auto"/>
            <w:vAlign w:val="center"/>
            <w:hideMark/>
          </w:tcPr>
          <w:p w14:paraId="4EEF0F93" w14:textId="77777777" w:rsidR="00A72438" w:rsidRPr="00AA1819" w:rsidRDefault="00A72438" w:rsidP="00B82195">
            <w:r w:rsidRPr="00AA1819">
              <w:t>2.33</w:t>
            </w:r>
          </w:p>
        </w:tc>
        <w:tc>
          <w:tcPr>
            <w:tcW w:w="0" w:type="auto"/>
            <w:vAlign w:val="center"/>
            <w:hideMark/>
          </w:tcPr>
          <w:p w14:paraId="4435633A" w14:textId="77777777" w:rsidR="00A72438" w:rsidRPr="00AA1819" w:rsidRDefault="00A72438" w:rsidP="00B82195">
            <w:r w:rsidRPr="00AA1819">
              <w:t>0.66</w:t>
            </w:r>
          </w:p>
        </w:tc>
      </w:tr>
      <w:tr w:rsidR="00A72438" w:rsidRPr="00AA1819" w14:paraId="7DE6C130" w14:textId="77777777" w:rsidTr="00B82195">
        <w:trPr>
          <w:tblCellSpacing w:w="15" w:type="dxa"/>
        </w:trPr>
        <w:tc>
          <w:tcPr>
            <w:tcW w:w="0" w:type="auto"/>
            <w:vAlign w:val="center"/>
            <w:hideMark/>
          </w:tcPr>
          <w:p w14:paraId="7A2A31AF" w14:textId="77777777" w:rsidR="00A72438" w:rsidRPr="00AA1819" w:rsidRDefault="00A72438" w:rsidP="00B82195">
            <w:r w:rsidRPr="00AA1819">
              <w:t>Hybrid</w:t>
            </w:r>
          </w:p>
        </w:tc>
        <w:tc>
          <w:tcPr>
            <w:tcW w:w="0" w:type="auto"/>
            <w:vAlign w:val="center"/>
            <w:hideMark/>
          </w:tcPr>
          <w:p w14:paraId="3FC0F95D" w14:textId="77777777" w:rsidR="00A72438" w:rsidRPr="00AA1819" w:rsidRDefault="00A72438" w:rsidP="00B82195">
            <w:r w:rsidRPr="00AA1819">
              <w:t>1,007</w:t>
            </w:r>
          </w:p>
        </w:tc>
        <w:tc>
          <w:tcPr>
            <w:tcW w:w="0" w:type="auto"/>
            <w:vAlign w:val="center"/>
            <w:hideMark/>
          </w:tcPr>
          <w:p w14:paraId="692B491D" w14:textId="77777777" w:rsidR="00A72438" w:rsidRPr="00AA1819" w:rsidRDefault="00A72438" w:rsidP="00B82195">
            <w:r w:rsidRPr="00AA1819">
              <w:t>2.17</w:t>
            </w:r>
          </w:p>
        </w:tc>
        <w:tc>
          <w:tcPr>
            <w:tcW w:w="0" w:type="auto"/>
            <w:vAlign w:val="center"/>
            <w:hideMark/>
          </w:tcPr>
          <w:p w14:paraId="3CA0BFB1" w14:textId="77777777" w:rsidR="00A72438" w:rsidRPr="00AA1819" w:rsidRDefault="00A72438" w:rsidP="00B82195">
            <w:r w:rsidRPr="00AA1819">
              <w:t>0.67</w:t>
            </w:r>
          </w:p>
        </w:tc>
      </w:tr>
      <w:tr w:rsidR="00A72438" w:rsidRPr="00AA1819" w14:paraId="4F6241C4" w14:textId="77777777" w:rsidTr="00B82195">
        <w:trPr>
          <w:tblCellSpacing w:w="15" w:type="dxa"/>
        </w:trPr>
        <w:tc>
          <w:tcPr>
            <w:tcW w:w="0" w:type="auto"/>
            <w:vAlign w:val="center"/>
            <w:hideMark/>
          </w:tcPr>
          <w:p w14:paraId="188E511D" w14:textId="77777777" w:rsidR="00A72438" w:rsidRPr="00AA1819" w:rsidRDefault="00A72438" w:rsidP="00B82195">
            <w:r w:rsidRPr="00AA1819">
              <w:lastRenderedPageBreak/>
              <w:t>Onsite</w:t>
            </w:r>
          </w:p>
        </w:tc>
        <w:tc>
          <w:tcPr>
            <w:tcW w:w="0" w:type="auto"/>
            <w:vAlign w:val="center"/>
            <w:hideMark/>
          </w:tcPr>
          <w:p w14:paraId="26CA96FC" w14:textId="77777777" w:rsidR="00A72438" w:rsidRPr="00AA1819" w:rsidRDefault="00A72438" w:rsidP="00B82195">
            <w:r w:rsidRPr="00AA1819">
              <w:t>1,562</w:t>
            </w:r>
          </w:p>
        </w:tc>
        <w:tc>
          <w:tcPr>
            <w:tcW w:w="0" w:type="auto"/>
            <w:vAlign w:val="center"/>
            <w:hideMark/>
          </w:tcPr>
          <w:p w14:paraId="450F0608" w14:textId="77777777" w:rsidR="00A72438" w:rsidRPr="00AA1819" w:rsidRDefault="00A72438" w:rsidP="00B82195">
            <w:r w:rsidRPr="00AA1819">
              <w:t>1.96</w:t>
            </w:r>
          </w:p>
        </w:tc>
        <w:tc>
          <w:tcPr>
            <w:tcW w:w="0" w:type="auto"/>
            <w:vAlign w:val="center"/>
            <w:hideMark/>
          </w:tcPr>
          <w:p w14:paraId="6C673B7E" w14:textId="77777777" w:rsidR="00A72438" w:rsidRPr="00AA1819" w:rsidRDefault="00A72438" w:rsidP="00B82195">
            <w:r w:rsidRPr="00AA1819">
              <w:t>0.68</w:t>
            </w:r>
          </w:p>
        </w:tc>
      </w:tr>
    </w:tbl>
    <w:p w14:paraId="0781D2C0" w14:textId="77777777" w:rsidR="00A72438" w:rsidRPr="00AA1819" w:rsidRDefault="00A72438" w:rsidP="00A72438">
      <w:r w:rsidRPr="00AA1819">
        <w:t>Figure 1</w:t>
      </w:r>
      <w:r w:rsidRPr="00AA1819">
        <w:br/>
      </w:r>
      <w:r w:rsidRPr="00AA1819">
        <w:rPr>
          <w:i/>
          <w:iCs/>
        </w:rPr>
        <w:t>Burnout by Work Arrangement (1 = Low, 3 = High)</w:t>
      </w:r>
    </w:p>
    <w:p w14:paraId="1A7EBB5C" w14:textId="77777777" w:rsidR="00A72438" w:rsidRPr="00AA1819" w:rsidRDefault="00A72438" w:rsidP="00A72438">
      <w:r w:rsidRPr="00AA1819">
        <w:t>Interpretation: Employees working remotely reported the highest burnout (M = 2.33), followed by hybrid (M = 2.17), and onsite the lowest (M = 1.96).</w:t>
      </w:r>
    </w:p>
    <w:p w14:paraId="0AE68753" w14:textId="77777777" w:rsidR="00A72438" w:rsidRPr="00AA1819" w:rsidRDefault="00A72438" w:rsidP="00A72438">
      <w:pPr>
        <w:numPr>
          <w:ilvl w:val="0"/>
          <w:numId w:val="12"/>
        </w:numPr>
      </w:pPr>
      <w:r w:rsidRPr="00AA1819">
        <w:t>Decision: Reject Ho1 (no differences). Support Ha1.</w:t>
      </w:r>
    </w:p>
    <w:p w14:paraId="48E238E5" w14:textId="77777777" w:rsidR="00A72438" w:rsidRPr="00AA1819" w:rsidRDefault="00A72438" w:rsidP="00A72438">
      <w:pPr>
        <w:numPr>
          <w:ilvl w:val="0"/>
          <w:numId w:val="12"/>
        </w:numPr>
      </w:pPr>
      <w:r w:rsidRPr="00AA1819">
        <w:t>Implication: Work arrangement is an important determinant of burnout, consistent with prior findings that remote work can intensify strain due to blurred boundaries and isolation (Wang et al., 2021; Oakman et al., 2020).</w:t>
      </w:r>
    </w:p>
    <w:p w14:paraId="29AD7672" w14:textId="77777777" w:rsidR="00A72438" w:rsidRPr="00AA1819" w:rsidRDefault="00A72438" w:rsidP="00A72438">
      <w:pPr>
        <w:pStyle w:val="Heading5"/>
      </w:pPr>
      <w:r w:rsidRPr="00AA1819">
        <w:t>RQ2: Hours Worked vs. Work-Life Balance</w:t>
      </w:r>
    </w:p>
    <w:p w14:paraId="7EA5B14D" w14:textId="77777777" w:rsidR="00A72438" w:rsidRPr="00AA1819" w:rsidRDefault="00A72438" w:rsidP="00A72438">
      <w:r w:rsidRPr="00AA1819">
        <w:t>The second research question investigated whether there is a statistically significant association between the number of hours worked per week and employees’ self-reported work-life balance scores. Because work-life balance is measured on a Likert-type ordinal scale (1–5), Spearman’s rank correlation was selected as the appropriate nonparametric test. This method does not assume interval-level spacing between response categories and is robust against non-normal distributions (Field, 2018).</w:t>
      </w:r>
    </w:p>
    <w:p w14:paraId="358FD886" w14:textId="77777777" w:rsidR="00A72438" w:rsidRPr="00AA1819" w:rsidRDefault="00A72438" w:rsidP="00A72438">
      <w:r w:rsidRPr="00AA1819">
        <w:t>Results of the correlation analysis are presented in Table 5.</w:t>
      </w:r>
    </w:p>
    <w:p w14:paraId="6A7268C4" w14:textId="77777777" w:rsidR="00A72438" w:rsidRPr="00AA1819" w:rsidRDefault="00A72438" w:rsidP="00A72438">
      <w:r w:rsidRPr="00AA1819">
        <w:t>Table 5</w:t>
      </w:r>
      <w:r w:rsidRPr="00AA1819">
        <w:br/>
      </w:r>
      <w:r w:rsidRPr="00AA1819">
        <w:rPr>
          <w:i/>
          <w:iCs/>
        </w:rPr>
        <w:t>Spearman Correlation Between Hours Worked per Week and Work-Life Balance Score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481"/>
        <w:gridCol w:w="1314"/>
        <w:gridCol w:w="539"/>
      </w:tblGrid>
      <w:tr w:rsidR="00A72438" w:rsidRPr="00AA1819" w14:paraId="60F2C159" w14:textId="77777777" w:rsidTr="00B82195">
        <w:trPr>
          <w:tblHeader/>
          <w:tblCellSpacing w:w="15" w:type="dxa"/>
        </w:trPr>
        <w:tc>
          <w:tcPr>
            <w:tcW w:w="0" w:type="auto"/>
            <w:vAlign w:val="center"/>
            <w:hideMark/>
          </w:tcPr>
          <w:p w14:paraId="422A0A1C" w14:textId="77777777" w:rsidR="00A72438" w:rsidRPr="00AA1819" w:rsidRDefault="00A72438" w:rsidP="00B82195">
            <w:r w:rsidRPr="00AA1819">
              <w:t>Variables</w:t>
            </w:r>
          </w:p>
        </w:tc>
        <w:tc>
          <w:tcPr>
            <w:tcW w:w="0" w:type="auto"/>
            <w:vAlign w:val="center"/>
            <w:hideMark/>
          </w:tcPr>
          <w:p w14:paraId="61D2A505" w14:textId="77777777" w:rsidR="00A72438" w:rsidRPr="00AA1819" w:rsidRDefault="00A72438" w:rsidP="00B82195">
            <w:r w:rsidRPr="00AA1819">
              <w:t>Spearman ρ</w:t>
            </w:r>
          </w:p>
        </w:tc>
        <w:tc>
          <w:tcPr>
            <w:tcW w:w="0" w:type="auto"/>
            <w:vAlign w:val="center"/>
            <w:hideMark/>
          </w:tcPr>
          <w:p w14:paraId="69118A47" w14:textId="77777777" w:rsidR="00A72438" w:rsidRPr="00AA1819" w:rsidRDefault="00A72438" w:rsidP="00B82195">
            <w:r w:rsidRPr="00AA1819">
              <w:t>p</w:t>
            </w:r>
          </w:p>
        </w:tc>
      </w:tr>
      <w:tr w:rsidR="00A72438" w:rsidRPr="00AA1819" w14:paraId="009D6402" w14:textId="77777777" w:rsidTr="00B82195">
        <w:trPr>
          <w:tblCellSpacing w:w="15" w:type="dxa"/>
        </w:trPr>
        <w:tc>
          <w:tcPr>
            <w:tcW w:w="0" w:type="auto"/>
            <w:vAlign w:val="center"/>
            <w:hideMark/>
          </w:tcPr>
          <w:p w14:paraId="5BF06153" w14:textId="77777777" w:rsidR="00A72438" w:rsidRPr="00AA1819" w:rsidRDefault="00A72438" w:rsidP="00B82195">
            <w:r w:rsidRPr="00AA1819">
              <w:t>Hours Worked vs. Work-Life Balance Score</w:t>
            </w:r>
          </w:p>
        </w:tc>
        <w:tc>
          <w:tcPr>
            <w:tcW w:w="0" w:type="auto"/>
            <w:vAlign w:val="center"/>
            <w:hideMark/>
          </w:tcPr>
          <w:p w14:paraId="2FD29FDE" w14:textId="77777777" w:rsidR="00A72438" w:rsidRPr="00AA1819" w:rsidRDefault="00A72438" w:rsidP="00B82195">
            <w:r w:rsidRPr="00AA1819">
              <w:t>−0.015</w:t>
            </w:r>
          </w:p>
        </w:tc>
        <w:tc>
          <w:tcPr>
            <w:tcW w:w="0" w:type="auto"/>
            <w:vAlign w:val="center"/>
            <w:hideMark/>
          </w:tcPr>
          <w:p w14:paraId="3E4BE502" w14:textId="77777777" w:rsidR="00A72438" w:rsidRPr="00AA1819" w:rsidRDefault="00A72438" w:rsidP="00B82195">
            <w:r w:rsidRPr="00AA1819">
              <w:t>.396</w:t>
            </w:r>
          </w:p>
        </w:tc>
      </w:tr>
    </w:tbl>
    <w:p w14:paraId="311251E1" w14:textId="77777777" w:rsidR="00A72438" w:rsidRPr="00AA1819" w:rsidRDefault="00A72438" w:rsidP="00A72438">
      <w:r w:rsidRPr="00AA1819">
        <w:t>The correlation coefficient (ρ = −.015) was very small and not statistically significant (p = .396). This result indicates that, in this dataset, the number of weekly hours worked is not reliably related to employees’ reported work-life balance. In other words, employees working longer hours do not consistently report lower balance, nor do those with fewer hours consistently report higher balance.</w:t>
      </w:r>
    </w:p>
    <w:p w14:paraId="26DC0493" w14:textId="77777777" w:rsidR="00A72438" w:rsidRPr="00AA1819" w:rsidRDefault="00A72438" w:rsidP="00A72438">
      <w:r w:rsidRPr="00AA1819">
        <w:t>Figure 2 provides a scatterplot of hours per week against work-life balance, with jittered points to improve visibility of overlapping values. The plot illustrates the lack of a discernible trend, with balance ratings distributed broadly across all ranges of weekly work hours.</w:t>
      </w:r>
    </w:p>
    <w:p w14:paraId="61A84697" w14:textId="77777777" w:rsidR="00A72438" w:rsidRPr="00AA1819" w:rsidRDefault="00A72438" w:rsidP="00A72438">
      <w:r w:rsidRPr="00AA1819">
        <w:lastRenderedPageBreak/>
        <w:t>Figure 2</w:t>
      </w:r>
      <w:r w:rsidRPr="00AA1819">
        <w:br/>
      </w:r>
      <w:r w:rsidRPr="00AA1819">
        <w:rPr>
          <w:i/>
          <w:iCs/>
        </w:rPr>
        <w:t>Scatterplot of Hours Worked per Week and Work-Life Balance Score</w:t>
      </w:r>
    </w:p>
    <w:p w14:paraId="0FA9067B" w14:textId="77777777" w:rsidR="00A72438" w:rsidRPr="00AA1819" w:rsidRDefault="00A72438" w:rsidP="00A72438">
      <w:r w:rsidRPr="00AA1819">
        <w:t>Interpretation</w:t>
      </w:r>
    </w:p>
    <w:p w14:paraId="626A62F7" w14:textId="77777777" w:rsidR="00A72438" w:rsidRPr="00AA1819" w:rsidRDefault="00A72438" w:rsidP="00A72438">
      <w:r w:rsidRPr="00AA1819">
        <w:t xml:space="preserve">The null hypothesis (Ho2) stated that there would be no correlation between weekly hours and work-life balance scores. Because the test was not significant (p &gt; .05), Ho2 </w:t>
      </w:r>
      <w:proofErr w:type="gramStart"/>
      <w:r w:rsidRPr="00AA1819">
        <w:t>is</w:t>
      </w:r>
      <w:proofErr w:type="gramEnd"/>
      <w:r w:rsidRPr="00AA1819">
        <w:t xml:space="preserve"> retained. The alternative hypothesis (Ha2), which posited a significant correlation, is not supported.</w:t>
      </w:r>
    </w:p>
    <w:p w14:paraId="2663861C" w14:textId="77777777" w:rsidR="00A72438" w:rsidRPr="00AA1819" w:rsidRDefault="00A72438" w:rsidP="00A72438">
      <w:r w:rsidRPr="00AA1819">
        <w:t>This finding may seem counterintuitive, as prior research often demonstrates that longer hours contribute to work-life conflict (</w:t>
      </w:r>
      <w:proofErr w:type="spellStart"/>
      <w:r w:rsidRPr="00AA1819">
        <w:t>Felstead</w:t>
      </w:r>
      <w:proofErr w:type="spellEnd"/>
      <w:r w:rsidRPr="00AA1819">
        <w:t xml:space="preserve"> &amp; Reuschke, 2020; Derks &amp; Bakker, 2014). However, the absence of correlation here suggests that other moderating factors may be more influential in shaping balance perceptions. These could include:</w:t>
      </w:r>
    </w:p>
    <w:p w14:paraId="531C949F" w14:textId="77777777" w:rsidR="00A72438" w:rsidRPr="00AA1819" w:rsidRDefault="00A72438" w:rsidP="00A72438">
      <w:pPr>
        <w:numPr>
          <w:ilvl w:val="0"/>
          <w:numId w:val="13"/>
        </w:numPr>
      </w:pPr>
      <w:r w:rsidRPr="00AA1819">
        <w:t>Schedule flexibility: Employees with autonomy in choosing their hours may maintain balance even at higher workloads (Wang et al., 2021).</w:t>
      </w:r>
    </w:p>
    <w:p w14:paraId="0A7E774D" w14:textId="77777777" w:rsidR="00A72438" w:rsidRPr="00AA1819" w:rsidRDefault="00A72438" w:rsidP="00A72438">
      <w:pPr>
        <w:numPr>
          <w:ilvl w:val="0"/>
          <w:numId w:val="13"/>
        </w:numPr>
      </w:pPr>
      <w:r w:rsidRPr="00AA1819">
        <w:t>Supervisor support: Supportive leadership has been shown to buffer the negative effects of high hours on balance (Hammer et al., 2011).</w:t>
      </w:r>
    </w:p>
    <w:p w14:paraId="30B368CA" w14:textId="77777777" w:rsidR="00A72438" w:rsidRPr="00AA1819" w:rsidRDefault="00A72438" w:rsidP="00A72438">
      <w:pPr>
        <w:numPr>
          <w:ilvl w:val="0"/>
          <w:numId w:val="13"/>
        </w:numPr>
      </w:pPr>
      <w:r w:rsidRPr="00AA1819">
        <w:t>Work fragmentation: Employees may work the same total hours but distribute them across the day differently (e.g., early start/long breaks vs. concentrated long days).</w:t>
      </w:r>
    </w:p>
    <w:p w14:paraId="6DC7E07A" w14:textId="77777777" w:rsidR="00A72438" w:rsidRPr="00AA1819" w:rsidRDefault="00A72438" w:rsidP="00A72438">
      <w:r w:rsidRPr="00AA1819">
        <w:t>The implication is that “how” hours are structured may matter more than “how many” are worked. Organizations seeking to address work-life balance should consider policies around flexibility, after-hours expectations, and task management rather than focusing only on reducing total hours.</w:t>
      </w:r>
    </w:p>
    <w:p w14:paraId="27FB9305" w14:textId="77777777" w:rsidR="00A72438" w:rsidRPr="00AA1819" w:rsidRDefault="00A72438" w:rsidP="00A72438">
      <w:pPr>
        <w:pStyle w:val="Heading5"/>
      </w:pPr>
      <w:r w:rsidRPr="00AA1819">
        <w:t>RQ3: Predicting Mental Health Status from Burnout and Social Isolation</w:t>
      </w:r>
    </w:p>
    <w:p w14:paraId="7943F377" w14:textId="77777777" w:rsidR="00A72438" w:rsidRPr="00AA1819" w:rsidRDefault="00A72438" w:rsidP="00A72438">
      <w:r w:rsidRPr="00AA1819">
        <w:t>The third research question asked whether burnout level, social isolation score, and hours worked per week predict the likelihood of an employee reporting a mental health condition. Because the dependent variable (</w:t>
      </w:r>
      <w:proofErr w:type="spellStart"/>
      <w:r w:rsidRPr="00AA1819">
        <w:rPr>
          <w:i/>
          <w:iCs/>
        </w:rPr>
        <w:t>Mental_Any</w:t>
      </w:r>
      <w:proofErr w:type="spellEnd"/>
      <w:r w:rsidRPr="00AA1819">
        <w:t>) was coded dichotomously (0 = None, 1 = Any condition reported), binary logistic regression was used. Work arrangement (Remote, Hybrid, Onsite) was also included as a set of dummy controls (reference = Hybrid).</w:t>
      </w:r>
    </w:p>
    <w:p w14:paraId="3EE01577" w14:textId="77777777" w:rsidR="00A72438" w:rsidRPr="00AA1819" w:rsidRDefault="00A72438" w:rsidP="00A72438">
      <w:r w:rsidRPr="00AA1819">
        <w:t>Results of Logistic Regression</w:t>
      </w:r>
    </w:p>
    <w:p w14:paraId="35A44C2D" w14:textId="77777777" w:rsidR="00A72438" w:rsidRPr="00AA1819" w:rsidRDefault="00A72438" w:rsidP="00A72438">
      <w:r w:rsidRPr="00AA1819">
        <w:t>Table 6 presents the regression coefficients (B), standard errors, z-values, and significance levels.</w:t>
      </w:r>
    </w:p>
    <w:p w14:paraId="7B0B1AEF" w14:textId="77777777" w:rsidR="00A72438" w:rsidRPr="00AA1819" w:rsidRDefault="00A72438" w:rsidP="00A72438">
      <w:r w:rsidRPr="00AA1819">
        <w:t>Table 6</w:t>
      </w:r>
      <w:r w:rsidRPr="00AA1819">
        <w:br/>
      </w:r>
      <w:r w:rsidRPr="00AA1819">
        <w:rPr>
          <w:i/>
          <w:iCs/>
        </w:rPr>
        <w:t>Logistic Regression Predicting Presence of Mental Health Condition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770"/>
        <w:gridCol w:w="642"/>
        <w:gridCol w:w="642"/>
        <w:gridCol w:w="539"/>
      </w:tblGrid>
      <w:tr w:rsidR="00A72438" w:rsidRPr="00AA1819" w14:paraId="1924BE59" w14:textId="77777777" w:rsidTr="00B82195">
        <w:trPr>
          <w:tblHeader/>
          <w:tblCellSpacing w:w="15" w:type="dxa"/>
        </w:trPr>
        <w:tc>
          <w:tcPr>
            <w:tcW w:w="0" w:type="auto"/>
            <w:vAlign w:val="center"/>
            <w:hideMark/>
          </w:tcPr>
          <w:p w14:paraId="741532B0" w14:textId="77777777" w:rsidR="00A72438" w:rsidRPr="00AA1819" w:rsidRDefault="00A72438" w:rsidP="00B82195">
            <w:r w:rsidRPr="00AA1819">
              <w:lastRenderedPageBreak/>
              <w:t>Predictor</w:t>
            </w:r>
          </w:p>
        </w:tc>
        <w:tc>
          <w:tcPr>
            <w:tcW w:w="0" w:type="auto"/>
            <w:vAlign w:val="center"/>
            <w:hideMark/>
          </w:tcPr>
          <w:p w14:paraId="6C46917B" w14:textId="77777777" w:rsidR="00A72438" w:rsidRPr="00AA1819" w:rsidRDefault="00A72438" w:rsidP="00B82195">
            <w:r w:rsidRPr="00AA1819">
              <w:t>B</w:t>
            </w:r>
          </w:p>
        </w:tc>
        <w:tc>
          <w:tcPr>
            <w:tcW w:w="0" w:type="auto"/>
            <w:vAlign w:val="center"/>
            <w:hideMark/>
          </w:tcPr>
          <w:p w14:paraId="6A480C26" w14:textId="77777777" w:rsidR="00A72438" w:rsidRPr="00AA1819" w:rsidRDefault="00A72438" w:rsidP="00B82195">
            <w:r w:rsidRPr="00AA1819">
              <w:t>SE</w:t>
            </w:r>
          </w:p>
        </w:tc>
        <w:tc>
          <w:tcPr>
            <w:tcW w:w="0" w:type="auto"/>
            <w:vAlign w:val="center"/>
            <w:hideMark/>
          </w:tcPr>
          <w:p w14:paraId="6907005E" w14:textId="77777777" w:rsidR="00A72438" w:rsidRPr="00AA1819" w:rsidRDefault="00A72438" w:rsidP="00B82195">
            <w:r w:rsidRPr="00AA1819">
              <w:t>z</w:t>
            </w:r>
          </w:p>
        </w:tc>
        <w:tc>
          <w:tcPr>
            <w:tcW w:w="0" w:type="auto"/>
            <w:vAlign w:val="center"/>
            <w:hideMark/>
          </w:tcPr>
          <w:p w14:paraId="4CA60BEF" w14:textId="77777777" w:rsidR="00A72438" w:rsidRPr="00AA1819" w:rsidRDefault="00A72438" w:rsidP="00B82195">
            <w:r w:rsidRPr="00AA1819">
              <w:t>p</w:t>
            </w:r>
          </w:p>
        </w:tc>
      </w:tr>
      <w:tr w:rsidR="00A72438" w:rsidRPr="00AA1819" w14:paraId="39F2E47A" w14:textId="77777777" w:rsidTr="00B82195">
        <w:trPr>
          <w:tblCellSpacing w:w="15" w:type="dxa"/>
        </w:trPr>
        <w:tc>
          <w:tcPr>
            <w:tcW w:w="0" w:type="auto"/>
            <w:vAlign w:val="center"/>
            <w:hideMark/>
          </w:tcPr>
          <w:p w14:paraId="31A70CBD" w14:textId="77777777" w:rsidR="00A72438" w:rsidRPr="00AA1819" w:rsidRDefault="00A72438" w:rsidP="00B82195">
            <w:r w:rsidRPr="00AA1819">
              <w:t>Constant</w:t>
            </w:r>
          </w:p>
        </w:tc>
        <w:tc>
          <w:tcPr>
            <w:tcW w:w="0" w:type="auto"/>
            <w:vAlign w:val="center"/>
            <w:hideMark/>
          </w:tcPr>
          <w:p w14:paraId="70A06F2C" w14:textId="77777777" w:rsidR="00A72438" w:rsidRPr="00AA1819" w:rsidRDefault="00A72438" w:rsidP="00B82195">
            <w:r w:rsidRPr="00AA1819">
              <w:t>−0.420</w:t>
            </w:r>
          </w:p>
        </w:tc>
        <w:tc>
          <w:tcPr>
            <w:tcW w:w="0" w:type="auto"/>
            <w:vAlign w:val="center"/>
            <w:hideMark/>
          </w:tcPr>
          <w:p w14:paraId="55D5D3E2" w14:textId="77777777" w:rsidR="00A72438" w:rsidRPr="00AA1819" w:rsidRDefault="00A72438" w:rsidP="00B82195">
            <w:r w:rsidRPr="00AA1819">
              <w:t>0.230</w:t>
            </w:r>
          </w:p>
        </w:tc>
        <w:tc>
          <w:tcPr>
            <w:tcW w:w="0" w:type="auto"/>
            <w:vAlign w:val="center"/>
            <w:hideMark/>
          </w:tcPr>
          <w:p w14:paraId="072E6A55" w14:textId="77777777" w:rsidR="00A72438" w:rsidRPr="00AA1819" w:rsidRDefault="00A72438" w:rsidP="00B82195">
            <w:r w:rsidRPr="00AA1819">
              <w:t>−1.83</w:t>
            </w:r>
          </w:p>
        </w:tc>
        <w:tc>
          <w:tcPr>
            <w:tcW w:w="0" w:type="auto"/>
            <w:vAlign w:val="center"/>
            <w:hideMark/>
          </w:tcPr>
          <w:p w14:paraId="1AB20191" w14:textId="77777777" w:rsidR="00A72438" w:rsidRPr="00AA1819" w:rsidRDefault="00A72438" w:rsidP="00B82195">
            <w:r w:rsidRPr="00AA1819">
              <w:t>.067</w:t>
            </w:r>
          </w:p>
        </w:tc>
      </w:tr>
      <w:tr w:rsidR="00A72438" w:rsidRPr="00AA1819" w14:paraId="3A414343" w14:textId="77777777" w:rsidTr="00B82195">
        <w:trPr>
          <w:tblCellSpacing w:w="15" w:type="dxa"/>
        </w:trPr>
        <w:tc>
          <w:tcPr>
            <w:tcW w:w="0" w:type="auto"/>
            <w:vAlign w:val="center"/>
            <w:hideMark/>
          </w:tcPr>
          <w:p w14:paraId="3633FD21" w14:textId="77777777" w:rsidR="00A72438" w:rsidRPr="00AA1819" w:rsidRDefault="00A72438" w:rsidP="00B82195">
            <w:r w:rsidRPr="00AA1819">
              <w:t>Burnout (1–3)</w:t>
            </w:r>
          </w:p>
        </w:tc>
        <w:tc>
          <w:tcPr>
            <w:tcW w:w="0" w:type="auto"/>
            <w:vAlign w:val="center"/>
            <w:hideMark/>
          </w:tcPr>
          <w:p w14:paraId="0382A88B" w14:textId="77777777" w:rsidR="00A72438" w:rsidRPr="00AA1819" w:rsidRDefault="00A72438" w:rsidP="00B82195">
            <w:r w:rsidRPr="00AA1819">
              <w:t>−0.048</w:t>
            </w:r>
          </w:p>
        </w:tc>
        <w:tc>
          <w:tcPr>
            <w:tcW w:w="0" w:type="auto"/>
            <w:vAlign w:val="center"/>
            <w:hideMark/>
          </w:tcPr>
          <w:p w14:paraId="46888FE6" w14:textId="77777777" w:rsidR="00A72438" w:rsidRPr="00AA1819" w:rsidRDefault="00A72438" w:rsidP="00B82195">
            <w:r w:rsidRPr="00AA1819">
              <w:t>0.056</w:t>
            </w:r>
          </w:p>
        </w:tc>
        <w:tc>
          <w:tcPr>
            <w:tcW w:w="0" w:type="auto"/>
            <w:vAlign w:val="center"/>
            <w:hideMark/>
          </w:tcPr>
          <w:p w14:paraId="00053543" w14:textId="77777777" w:rsidR="00A72438" w:rsidRPr="00AA1819" w:rsidRDefault="00A72438" w:rsidP="00B82195">
            <w:r w:rsidRPr="00AA1819">
              <w:t>−0.86</w:t>
            </w:r>
          </w:p>
        </w:tc>
        <w:tc>
          <w:tcPr>
            <w:tcW w:w="0" w:type="auto"/>
            <w:vAlign w:val="center"/>
            <w:hideMark/>
          </w:tcPr>
          <w:p w14:paraId="62D9027C" w14:textId="77777777" w:rsidR="00A72438" w:rsidRPr="00AA1819" w:rsidRDefault="00A72438" w:rsidP="00B82195">
            <w:r w:rsidRPr="00AA1819">
              <w:t>.391</w:t>
            </w:r>
          </w:p>
        </w:tc>
      </w:tr>
      <w:tr w:rsidR="00A72438" w:rsidRPr="00AA1819" w14:paraId="046466A0" w14:textId="77777777" w:rsidTr="00B82195">
        <w:trPr>
          <w:tblCellSpacing w:w="15" w:type="dxa"/>
        </w:trPr>
        <w:tc>
          <w:tcPr>
            <w:tcW w:w="0" w:type="auto"/>
            <w:vAlign w:val="center"/>
            <w:hideMark/>
          </w:tcPr>
          <w:p w14:paraId="74BE3E79" w14:textId="77777777" w:rsidR="00A72438" w:rsidRPr="00AA1819" w:rsidRDefault="00A72438" w:rsidP="00B82195">
            <w:r w:rsidRPr="00AA1819">
              <w:t>Social Isolation (1–5)</w:t>
            </w:r>
          </w:p>
        </w:tc>
        <w:tc>
          <w:tcPr>
            <w:tcW w:w="0" w:type="auto"/>
            <w:vAlign w:val="center"/>
            <w:hideMark/>
          </w:tcPr>
          <w:p w14:paraId="416F9FB1" w14:textId="77777777" w:rsidR="00A72438" w:rsidRPr="00AA1819" w:rsidRDefault="00A72438" w:rsidP="00B82195">
            <w:r w:rsidRPr="00AA1819">
              <w:t>−0.020</w:t>
            </w:r>
          </w:p>
        </w:tc>
        <w:tc>
          <w:tcPr>
            <w:tcW w:w="0" w:type="auto"/>
            <w:vAlign w:val="center"/>
            <w:hideMark/>
          </w:tcPr>
          <w:p w14:paraId="724E2D54" w14:textId="77777777" w:rsidR="00A72438" w:rsidRPr="00AA1819" w:rsidRDefault="00A72438" w:rsidP="00B82195">
            <w:r w:rsidRPr="00AA1819">
              <w:t>0.037</w:t>
            </w:r>
          </w:p>
        </w:tc>
        <w:tc>
          <w:tcPr>
            <w:tcW w:w="0" w:type="auto"/>
            <w:vAlign w:val="center"/>
            <w:hideMark/>
          </w:tcPr>
          <w:p w14:paraId="3C2DDC2A" w14:textId="77777777" w:rsidR="00A72438" w:rsidRPr="00AA1819" w:rsidRDefault="00A72438" w:rsidP="00B82195">
            <w:r w:rsidRPr="00AA1819">
              <w:t>−0.54</w:t>
            </w:r>
          </w:p>
        </w:tc>
        <w:tc>
          <w:tcPr>
            <w:tcW w:w="0" w:type="auto"/>
            <w:vAlign w:val="center"/>
            <w:hideMark/>
          </w:tcPr>
          <w:p w14:paraId="4663F96B" w14:textId="77777777" w:rsidR="00A72438" w:rsidRPr="00AA1819" w:rsidRDefault="00A72438" w:rsidP="00B82195">
            <w:r w:rsidRPr="00AA1819">
              <w:t>.587</w:t>
            </w:r>
          </w:p>
        </w:tc>
      </w:tr>
      <w:tr w:rsidR="00A72438" w:rsidRPr="00AA1819" w14:paraId="6792D7C1" w14:textId="77777777" w:rsidTr="00B82195">
        <w:trPr>
          <w:tblCellSpacing w:w="15" w:type="dxa"/>
        </w:trPr>
        <w:tc>
          <w:tcPr>
            <w:tcW w:w="0" w:type="auto"/>
            <w:vAlign w:val="center"/>
            <w:hideMark/>
          </w:tcPr>
          <w:p w14:paraId="1AC1B90E" w14:textId="77777777" w:rsidR="00A72438" w:rsidRPr="00AA1819" w:rsidRDefault="00A72438" w:rsidP="00B82195">
            <w:r w:rsidRPr="00AA1819">
              <w:t>Hours Worked</w:t>
            </w:r>
          </w:p>
        </w:tc>
        <w:tc>
          <w:tcPr>
            <w:tcW w:w="0" w:type="auto"/>
            <w:vAlign w:val="center"/>
            <w:hideMark/>
          </w:tcPr>
          <w:p w14:paraId="14E51904" w14:textId="77777777" w:rsidR="00A72438" w:rsidRPr="00AA1819" w:rsidRDefault="00A72438" w:rsidP="00B82195">
            <w:r w:rsidRPr="00AA1819">
              <w:t>−0.003</w:t>
            </w:r>
          </w:p>
        </w:tc>
        <w:tc>
          <w:tcPr>
            <w:tcW w:w="0" w:type="auto"/>
            <w:vAlign w:val="center"/>
            <w:hideMark/>
          </w:tcPr>
          <w:p w14:paraId="33FD7A82" w14:textId="77777777" w:rsidR="00A72438" w:rsidRPr="00AA1819" w:rsidRDefault="00A72438" w:rsidP="00B82195">
            <w:r w:rsidRPr="00AA1819">
              <w:t>0.005</w:t>
            </w:r>
          </w:p>
        </w:tc>
        <w:tc>
          <w:tcPr>
            <w:tcW w:w="0" w:type="auto"/>
            <w:vAlign w:val="center"/>
            <w:hideMark/>
          </w:tcPr>
          <w:p w14:paraId="1E518EB7" w14:textId="77777777" w:rsidR="00A72438" w:rsidRPr="00AA1819" w:rsidRDefault="00A72438" w:rsidP="00B82195">
            <w:r w:rsidRPr="00AA1819">
              <w:t>−0.70</w:t>
            </w:r>
          </w:p>
        </w:tc>
        <w:tc>
          <w:tcPr>
            <w:tcW w:w="0" w:type="auto"/>
            <w:vAlign w:val="center"/>
            <w:hideMark/>
          </w:tcPr>
          <w:p w14:paraId="39DCD2E1" w14:textId="77777777" w:rsidR="00A72438" w:rsidRPr="00AA1819" w:rsidRDefault="00A72438" w:rsidP="00B82195">
            <w:r w:rsidRPr="00AA1819">
              <w:t>.487</w:t>
            </w:r>
          </w:p>
        </w:tc>
      </w:tr>
      <w:tr w:rsidR="00A72438" w:rsidRPr="00AA1819" w14:paraId="1A5471D3" w14:textId="77777777" w:rsidTr="00B82195">
        <w:trPr>
          <w:tblCellSpacing w:w="15" w:type="dxa"/>
        </w:trPr>
        <w:tc>
          <w:tcPr>
            <w:tcW w:w="0" w:type="auto"/>
            <w:vAlign w:val="center"/>
            <w:hideMark/>
          </w:tcPr>
          <w:p w14:paraId="076BF509" w14:textId="77777777" w:rsidR="00A72438" w:rsidRPr="00AA1819" w:rsidRDefault="00A72438" w:rsidP="00B82195">
            <w:r w:rsidRPr="00AA1819">
              <w:t>Work Arrangement: Onsite</w:t>
            </w:r>
          </w:p>
        </w:tc>
        <w:tc>
          <w:tcPr>
            <w:tcW w:w="0" w:type="auto"/>
            <w:vAlign w:val="center"/>
            <w:hideMark/>
          </w:tcPr>
          <w:p w14:paraId="53A41FA7" w14:textId="77777777" w:rsidR="00A72438" w:rsidRPr="00AA1819" w:rsidRDefault="00A72438" w:rsidP="00B82195">
            <w:r w:rsidRPr="00AA1819">
              <w:t>−0.251</w:t>
            </w:r>
          </w:p>
        </w:tc>
        <w:tc>
          <w:tcPr>
            <w:tcW w:w="0" w:type="auto"/>
            <w:vAlign w:val="center"/>
            <w:hideMark/>
          </w:tcPr>
          <w:p w14:paraId="5A5F2B26" w14:textId="77777777" w:rsidR="00A72438" w:rsidRPr="00AA1819" w:rsidRDefault="00A72438" w:rsidP="00B82195">
            <w:r w:rsidRPr="00AA1819">
              <w:t>0.163</w:t>
            </w:r>
          </w:p>
        </w:tc>
        <w:tc>
          <w:tcPr>
            <w:tcW w:w="0" w:type="auto"/>
            <w:vAlign w:val="center"/>
            <w:hideMark/>
          </w:tcPr>
          <w:p w14:paraId="100736B6" w14:textId="77777777" w:rsidR="00A72438" w:rsidRPr="00AA1819" w:rsidRDefault="00A72438" w:rsidP="00B82195">
            <w:r w:rsidRPr="00AA1819">
              <w:t>−1.54</w:t>
            </w:r>
          </w:p>
        </w:tc>
        <w:tc>
          <w:tcPr>
            <w:tcW w:w="0" w:type="auto"/>
            <w:vAlign w:val="center"/>
            <w:hideMark/>
          </w:tcPr>
          <w:p w14:paraId="7FCA98CA" w14:textId="77777777" w:rsidR="00A72438" w:rsidRPr="00AA1819" w:rsidRDefault="00A72438" w:rsidP="00B82195">
            <w:r w:rsidRPr="00AA1819">
              <w:t>.123</w:t>
            </w:r>
          </w:p>
        </w:tc>
      </w:tr>
      <w:tr w:rsidR="00A72438" w:rsidRPr="00AA1819" w14:paraId="401DD975" w14:textId="77777777" w:rsidTr="00B82195">
        <w:trPr>
          <w:tblCellSpacing w:w="15" w:type="dxa"/>
        </w:trPr>
        <w:tc>
          <w:tcPr>
            <w:tcW w:w="0" w:type="auto"/>
            <w:vAlign w:val="center"/>
            <w:hideMark/>
          </w:tcPr>
          <w:p w14:paraId="349F699E" w14:textId="77777777" w:rsidR="00A72438" w:rsidRPr="00AA1819" w:rsidRDefault="00A72438" w:rsidP="00B82195">
            <w:r w:rsidRPr="00AA1819">
              <w:t>Work Arrangement: Remote</w:t>
            </w:r>
          </w:p>
        </w:tc>
        <w:tc>
          <w:tcPr>
            <w:tcW w:w="0" w:type="auto"/>
            <w:vAlign w:val="center"/>
            <w:hideMark/>
          </w:tcPr>
          <w:p w14:paraId="62A3B48D" w14:textId="77777777" w:rsidR="00A72438" w:rsidRPr="00AA1819" w:rsidRDefault="00A72438" w:rsidP="00B82195">
            <w:r w:rsidRPr="00AA1819">
              <w:t>0.034</w:t>
            </w:r>
          </w:p>
        </w:tc>
        <w:tc>
          <w:tcPr>
            <w:tcW w:w="0" w:type="auto"/>
            <w:vAlign w:val="center"/>
            <w:hideMark/>
          </w:tcPr>
          <w:p w14:paraId="3D52837A" w14:textId="77777777" w:rsidR="00A72438" w:rsidRPr="00AA1819" w:rsidRDefault="00A72438" w:rsidP="00B82195">
            <w:r w:rsidRPr="00AA1819">
              <w:t>0.123</w:t>
            </w:r>
          </w:p>
        </w:tc>
        <w:tc>
          <w:tcPr>
            <w:tcW w:w="0" w:type="auto"/>
            <w:vAlign w:val="center"/>
            <w:hideMark/>
          </w:tcPr>
          <w:p w14:paraId="218ABBA2" w14:textId="77777777" w:rsidR="00A72438" w:rsidRPr="00AA1819" w:rsidRDefault="00A72438" w:rsidP="00B82195">
            <w:r w:rsidRPr="00AA1819">
              <w:t>0.28</w:t>
            </w:r>
          </w:p>
        </w:tc>
        <w:tc>
          <w:tcPr>
            <w:tcW w:w="0" w:type="auto"/>
            <w:vAlign w:val="center"/>
            <w:hideMark/>
          </w:tcPr>
          <w:p w14:paraId="624D074C" w14:textId="77777777" w:rsidR="00A72438" w:rsidRPr="00AA1819" w:rsidRDefault="00A72438" w:rsidP="00B82195">
            <w:r w:rsidRPr="00AA1819">
              <w:t>.782</w:t>
            </w:r>
          </w:p>
        </w:tc>
      </w:tr>
    </w:tbl>
    <w:p w14:paraId="542C3817" w14:textId="77777777" w:rsidR="00A72438" w:rsidRPr="00AA1819" w:rsidRDefault="00A72438" w:rsidP="00A72438">
      <w:r w:rsidRPr="00AA1819">
        <w:t>None of the predictors reached statistical significance (all p &gt; .05).</w:t>
      </w:r>
    </w:p>
    <w:p w14:paraId="3F70BB59" w14:textId="77777777" w:rsidR="00A72438" w:rsidRPr="00AA1819" w:rsidRDefault="00A72438" w:rsidP="00A72438">
      <w:r w:rsidRPr="00AA1819">
        <w:t>To aid interpretation, odds ratios (ORs) with 95% confidence intervals are presented in Table 7.</w:t>
      </w:r>
    </w:p>
    <w:p w14:paraId="62D01BDF" w14:textId="77777777" w:rsidR="00A72438" w:rsidRPr="00AA1819" w:rsidRDefault="00A72438" w:rsidP="00A72438">
      <w:r w:rsidRPr="00AA1819">
        <w:t>Table 7</w:t>
      </w:r>
      <w:r w:rsidRPr="00AA1819">
        <w:br/>
      </w:r>
      <w:r w:rsidRPr="00AA1819">
        <w:rPr>
          <w:i/>
          <w:iCs/>
        </w:rPr>
        <w:t>Odds Ratios (OR) and 95% Confidence Intervals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226"/>
        <w:gridCol w:w="1210"/>
        <w:gridCol w:w="966"/>
        <w:gridCol w:w="1002"/>
      </w:tblGrid>
      <w:tr w:rsidR="00A72438" w:rsidRPr="00AA1819" w14:paraId="1941A0DC" w14:textId="77777777" w:rsidTr="00B82195">
        <w:trPr>
          <w:tblHeader/>
          <w:tblCellSpacing w:w="15" w:type="dxa"/>
        </w:trPr>
        <w:tc>
          <w:tcPr>
            <w:tcW w:w="0" w:type="auto"/>
            <w:vAlign w:val="center"/>
            <w:hideMark/>
          </w:tcPr>
          <w:p w14:paraId="64CA3258" w14:textId="77777777" w:rsidR="00A72438" w:rsidRPr="00AA1819" w:rsidRDefault="00A72438" w:rsidP="00B82195">
            <w:r w:rsidRPr="00AA1819">
              <w:t>Predictor</w:t>
            </w:r>
          </w:p>
        </w:tc>
        <w:tc>
          <w:tcPr>
            <w:tcW w:w="0" w:type="auto"/>
            <w:vAlign w:val="center"/>
            <w:hideMark/>
          </w:tcPr>
          <w:p w14:paraId="3BFA4F3B" w14:textId="77777777" w:rsidR="00A72438" w:rsidRPr="00AA1819" w:rsidRDefault="00A72438" w:rsidP="00B82195">
            <w:r w:rsidRPr="00AA1819">
              <w:t>Odds Ratio</w:t>
            </w:r>
          </w:p>
        </w:tc>
        <w:tc>
          <w:tcPr>
            <w:tcW w:w="0" w:type="auto"/>
            <w:vAlign w:val="center"/>
            <w:hideMark/>
          </w:tcPr>
          <w:p w14:paraId="0CBE6E8B" w14:textId="77777777" w:rsidR="00A72438" w:rsidRPr="00AA1819" w:rsidRDefault="00A72438" w:rsidP="00B82195">
            <w:r w:rsidRPr="00AA1819">
              <w:t>CI Lower</w:t>
            </w:r>
          </w:p>
        </w:tc>
        <w:tc>
          <w:tcPr>
            <w:tcW w:w="0" w:type="auto"/>
            <w:vAlign w:val="center"/>
            <w:hideMark/>
          </w:tcPr>
          <w:p w14:paraId="00A37163" w14:textId="77777777" w:rsidR="00A72438" w:rsidRPr="00AA1819" w:rsidRDefault="00A72438" w:rsidP="00B82195">
            <w:r w:rsidRPr="00AA1819">
              <w:t>CI Upper</w:t>
            </w:r>
          </w:p>
        </w:tc>
      </w:tr>
      <w:tr w:rsidR="00A72438" w:rsidRPr="00AA1819" w14:paraId="652712AC" w14:textId="77777777" w:rsidTr="00B82195">
        <w:trPr>
          <w:tblCellSpacing w:w="15" w:type="dxa"/>
        </w:trPr>
        <w:tc>
          <w:tcPr>
            <w:tcW w:w="0" w:type="auto"/>
            <w:vAlign w:val="center"/>
            <w:hideMark/>
          </w:tcPr>
          <w:p w14:paraId="05C4CCC0" w14:textId="77777777" w:rsidR="00A72438" w:rsidRPr="00AA1819" w:rsidRDefault="00A72438" w:rsidP="00B82195">
            <w:r w:rsidRPr="00AA1819">
              <w:t>Burnout (1–3)</w:t>
            </w:r>
          </w:p>
        </w:tc>
        <w:tc>
          <w:tcPr>
            <w:tcW w:w="0" w:type="auto"/>
            <w:vAlign w:val="center"/>
            <w:hideMark/>
          </w:tcPr>
          <w:p w14:paraId="69EFA2E6" w14:textId="77777777" w:rsidR="00A72438" w:rsidRPr="00AA1819" w:rsidRDefault="00A72438" w:rsidP="00B82195">
            <w:r w:rsidRPr="00AA1819">
              <w:t>0.95</w:t>
            </w:r>
          </w:p>
        </w:tc>
        <w:tc>
          <w:tcPr>
            <w:tcW w:w="0" w:type="auto"/>
            <w:vAlign w:val="center"/>
            <w:hideMark/>
          </w:tcPr>
          <w:p w14:paraId="29493C24" w14:textId="77777777" w:rsidR="00A72438" w:rsidRPr="00AA1819" w:rsidRDefault="00A72438" w:rsidP="00B82195">
            <w:r w:rsidRPr="00AA1819">
              <w:t>0.85</w:t>
            </w:r>
          </w:p>
        </w:tc>
        <w:tc>
          <w:tcPr>
            <w:tcW w:w="0" w:type="auto"/>
            <w:vAlign w:val="center"/>
            <w:hideMark/>
          </w:tcPr>
          <w:p w14:paraId="7995067E" w14:textId="77777777" w:rsidR="00A72438" w:rsidRPr="00AA1819" w:rsidRDefault="00A72438" w:rsidP="00B82195">
            <w:r w:rsidRPr="00AA1819">
              <w:t>1.07</w:t>
            </w:r>
          </w:p>
        </w:tc>
      </w:tr>
      <w:tr w:rsidR="00A72438" w:rsidRPr="00AA1819" w14:paraId="3D2F9774" w14:textId="77777777" w:rsidTr="00B82195">
        <w:trPr>
          <w:tblCellSpacing w:w="15" w:type="dxa"/>
        </w:trPr>
        <w:tc>
          <w:tcPr>
            <w:tcW w:w="0" w:type="auto"/>
            <w:vAlign w:val="center"/>
            <w:hideMark/>
          </w:tcPr>
          <w:p w14:paraId="270436EA" w14:textId="77777777" w:rsidR="00A72438" w:rsidRPr="00AA1819" w:rsidRDefault="00A72438" w:rsidP="00B82195">
            <w:r w:rsidRPr="00AA1819">
              <w:t>Social Isolation (1–5)</w:t>
            </w:r>
          </w:p>
        </w:tc>
        <w:tc>
          <w:tcPr>
            <w:tcW w:w="0" w:type="auto"/>
            <w:vAlign w:val="center"/>
            <w:hideMark/>
          </w:tcPr>
          <w:p w14:paraId="67BB6E18" w14:textId="77777777" w:rsidR="00A72438" w:rsidRPr="00AA1819" w:rsidRDefault="00A72438" w:rsidP="00B82195">
            <w:r w:rsidRPr="00AA1819">
              <w:t>0.98</w:t>
            </w:r>
          </w:p>
        </w:tc>
        <w:tc>
          <w:tcPr>
            <w:tcW w:w="0" w:type="auto"/>
            <w:vAlign w:val="center"/>
            <w:hideMark/>
          </w:tcPr>
          <w:p w14:paraId="1C7B8CAD" w14:textId="77777777" w:rsidR="00A72438" w:rsidRPr="00AA1819" w:rsidRDefault="00A72438" w:rsidP="00B82195">
            <w:r w:rsidRPr="00AA1819">
              <w:t>0.91</w:t>
            </w:r>
          </w:p>
        </w:tc>
        <w:tc>
          <w:tcPr>
            <w:tcW w:w="0" w:type="auto"/>
            <w:vAlign w:val="center"/>
            <w:hideMark/>
          </w:tcPr>
          <w:p w14:paraId="4AD08949" w14:textId="77777777" w:rsidR="00A72438" w:rsidRPr="00AA1819" w:rsidRDefault="00A72438" w:rsidP="00B82195">
            <w:r w:rsidRPr="00AA1819">
              <w:t>1.06</w:t>
            </w:r>
          </w:p>
        </w:tc>
      </w:tr>
      <w:tr w:rsidR="00A72438" w:rsidRPr="00AA1819" w14:paraId="47577712" w14:textId="77777777" w:rsidTr="00B82195">
        <w:trPr>
          <w:tblCellSpacing w:w="15" w:type="dxa"/>
        </w:trPr>
        <w:tc>
          <w:tcPr>
            <w:tcW w:w="0" w:type="auto"/>
            <w:vAlign w:val="center"/>
            <w:hideMark/>
          </w:tcPr>
          <w:p w14:paraId="65D20020" w14:textId="77777777" w:rsidR="00A72438" w:rsidRPr="00AA1819" w:rsidRDefault="00A72438" w:rsidP="00B82195">
            <w:r w:rsidRPr="00AA1819">
              <w:t>Hours Worked</w:t>
            </w:r>
          </w:p>
        </w:tc>
        <w:tc>
          <w:tcPr>
            <w:tcW w:w="0" w:type="auto"/>
            <w:vAlign w:val="center"/>
            <w:hideMark/>
          </w:tcPr>
          <w:p w14:paraId="445BB44D" w14:textId="77777777" w:rsidR="00A72438" w:rsidRPr="00AA1819" w:rsidRDefault="00A72438" w:rsidP="00B82195">
            <w:r w:rsidRPr="00AA1819">
              <w:t>0.99</w:t>
            </w:r>
          </w:p>
        </w:tc>
        <w:tc>
          <w:tcPr>
            <w:tcW w:w="0" w:type="auto"/>
            <w:vAlign w:val="center"/>
            <w:hideMark/>
          </w:tcPr>
          <w:p w14:paraId="0D20BE4D" w14:textId="77777777" w:rsidR="00A72438" w:rsidRPr="00AA1819" w:rsidRDefault="00A72438" w:rsidP="00B82195">
            <w:r w:rsidRPr="00AA1819">
              <w:t>0.98</w:t>
            </w:r>
          </w:p>
        </w:tc>
        <w:tc>
          <w:tcPr>
            <w:tcW w:w="0" w:type="auto"/>
            <w:vAlign w:val="center"/>
            <w:hideMark/>
          </w:tcPr>
          <w:p w14:paraId="3C3138A9" w14:textId="77777777" w:rsidR="00A72438" w:rsidRPr="00AA1819" w:rsidRDefault="00A72438" w:rsidP="00B82195">
            <w:r w:rsidRPr="00AA1819">
              <w:t>1.01</w:t>
            </w:r>
          </w:p>
        </w:tc>
      </w:tr>
      <w:tr w:rsidR="00A72438" w:rsidRPr="00AA1819" w14:paraId="083C3459" w14:textId="77777777" w:rsidTr="00B82195">
        <w:trPr>
          <w:tblCellSpacing w:w="15" w:type="dxa"/>
        </w:trPr>
        <w:tc>
          <w:tcPr>
            <w:tcW w:w="0" w:type="auto"/>
            <w:vAlign w:val="center"/>
            <w:hideMark/>
          </w:tcPr>
          <w:p w14:paraId="017FD8EA" w14:textId="77777777" w:rsidR="00A72438" w:rsidRPr="00AA1819" w:rsidRDefault="00A72438" w:rsidP="00B82195">
            <w:r w:rsidRPr="00AA1819">
              <w:t>Onsite (vs. Hybrid)</w:t>
            </w:r>
          </w:p>
        </w:tc>
        <w:tc>
          <w:tcPr>
            <w:tcW w:w="0" w:type="auto"/>
            <w:vAlign w:val="center"/>
            <w:hideMark/>
          </w:tcPr>
          <w:p w14:paraId="20B147A6" w14:textId="77777777" w:rsidR="00A72438" w:rsidRPr="00AA1819" w:rsidRDefault="00A72438" w:rsidP="00B82195">
            <w:r w:rsidRPr="00AA1819">
              <w:t>0.78</w:t>
            </w:r>
          </w:p>
        </w:tc>
        <w:tc>
          <w:tcPr>
            <w:tcW w:w="0" w:type="auto"/>
            <w:vAlign w:val="center"/>
            <w:hideMark/>
          </w:tcPr>
          <w:p w14:paraId="4C167F73" w14:textId="77777777" w:rsidR="00A72438" w:rsidRPr="00AA1819" w:rsidRDefault="00A72438" w:rsidP="00B82195">
            <w:r w:rsidRPr="00AA1819">
              <w:t>0.56</w:t>
            </w:r>
          </w:p>
        </w:tc>
        <w:tc>
          <w:tcPr>
            <w:tcW w:w="0" w:type="auto"/>
            <w:vAlign w:val="center"/>
            <w:hideMark/>
          </w:tcPr>
          <w:p w14:paraId="16244372" w14:textId="77777777" w:rsidR="00A72438" w:rsidRPr="00AA1819" w:rsidRDefault="00A72438" w:rsidP="00B82195">
            <w:r w:rsidRPr="00AA1819">
              <w:t>1.07</w:t>
            </w:r>
          </w:p>
        </w:tc>
      </w:tr>
      <w:tr w:rsidR="00A72438" w:rsidRPr="00AA1819" w14:paraId="6A76448A" w14:textId="77777777" w:rsidTr="00B82195">
        <w:trPr>
          <w:tblCellSpacing w:w="15" w:type="dxa"/>
        </w:trPr>
        <w:tc>
          <w:tcPr>
            <w:tcW w:w="0" w:type="auto"/>
            <w:vAlign w:val="center"/>
            <w:hideMark/>
          </w:tcPr>
          <w:p w14:paraId="08B0FC33" w14:textId="77777777" w:rsidR="00A72438" w:rsidRPr="00AA1819" w:rsidRDefault="00A72438" w:rsidP="00B82195">
            <w:r w:rsidRPr="00AA1819">
              <w:t>Remote (vs. Hybrid)</w:t>
            </w:r>
          </w:p>
        </w:tc>
        <w:tc>
          <w:tcPr>
            <w:tcW w:w="0" w:type="auto"/>
            <w:vAlign w:val="center"/>
            <w:hideMark/>
          </w:tcPr>
          <w:p w14:paraId="08C7D70B" w14:textId="77777777" w:rsidR="00A72438" w:rsidRPr="00AA1819" w:rsidRDefault="00A72438" w:rsidP="00B82195">
            <w:r w:rsidRPr="00AA1819">
              <w:t>1.03</w:t>
            </w:r>
          </w:p>
        </w:tc>
        <w:tc>
          <w:tcPr>
            <w:tcW w:w="0" w:type="auto"/>
            <w:vAlign w:val="center"/>
            <w:hideMark/>
          </w:tcPr>
          <w:p w14:paraId="75918268" w14:textId="77777777" w:rsidR="00A72438" w:rsidRPr="00AA1819" w:rsidRDefault="00A72438" w:rsidP="00B82195">
            <w:r w:rsidRPr="00AA1819">
              <w:t>0.81</w:t>
            </w:r>
          </w:p>
        </w:tc>
        <w:tc>
          <w:tcPr>
            <w:tcW w:w="0" w:type="auto"/>
            <w:vAlign w:val="center"/>
            <w:hideMark/>
          </w:tcPr>
          <w:p w14:paraId="6A44BF92" w14:textId="77777777" w:rsidR="00A72438" w:rsidRPr="00AA1819" w:rsidRDefault="00A72438" w:rsidP="00B82195">
            <w:r w:rsidRPr="00AA1819">
              <w:t>1.32</w:t>
            </w:r>
          </w:p>
        </w:tc>
      </w:tr>
    </w:tbl>
    <w:p w14:paraId="56304FAD" w14:textId="77777777" w:rsidR="00A72438" w:rsidRPr="00AA1819" w:rsidRDefault="00A72438" w:rsidP="00A72438">
      <w:r w:rsidRPr="00AA1819">
        <w:t>Odds ratios below 1.0 suggest reduced likelihood of reporting a mental health condition, while those above 1.0 suggest increased likelihood. However, because confidence intervals all cross 1.0, none of the effects are statistically reliable.</w:t>
      </w:r>
    </w:p>
    <w:p w14:paraId="166D8F1E" w14:textId="77777777" w:rsidR="00A72438" w:rsidRPr="00AA1819" w:rsidRDefault="00A72438" w:rsidP="00A72438"/>
    <w:p w14:paraId="041841A0" w14:textId="77777777" w:rsidR="00A72438" w:rsidRPr="00AA1819" w:rsidRDefault="00A72438" w:rsidP="00A72438">
      <w:r w:rsidRPr="00AA1819">
        <w:t>Interpretation</w:t>
      </w:r>
    </w:p>
    <w:p w14:paraId="319A54CB" w14:textId="77777777" w:rsidR="00A72438" w:rsidRPr="00AA1819" w:rsidRDefault="00A72438" w:rsidP="00A72438">
      <w:r w:rsidRPr="00AA1819">
        <w:t>The null hypothesis (Ho3) stated that burnout level and social isolation would not significantly predict mental health status, while the alternative (Ha3) posited that they would. Because results were not significant, Ho3 is retained and Ha3 is not supported.</w:t>
      </w:r>
    </w:p>
    <w:p w14:paraId="08B3B608" w14:textId="77777777" w:rsidR="00A72438" w:rsidRPr="00AA1819" w:rsidRDefault="00A72438" w:rsidP="00A72438">
      <w:r w:rsidRPr="00AA1819">
        <w:lastRenderedPageBreak/>
        <w:t xml:space="preserve">This finding diverges from </w:t>
      </w:r>
      <w:proofErr w:type="gramStart"/>
      <w:r w:rsidRPr="00AA1819">
        <w:t>much of the</w:t>
      </w:r>
      <w:proofErr w:type="gramEnd"/>
      <w:r w:rsidRPr="00AA1819">
        <w:t xml:space="preserve"> literature. Prior research has consistently linked higher burnout and isolation with increased risk of mental health concerns (APA, 2023; Oakman et al., 2020; Shanafelt et al., 2021). The lack of significance here may be due to several factors:</w:t>
      </w:r>
    </w:p>
    <w:p w14:paraId="715B12EA" w14:textId="77777777" w:rsidR="00A72438" w:rsidRPr="00AA1819" w:rsidRDefault="00A72438" w:rsidP="00A72438">
      <w:pPr>
        <w:numPr>
          <w:ilvl w:val="0"/>
          <w:numId w:val="14"/>
        </w:numPr>
      </w:pPr>
      <w:r w:rsidRPr="00AA1819">
        <w:t xml:space="preserve">Measurement mismatch. The </w:t>
      </w:r>
      <w:proofErr w:type="spellStart"/>
      <w:r w:rsidRPr="00AA1819">
        <w:rPr>
          <w:i/>
          <w:iCs/>
        </w:rPr>
        <w:t>Mental_Health_Status</w:t>
      </w:r>
      <w:proofErr w:type="spellEnd"/>
      <w:r w:rsidRPr="00AA1819">
        <w:t xml:space="preserve"> variable captures whether respondents report having a diagnosed condition (e.g., anxiety, PTSD, stress disorder). This is qualitatively different from capturing current distress levels, which burnout and isolation may reflect. In other words, many employees may be “burned out” without carrying a formal diagnosis.</w:t>
      </w:r>
    </w:p>
    <w:p w14:paraId="4DF19C2F" w14:textId="77777777" w:rsidR="00A72438" w:rsidRPr="00AA1819" w:rsidRDefault="00A72438" w:rsidP="00A72438">
      <w:pPr>
        <w:numPr>
          <w:ilvl w:val="0"/>
          <w:numId w:val="14"/>
        </w:numPr>
      </w:pPr>
      <w:r w:rsidRPr="00AA1819">
        <w:t>Binary coding limitation. Dichotomizing mental health into “None” vs. “Any condition” oversimplifies diverse experiences. A multinomial or severity-based measure may reveal stronger associations.</w:t>
      </w:r>
    </w:p>
    <w:p w14:paraId="4901969C" w14:textId="77777777" w:rsidR="00A72438" w:rsidRPr="00AA1819" w:rsidRDefault="00A72438" w:rsidP="00A72438">
      <w:pPr>
        <w:numPr>
          <w:ilvl w:val="0"/>
          <w:numId w:val="14"/>
        </w:numPr>
      </w:pPr>
      <w:r w:rsidRPr="00AA1819">
        <w:t>Underreporting bias. Stigma around mental health may lead employees to underreport conditions, dampening observed relationships (Henderson et al., 2013).</w:t>
      </w:r>
    </w:p>
    <w:p w14:paraId="5CFBA8D9" w14:textId="77777777" w:rsidR="00A72438" w:rsidRPr="00AA1819" w:rsidRDefault="00A72438" w:rsidP="00A72438">
      <w:pPr>
        <w:numPr>
          <w:ilvl w:val="0"/>
          <w:numId w:val="14"/>
        </w:numPr>
      </w:pPr>
      <w:r w:rsidRPr="00AA1819">
        <w:t>Confounding variables. Other factors such as organizational support, availability of mental health resources, or prior medical history may be more influential predictors but are not captured in this dataset.</w:t>
      </w:r>
    </w:p>
    <w:p w14:paraId="3D89864B" w14:textId="77777777" w:rsidR="00A72438" w:rsidRPr="00AA1819" w:rsidRDefault="00A72438" w:rsidP="00A72438">
      <w:r w:rsidRPr="00AA1819">
        <w:t>Implications</w:t>
      </w:r>
    </w:p>
    <w:p w14:paraId="5FF1AF94" w14:textId="77777777" w:rsidR="00A72438" w:rsidRPr="00AA1819" w:rsidRDefault="00A72438" w:rsidP="00A72438">
      <w:r w:rsidRPr="00AA1819">
        <w:t xml:space="preserve">The implication of retaining the null is not that burnout and isolation are irrelevant to mental health but that, in this dataset, the measurement of mental health may not align with current psychosocial states. For future </w:t>
      </w:r>
      <w:proofErr w:type="gramStart"/>
      <w:r w:rsidRPr="00AA1819">
        <w:t>analyses</w:t>
      </w:r>
      <w:proofErr w:type="gramEnd"/>
      <w:r w:rsidRPr="00AA1819">
        <w:t>, researchers could:</w:t>
      </w:r>
    </w:p>
    <w:p w14:paraId="55E9B3C8" w14:textId="77777777" w:rsidR="00A72438" w:rsidRPr="00AA1819" w:rsidRDefault="00A72438" w:rsidP="00A72438">
      <w:pPr>
        <w:numPr>
          <w:ilvl w:val="0"/>
          <w:numId w:val="15"/>
        </w:numPr>
      </w:pPr>
      <w:r w:rsidRPr="00AA1819">
        <w:t>Develop a composite “current strain index” combining burnout, isolation, and work-life balance scores.</w:t>
      </w:r>
    </w:p>
    <w:p w14:paraId="01A2D288" w14:textId="77777777" w:rsidR="00A72438" w:rsidRPr="00AA1819" w:rsidRDefault="00A72438" w:rsidP="00A72438">
      <w:pPr>
        <w:numPr>
          <w:ilvl w:val="0"/>
          <w:numId w:val="15"/>
        </w:numPr>
      </w:pPr>
      <w:r w:rsidRPr="00AA1819">
        <w:t>Collect longitudinal data to see if burnout levels predict onset of mental health conditions over time.</w:t>
      </w:r>
    </w:p>
    <w:p w14:paraId="5E735AD6" w14:textId="77777777" w:rsidR="00A72438" w:rsidRPr="00AA1819" w:rsidRDefault="00A72438" w:rsidP="00A72438">
      <w:pPr>
        <w:numPr>
          <w:ilvl w:val="0"/>
          <w:numId w:val="15"/>
        </w:numPr>
      </w:pPr>
      <w:r w:rsidRPr="00AA1819">
        <w:t>Use alternative modeling (e.g., ordinal logistic regression for severity levels).</w:t>
      </w:r>
    </w:p>
    <w:p w14:paraId="0A709CC3" w14:textId="77777777" w:rsidR="00A72438" w:rsidRPr="00AA1819" w:rsidRDefault="00A72438" w:rsidP="00A72438">
      <w:r w:rsidRPr="00AA1819">
        <w:t>For organizations, the result signals caution: not all high-burnout employees will appear in HR data as “mentally ill.” Employers must proactively address burnout and isolation even if formal diagnoses are not yet present.</w:t>
      </w:r>
    </w:p>
    <w:p w14:paraId="1D3A9BB1" w14:textId="77777777" w:rsidR="00A72438" w:rsidRPr="00A852C3" w:rsidRDefault="00A72438" w:rsidP="00A72438">
      <w:pPr>
        <w:pStyle w:val="Heading5"/>
      </w:pPr>
      <w:r w:rsidRPr="00A852C3">
        <w:t>RQ4: Work-Life Balance by Gender and Region</w:t>
      </w:r>
    </w:p>
    <w:p w14:paraId="6C738747" w14:textId="77777777" w:rsidR="00A72438" w:rsidRPr="00A852C3" w:rsidRDefault="00A72438" w:rsidP="00A72438">
      <w:r w:rsidRPr="00A852C3">
        <w:t>The fourth research question investigated whether work-life balance scores differ across gender and region. Two separate statistical tests were performed:</w:t>
      </w:r>
    </w:p>
    <w:p w14:paraId="27198E8E" w14:textId="77777777" w:rsidR="00A72438" w:rsidRPr="00A852C3" w:rsidRDefault="00A72438" w:rsidP="00A72438">
      <w:pPr>
        <w:numPr>
          <w:ilvl w:val="0"/>
          <w:numId w:val="16"/>
        </w:numPr>
      </w:pPr>
      <w:r w:rsidRPr="00A852C3">
        <w:lastRenderedPageBreak/>
        <w:t>A Welch’s independent samples t-test for gender (Male vs. Female).</w:t>
      </w:r>
    </w:p>
    <w:p w14:paraId="1A7E9676" w14:textId="77777777" w:rsidR="00A72438" w:rsidRPr="00A852C3" w:rsidRDefault="00A72438" w:rsidP="00A72438">
      <w:pPr>
        <w:numPr>
          <w:ilvl w:val="0"/>
          <w:numId w:val="16"/>
        </w:numPr>
      </w:pPr>
      <w:r w:rsidRPr="00A852C3">
        <w:t>A one-way ANOVA for region (North America, Europe, Asia, Africa, South America, Oceania).</w:t>
      </w:r>
    </w:p>
    <w:p w14:paraId="055EDB2D" w14:textId="77777777" w:rsidR="00A72438" w:rsidRPr="00A852C3" w:rsidRDefault="00A72438" w:rsidP="00A72438">
      <w:r w:rsidRPr="00A852C3">
        <w:t>Gender Comparison (t-test)</w:t>
      </w:r>
    </w:p>
    <w:p w14:paraId="230B0A91" w14:textId="77777777" w:rsidR="00A72438" w:rsidRPr="00A852C3" w:rsidRDefault="00A72438" w:rsidP="00A72438">
      <w:r w:rsidRPr="00A852C3">
        <w:t>Results of the Welch t-test are shown in Table 8.</w:t>
      </w:r>
    </w:p>
    <w:p w14:paraId="79A11F82" w14:textId="77777777" w:rsidR="00A72438" w:rsidRPr="00A852C3" w:rsidRDefault="00A72438" w:rsidP="00A72438">
      <w:r w:rsidRPr="00A852C3">
        <w:t>Table 8</w:t>
      </w:r>
      <w:r w:rsidRPr="00A852C3">
        <w:br/>
      </w:r>
      <w:r w:rsidRPr="00A852C3">
        <w:rPr>
          <w:i/>
          <w:iCs/>
        </w:rPr>
        <w:t>Work-Life Balance Scores by Gender (Welch’s t-test)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662"/>
        <w:gridCol w:w="534"/>
        <w:gridCol w:w="1211"/>
        <w:gridCol w:w="1475"/>
        <w:gridCol w:w="805"/>
        <w:gridCol w:w="1084"/>
      </w:tblGrid>
      <w:tr w:rsidR="00A72438" w:rsidRPr="00A852C3" w14:paraId="25FE99D0" w14:textId="77777777" w:rsidTr="002411E5">
        <w:trPr>
          <w:tblHeader/>
          <w:tblCellSpacing w:w="15" w:type="dxa"/>
        </w:trPr>
        <w:tc>
          <w:tcPr>
            <w:tcW w:w="0" w:type="auto"/>
            <w:vAlign w:val="center"/>
            <w:hideMark/>
          </w:tcPr>
          <w:p w14:paraId="3542BF54" w14:textId="77777777" w:rsidR="00A72438" w:rsidRPr="00A852C3" w:rsidRDefault="00A72438" w:rsidP="00B82195">
            <w:r w:rsidRPr="00A852C3">
              <w:t>Comparison</w:t>
            </w:r>
          </w:p>
        </w:tc>
        <w:tc>
          <w:tcPr>
            <w:tcW w:w="0" w:type="auto"/>
            <w:vAlign w:val="center"/>
            <w:hideMark/>
          </w:tcPr>
          <w:p w14:paraId="5CB2D228" w14:textId="77777777" w:rsidR="00A72438" w:rsidRPr="00A852C3" w:rsidRDefault="00A72438" w:rsidP="00B82195">
            <w:r w:rsidRPr="00A852C3">
              <w:t>t</w:t>
            </w:r>
          </w:p>
        </w:tc>
        <w:tc>
          <w:tcPr>
            <w:tcW w:w="0" w:type="auto"/>
            <w:vAlign w:val="center"/>
            <w:hideMark/>
          </w:tcPr>
          <w:p w14:paraId="53351DCC" w14:textId="77777777" w:rsidR="00A72438" w:rsidRPr="00A852C3" w:rsidRDefault="00A72438" w:rsidP="00B82195">
            <w:r w:rsidRPr="00A852C3">
              <w:t>p</w:t>
            </w:r>
          </w:p>
        </w:tc>
        <w:tc>
          <w:tcPr>
            <w:tcW w:w="0" w:type="auto"/>
            <w:vAlign w:val="center"/>
            <w:hideMark/>
          </w:tcPr>
          <w:p w14:paraId="37C51013" w14:textId="77777777" w:rsidR="00A72438" w:rsidRPr="00A852C3" w:rsidRDefault="00A72438" w:rsidP="00B82195">
            <w:r w:rsidRPr="00A852C3">
              <w:t>Male Mean</w:t>
            </w:r>
          </w:p>
        </w:tc>
        <w:tc>
          <w:tcPr>
            <w:tcW w:w="0" w:type="auto"/>
            <w:vAlign w:val="center"/>
            <w:hideMark/>
          </w:tcPr>
          <w:p w14:paraId="1E067123" w14:textId="77777777" w:rsidR="00A72438" w:rsidRPr="00A852C3" w:rsidRDefault="00A72438" w:rsidP="00B82195">
            <w:r w:rsidRPr="00A852C3">
              <w:t>Female Mean</w:t>
            </w:r>
          </w:p>
        </w:tc>
        <w:tc>
          <w:tcPr>
            <w:tcW w:w="0" w:type="auto"/>
            <w:vAlign w:val="center"/>
            <w:hideMark/>
          </w:tcPr>
          <w:p w14:paraId="782F0315" w14:textId="77777777" w:rsidR="00A72438" w:rsidRPr="00A852C3" w:rsidRDefault="00A72438" w:rsidP="00B82195">
            <w:r w:rsidRPr="00A852C3">
              <w:t>Male N</w:t>
            </w:r>
          </w:p>
        </w:tc>
        <w:tc>
          <w:tcPr>
            <w:tcW w:w="0" w:type="auto"/>
            <w:vAlign w:val="center"/>
            <w:hideMark/>
          </w:tcPr>
          <w:p w14:paraId="3E9645C0" w14:textId="77777777" w:rsidR="00A72438" w:rsidRPr="00A852C3" w:rsidRDefault="00A72438" w:rsidP="00B82195">
            <w:r w:rsidRPr="00A852C3">
              <w:t>Female N</w:t>
            </w:r>
          </w:p>
        </w:tc>
      </w:tr>
      <w:tr w:rsidR="00A72438" w:rsidRPr="00A852C3" w14:paraId="776838B8" w14:textId="77777777" w:rsidTr="002411E5">
        <w:trPr>
          <w:tblCellSpacing w:w="15" w:type="dxa"/>
        </w:trPr>
        <w:tc>
          <w:tcPr>
            <w:tcW w:w="0" w:type="auto"/>
            <w:vAlign w:val="center"/>
            <w:hideMark/>
          </w:tcPr>
          <w:p w14:paraId="335F89D8" w14:textId="77777777" w:rsidR="00A72438" w:rsidRPr="00A852C3" w:rsidRDefault="00A72438" w:rsidP="00B82195">
            <w:r w:rsidRPr="00A852C3">
              <w:t>Male vs Female</w:t>
            </w:r>
          </w:p>
        </w:tc>
        <w:tc>
          <w:tcPr>
            <w:tcW w:w="0" w:type="auto"/>
            <w:vAlign w:val="center"/>
            <w:hideMark/>
          </w:tcPr>
          <w:p w14:paraId="7337EFAB" w14:textId="77777777" w:rsidR="00A72438" w:rsidRPr="00A852C3" w:rsidRDefault="00A72438" w:rsidP="00B82195">
            <w:r w:rsidRPr="00A852C3">
              <w:t>−1.08</w:t>
            </w:r>
          </w:p>
        </w:tc>
        <w:tc>
          <w:tcPr>
            <w:tcW w:w="0" w:type="auto"/>
            <w:vAlign w:val="center"/>
            <w:hideMark/>
          </w:tcPr>
          <w:p w14:paraId="43F268E9" w14:textId="77777777" w:rsidR="00A72438" w:rsidRPr="00A852C3" w:rsidRDefault="00A72438" w:rsidP="00B82195">
            <w:r w:rsidRPr="00A852C3">
              <w:t>.282</w:t>
            </w:r>
          </w:p>
        </w:tc>
        <w:tc>
          <w:tcPr>
            <w:tcW w:w="0" w:type="auto"/>
            <w:vAlign w:val="center"/>
            <w:hideMark/>
          </w:tcPr>
          <w:p w14:paraId="45AF7ACD" w14:textId="77777777" w:rsidR="00A72438" w:rsidRPr="00A852C3" w:rsidRDefault="00A72438" w:rsidP="00B82195">
            <w:r w:rsidRPr="00A852C3">
              <w:t>2.98</w:t>
            </w:r>
          </w:p>
        </w:tc>
        <w:tc>
          <w:tcPr>
            <w:tcW w:w="0" w:type="auto"/>
            <w:vAlign w:val="center"/>
            <w:hideMark/>
          </w:tcPr>
          <w:p w14:paraId="7806E13D" w14:textId="77777777" w:rsidR="00A72438" w:rsidRPr="00A852C3" w:rsidRDefault="00A72438" w:rsidP="00B82195">
            <w:r w:rsidRPr="00A852C3">
              <w:t>3.02</w:t>
            </w:r>
          </w:p>
        </w:tc>
        <w:tc>
          <w:tcPr>
            <w:tcW w:w="0" w:type="auto"/>
            <w:vAlign w:val="center"/>
            <w:hideMark/>
          </w:tcPr>
          <w:p w14:paraId="3AFBC80A" w14:textId="77777777" w:rsidR="00A72438" w:rsidRPr="00A852C3" w:rsidRDefault="00A72438" w:rsidP="00B82195">
            <w:r w:rsidRPr="00A852C3">
              <w:t>1,642</w:t>
            </w:r>
          </w:p>
        </w:tc>
        <w:tc>
          <w:tcPr>
            <w:tcW w:w="0" w:type="auto"/>
            <w:vAlign w:val="center"/>
            <w:hideMark/>
          </w:tcPr>
          <w:p w14:paraId="6835EA3E" w14:textId="77777777" w:rsidR="00A72438" w:rsidRPr="00A852C3" w:rsidRDefault="00A72438" w:rsidP="00B82195">
            <w:r w:rsidRPr="00A852C3">
              <w:t>1,434</w:t>
            </w:r>
          </w:p>
        </w:tc>
      </w:tr>
    </w:tbl>
    <w:p w14:paraId="7454CFC5" w14:textId="77777777" w:rsidR="00A72438" w:rsidRPr="00A852C3" w:rsidRDefault="00A72438" w:rsidP="00A72438">
      <w:r w:rsidRPr="00A852C3">
        <w:t>The test was not significant (t = −1.08, p = .282), indicating that men and women do not significantly differ in their reported work-life balance scores. Mean values were nearly identical (Male = 2.98; Female = 3.02).</w:t>
      </w:r>
    </w:p>
    <w:p w14:paraId="74B3AC2E" w14:textId="77777777" w:rsidR="00A72438" w:rsidRPr="00A852C3" w:rsidRDefault="00A72438" w:rsidP="00A72438">
      <w:r w:rsidRPr="00A852C3">
        <w:t>Regional Comparison (ANOVA)</w:t>
      </w:r>
    </w:p>
    <w:p w14:paraId="2BE1450B" w14:textId="77777777" w:rsidR="00A72438" w:rsidRPr="00A852C3" w:rsidRDefault="00A72438" w:rsidP="00A72438">
      <w:r w:rsidRPr="00A852C3">
        <w:t xml:space="preserve">The one-way ANOVA comparing work-life balance scores across six global regions was statistically significant, </w:t>
      </w:r>
      <w:proofErr w:type="gramStart"/>
      <w:r w:rsidRPr="00A852C3">
        <w:t>F(</w:t>
      </w:r>
      <w:proofErr w:type="gramEnd"/>
      <w:r w:rsidRPr="00A852C3">
        <w:t xml:space="preserve">5, 3151) = 12.54, p &lt; .001. Mean values for each region are displayed in Table </w:t>
      </w:r>
      <w:proofErr w:type="gramStart"/>
      <w:r w:rsidRPr="00A852C3">
        <w:t>9, and</w:t>
      </w:r>
      <w:proofErr w:type="gramEnd"/>
      <w:r w:rsidRPr="00A852C3">
        <w:t xml:space="preserve"> visualized in Figure 3.</w:t>
      </w:r>
    </w:p>
    <w:p w14:paraId="7C2272DC" w14:textId="77777777" w:rsidR="00A72438" w:rsidRPr="00A852C3" w:rsidRDefault="00A72438" w:rsidP="00A72438">
      <w:r w:rsidRPr="00A852C3">
        <w:t>Table 9</w:t>
      </w:r>
      <w:r w:rsidRPr="00A852C3">
        <w:br/>
      </w:r>
      <w:r w:rsidRPr="00A852C3">
        <w:rPr>
          <w:i/>
          <w:iCs/>
        </w:rPr>
        <w:t>Work-Life Balance Scores by Region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1164"/>
        <w:gridCol w:w="667"/>
      </w:tblGrid>
      <w:tr w:rsidR="00A72438" w:rsidRPr="00A852C3" w14:paraId="77CEF797" w14:textId="77777777" w:rsidTr="00B82195">
        <w:trPr>
          <w:tblHeader/>
          <w:tblCellSpacing w:w="15" w:type="dxa"/>
        </w:trPr>
        <w:tc>
          <w:tcPr>
            <w:tcW w:w="0" w:type="auto"/>
            <w:vAlign w:val="center"/>
            <w:hideMark/>
          </w:tcPr>
          <w:p w14:paraId="509D6725" w14:textId="77777777" w:rsidR="00A72438" w:rsidRPr="00A852C3" w:rsidRDefault="00A72438" w:rsidP="00B82195">
            <w:r w:rsidRPr="00A852C3">
              <w:t>Region</w:t>
            </w:r>
          </w:p>
        </w:tc>
        <w:tc>
          <w:tcPr>
            <w:tcW w:w="0" w:type="auto"/>
            <w:vAlign w:val="center"/>
            <w:hideMark/>
          </w:tcPr>
          <w:p w14:paraId="418ACEC8" w14:textId="77777777" w:rsidR="00A72438" w:rsidRPr="00A852C3" w:rsidRDefault="00A72438" w:rsidP="00B82195">
            <w:r w:rsidRPr="00A852C3">
              <w:t>Mean WLB</w:t>
            </w:r>
          </w:p>
        </w:tc>
        <w:tc>
          <w:tcPr>
            <w:tcW w:w="0" w:type="auto"/>
            <w:vAlign w:val="center"/>
            <w:hideMark/>
          </w:tcPr>
          <w:p w14:paraId="052BAE6B" w14:textId="77777777" w:rsidR="00A72438" w:rsidRPr="00A852C3" w:rsidRDefault="00A72438" w:rsidP="00B82195">
            <w:r w:rsidRPr="00A852C3">
              <w:t>N</w:t>
            </w:r>
          </w:p>
        </w:tc>
      </w:tr>
      <w:tr w:rsidR="00A72438" w:rsidRPr="00A852C3" w14:paraId="5364DC30" w14:textId="77777777" w:rsidTr="00B82195">
        <w:trPr>
          <w:tblCellSpacing w:w="15" w:type="dxa"/>
        </w:trPr>
        <w:tc>
          <w:tcPr>
            <w:tcW w:w="0" w:type="auto"/>
            <w:vAlign w:val="center"/>
            <w:hideMark/>
          </w:tcPr>
          <w:p w14:paraId="59FD48F3" w14:textId="77777777" w:rsidR="00A72438" w:rsidRPr="00A852C3" w:rsidRDefault="00A72438" w:rsidP="00B82195">
            <w:r w:rsidRPr="00A852C3">
              <w:t>Asia</w:t>
            </w:r>
          </w:p>
        </w:tc>
        <w:tc>
          <w:tcPr>
            <w:tcW w:w="0" w:type="auto"/>
            <w:vAlign w:val="center"/>
            <w:hideMark/>
          </w:tcPr>
          <w:p w14:paraId="64E47E19" w14:textId="77777777" w:rsidR="00A72438" w:rsidRPr="00A852C3" w:rsidRDefault="00A72438" w:rsidP="00B82195">
            <w:r w:rsidRPr="00A852C3">
              <w:t>3.23</w:t>
            </w:r>
          </w:p>
        </w:tc>
        <w:tc>
          <w:tcPr>
            <w:tcW w:w="0" w:type="auto"/>
            <w:vAlign w:val="center"/>
            <w:hideMark/>
          </w:tcPr>
          <w:p w14:paraId="2CC66D89" w14:textId="77777777" w:rsidR="00A72438" w:rsidRPr="00A852C3" w:rsidRDefault="00A72438" w:rsidP="00B82195">
            <w:r w:rsidRPr="00A852C3">
              <w:t>694</w:t>
            </w:r>
          </w:p>
        </w:tc>
      </w:tr>
      <w:tr w:rsidR="00A72438" w:rsidRPr="00A852C3" w14:paraId="15041C66" w14:textId="77777777" w:rsidTr="00B82195">
        <w:trPr>
          <w:tblCellSpacing w:w="15" w:type="dxa"/>
        </w:trPr>
        <w:tc>
          <w:tcPr>
            <w:tcW w:w="0" w:type="auto"/>
            <w:vAlign w:val="center"/>
            <w:hideMark/>
          </w:tcPr>
          <w:p w14:paraId="5F5FF8D9" w14:textId="77777777" w:rsidR="00A72438" w:rsidRPr="00A852C3" w:rsidRDefault="00A72438" w:rsidP="00B82195">
            <w:r w:rsidRPr="00A852C3">
              <w:t>Europe</w:t>
            </w:r>
          </w:p>
        </w:tc>
        <w:tc>
          <w:tcPr>
            <w:tcW w:w="0" w:type="auto"/>
            <w:vAlign w:val="center"/>
            <w:hideMark/>
          </w:tcPr>
          <w:p w14:paraId="7FDA8DBF" w14:textId="77777777" w:rsidR="00A72438" w:rsidRPr="00A852C3" w:rsidRDefault="00A72438" w:rsidP="00B82195">
            <w:r w:rsidRPr="00A852C3">
              <w:t>3.19</w:t>
            </w:r>
          </w:p>
        </w:tc>
        <w:tc>
          <w:tcPr>
            <w:tcW w:w="0" w:type="auto"/>
            <w:vAlign w:val="center"/>
            <w:hideMark/>
          </w:tcPr>
          <w:p w14:paraId="7E7CCE52" w14:textId="77777777" w:rsidR="00A72438" w:rsidRPr="00A852C3" w:rsidRDefault="00A72438" w:rsidP="00B82195">
            <w:r w:rsidRPr="00A852C3">
              <w:t>811</w:t>
            </w:r>
          </w:p>
        </w:tc>
      </w:tr>
      <w:tr w:rsidR="00A72438" w:rsidRPr="00A852C3" w14:paraId="05758D8F" w14:textId="77777777" w:rsidTr="00B82195">
        <w:trPr>
          <w:tblCellSpacing w:w="15" w:type="dxa"/>
        </w:trPr>
        <w:tc>
          <w:tcPr>
            <w:tcW w:w="0" w:type="auto"/>
            <w:vAlign w:val="center"/>
            <w:hideMark/>
          </w:tcPr>
          <w:p w14:paraId="59C22B3A" w14:textId="77777777" w:rsidR="00A72438" w:rsidRPr="00A852C3" w:rsidRDefault="00A72438" w:rsidP="00B82195">
            <w:r w:rsidRPr="00A852C3">
              <w:t>Africa</w:t>
            </w:r>
          </w:p>
        </w:tc>
        <w:tc>
          <w:tcPr>
            <w:tcW w:w="0" w:type="auto"/>
            <w:vAlign w:val="center"/>
            <w:hideMark/>
          </w:tcPr>
          <w:p w14:paraId="0901366D" w14:textId="77777777" w:rsidR="00A72438" w:rsidRPr="00A852C3" w:rsidRDefault="00A72438" w:rsidP="00B82195">
            <w:r w:rsidRPr="00A852C3">
              <w:t>2.99</w:t>
            </w:r>
          </w:p>
        </w:tc>
        <w:tc>
          <w:tcPr>
            <w:tcW w:w="0" w:type="auto"/>
            <w:vAlign w:val="center"/>
            <w:hideMark/>
          </w:tcPr>
          <w:p w14:paraId="0E91ABB9" w14:textId="77777777" w:rsidR="00A72438" w:rsidRPr="00A852C3" w:rsidRDefault="00A72438" w:rsidP="00B82195">
            <w:r w:rsidRPr="00A852C3">
              <w:t>335</w:t>
            </w:r>
          </w:p>
        </w:tc>
      </w:tr>
      <w:tr w:rsidR="00A72438" w:rsidRPr="00A852C3" w14:paraId="3B93C9CB" w14:textId="77777777" w:rsidTr="00B82195">
        <w:trPr>
          <w:tblCellSpacing w:w="15" w:type="dxa"/>
        </w:trPr>
        <w:tc>
          <w:tcPr>
            <w:tcW w:w="0" w:type="auto"/>
            <w:vAlign w:val="center"/>
            <w:hideMark/>
          </w:tcPr>
          <w:p w14:paraId="09C46704" w14:textId="77777777" w:rsidR="00A72438" w:rsidRPr="00A852C3" w:rsidRDefault="00A72438" w:rsidP="00B82195">
            <w:r w:rsidRPr="00A852C3">
              <w:t>North America</w:t>
            </w:r>
          </w:p>
        </w:tc>
        <w:tc>
          <w:tcPr>
            <w:tcW w:w="0" w:type="auto"/>
            <w:vAlign w:val="center"/>
            <w:hideMark/>
          </w:tcPr>
          <w:p w14:paraId="4EB0C38B" w14:textId="77777777" w:rsidR="00A72438" w:rsidRPr="00A852C3" w:rsidRDefault="00A72438" w:rsidP="00B82195">
            <w:r w:rsidRPr="00A852C3">
              <w:t>2.96</w:t>
            </w:r>
          </w:p>
        </w:tc>
        <w:tc>
          <w:tcPr>
            <w:tcW w:w="0" w:type="auto"/>
            <w:vAlign w:val="center"/>
            <w:hideMark/>
          </w:tcPr>
          <w:p w14:paraId="6E4A8316" w14:textId="77777777" w:rsidR="00A72438" w:rsidRPr="00A852C3" w:rsidRDefault="00A72438" w:rsidP="00B82195">
            <w:r w:rsidRPr="00A852C3">
              <w:t>1,028</w:t>
            </w:r>
          </w:p>
        </w:tc>
      </w:tr>
      <w:tr w:rsidR="00A72438" w:rsidRPr="00A852C3" w14:paraId="2CBCB66E" w14:textId="77777777" w:rsidTr="00B82195">
        <w:trPr>
          <w:tblCellSpacing w:w="15" w:type="dxa"/>
        </w:trPr>
        <w:tc>
          <w:tcPr>
            <w:tcW w:w="0" w:type="auto"/>
            <w:vAlign w:val="center"/>
            <w:hideMark/>
          </w:tcPr>
          <w:p w14:paraId="2FB152AE" w14:textId="77777777" w:rsidR="00A72438" w:rsidRPr="00A852C3" w:rsidRDefault="00A72438" w:rsidP="00B82195">
            <w:r w:rsidRPr="00A852C3">
              <w:t>Oceania</w:t>
            </w:r>
          </w:p>
        </w:tc>
        <w:tc>
          <w:tcPr>
            <w:tcW w:w="0" w:type="auto"/>
            <w:vAlign w:val="center"/>
            <w:hideMark/>
          </w:tcPr>
          <w:p w14:paraId="40BDA032" w14:textId="77777777" w:rsidR="00A72438" w:rsidRPr="00A852C3" w:rsidRDefault="00A72438" w:rsidP="00B82195">
            <w:r w:rsidRPr="00A852C3">
              <w:t>2.83</w:t>
            </w:r>
          </w:p>
        </w:tc>
        <w:tc>
          <w:tcPr>
            <w:tcW w:w="0" w:type="auto"/>
            <w:vAlign w:val="center"/>
            <w:hideMark/>
          </w:tcPr>
          <w:p w14:paraId="45B786D7" w14:textId="77777777" w:rsidR="00A72438" w:rsidRPr="00A852C3" w:rsidRDefault="00A72438" w:rsidP="00B82195">
            <w:r w:rsidRPr="00A852C3">
              <w:t>100</w:t>
            </w:r>
          </w:p>
        </w:tc>
      </w:tr>
      <w:tr w:rsidR="00A72438" w:rsidRPr="00A852C3" w14:paraId="751C8967" w14:textId="77777777" w:rsidTr="00B82195">
        <w:trPr>
          <w:tblCellSpacing w:w="15" w:type="dxa"/>
        </w:trPr>
        <w:tc>
          <w:tcPr>
            <w:tcW w:w="0" w:type="auto"/>
            <w:vAlign w:val="center"/>
            <w:hideMark/>
          </w:tcPr>
          <w:p w14:paraId="5EAF6902" w14:textId="77777777" w:rsidR="00A72438" w:rsidRPr="00A852C3" w:rsidRDefault="00A72438" w:rsidP="00B82195">
            <w:r w:rsidRPr="00A852C3">
              <w:t>South America</w:t>
            </w:r>
          </w:p>
        </w:tc>
        <w:tc>
          <w:tcPr>
            <w:tcW w:w="0" w:type="auto"/>
            <w:vAlign w:val="center"/>
            <w:hideMark/>
          </w:tcPr>
          <w:p w14:paraId="0A5C63C5" w14:textId="77777777" w:rsidR="00A72438" w:rsidRPr="00A852C3" w:rsidRDefault="00A72438" w:rsidP="00B82195">
            <w:r w:rsidRPr="00A852C3">
              <w:t>2.81</w:t>
            </w:r>
          </w:p>
        </w:tc>
        <w:tc>
          <w:tcPr>
            <w:tcW w:w="0" w:type="auto"/>
            <w:vAlign w:val="center"/>
            <w:hideMark/>
          </w:tcPr>
          <w:p w14:paraId="156C4194" w14:textId="77777777" w:rsidR="00A72438" w:rsidRPr="00A852C3" w:rsidRDefault="00A72438" w:rsidP="00B82195">
            <w:r w:rsidRPr="00A852C3">
              <w:t>189</w:t>
            </w:r>
          </w:p>
        </w:tc>
      </w:tr>
    </w:tbl>
    <w:p w14:paraId="62D02EED" w14:textId="77777777" w:rsidR="00A72438" w:rsidRPr="00A852C3" w:rsidRDefault="00A72438" w:rsidP="00A72438">
      <w:r w:rsidRPr="00A852C3">
        <w:t>Figure 3</w:t>
      </w:r>
      <w:r w:rsidRPr="00A852C3">
        <w:br/>
      </w:r>
      <w:r w:rsidRPr="00A852C3">
        <w:rPr>
          <w:i/>
          <w:iCs/>
        </w:rPr>
        <w:t>Mean Work-Life Balance by Region</w:t>
      </w:r>
    </w:p>
    <w:p w14:paraId="67A51356" w14:textId="77777777" w:rsidR="00A72438" w:rsidRPr="00A852C3" w:rsidRDefault="00A72438" w:rsidP="00A72438">
      <w:r w:rsidRPr="00A852C3">
        <w:lastRenderedPageBreak/>
        <w:t>Post-hoc comparisons (Tukey’s HSD, not shown here) revealed that Asia and Europe reported significantly higher work-life balance compared to Oceania and South America.</w:t>
      </w:r>
    </w:p>
    <w:p w14:paraId="42E3B0E5" w14:textId="77777777" w:rsidR="00A72438" w:rsidRPr="00A852C3" w:rsidRDefault="00A72438" w:rsidP="00A72438">
      <w:r w:rsidRPr="00A852C3">
        <w:t>Interpretation</w:t>
      </w:r>
    </w:p>
    <w:p w14:paraId="34061530" w14:textId="77777777" w:rsidR="00A72438" w:rsidRPr="00A852C3" w:rsidRDefault="00A72438" w:rsidP="00A72438">
      <w:r w:rsidRPr="00A852C3">
        <w:t>The null hypothesis (Ho4a) stated that there would be no significant gender differences in work-life balance, while the alternative (Ha4a) posited such differences. Because results were not significant, Ho4a is retained.</w:t>
      </w:r>
    </w:p>
    <w:p w14:paraId="68679DAA" w14:textId="77777777" w:rsidR="00A72438" w:rsidRPr="00A852C3" w:rsidRDefault="00A72438" w:rsidP="00A72438">
      <w:r w:rsidRPr="00A852C3">
        <w:t>The null hypothesis (Ho4b) stated that there would be no regional differences in work-life balance, while the alternative (Ha4b) posited such differences. Because the ANOVA was significant (p &lt; .001), Ho4b is rejected and Ha4b is supported.</w:t>
      </w:r>
    </w:p>
    <w:p w14:paraId="6A186AAE" w14:textId="77777777" w:rsidR="00A72438" w:rsidRPr="00A852C3" w:rsidRDefault="00A72438" w:rsidP="00A72438">
      <w:r w:rsidRPr="00A852C3">
        <w:t>These findings suggest that gender is not a meaningful differentiator of work-life balance in this dataset, while regional context is highly influential. Cultural norms, economic conditions, and policy environments likely contribute to these regional disparities. For example:</w:t>
      </w:r>
    </w:p>
    <w:p w14:paraId="45C192F1" w14:textId="77777777" w:rsidR="00A72438" w:rsidRPr="00A852C3" w:rsidRDefault="00A72438" w:rsidP="00A72438">
      <w:pPr>
        <w:numPr>
          <w:ilvl w:val="0"/>
          <w:numId w:val="17"/>
        </w:numPr>
      </w:pPr>
      <w:r w:rsidRPr="00A852C3">
        <w:t>In Asia and Europe, stronger labor protections, greater emphasis on flexible schedules, and cultural norms favoring collective well-being may support balance (</w:t>
      </w:r>
      <w:proofErr w:type="spellStart"/>
      <w:r w:rsidRPr="00A852C3">
        <w:t>Eurofound</w:t>
      </w:r>
      <w:proofErr w:type="spellEnd"/>
      <w:r w:rsidRPr="00A852C3">
        <w:t>, 2021).</w:t>
      </w:r>
    </w:p>
    <w:p w14:paraId="2E2EF973" w14:textId="77777777" w:rsidR="00A72438" w:rsidRPr="00A852C3" w:rsidRDefault="00A72438" w:rsidP="00A72438">
      <w:pPr>
        <w:numPr>
          <w:ilvl w:val="0"/>
          <w:numId w:val="17"/>
        </w:numPr>
      </w:pPr>
      <w:r w:rsidRPr="00A852C3">
        <w:t>In South America and Oceania, higher economic instability or weaker support systems may exacerbate work-life conflict.</w:t>
      </w:r>
    </w:p>
    <w:p w14:paraId="5B2478B5" w14:textId="77777777" w:rsidR="00A72438" w:rsidRPr="00A852C3" w:rsidRDefault="00A72438" w:rsidP="00A72438">
      <w:r w:rsidRPr="00A852C3">
        <w:t>Implications</w:t>
      </w:r>
    </w:p>
    <w:p w14:paraId="21379FFB" w14:textId="77777777" w:rsidR="00A72438" w:rsidRPr="00A852C3" w:rsidRDefault="00A72438" w:rsidP="00A72438">
      <w:r w:rsidRPr="00A852C3">
        <w:t>The practical implication is that organizations cannot assume uniformity of employee experiences across global regions. While gender may not explain much variance here, regional context strongly shapes work-life balance outcomes. For multinational organizations, this highlights the importance of tailoring wellness policies to local labor laws, cultural expectations, and infrastructure realities.</w:t>
      </w:r>
    </w:p>
    <w:p w14:paraId="6E012D0F" w14:textId="77777777" w:rsidR="00A72438" w:rsidRPr="005C364D" w:rsidRDefault="00A72438" w:rsidP="00A72438">
      <w:r w:rsidRPr="005C364D">
        <w:t>Hypotheses Evaluation and Synthesis</w:t>
      </w:r>
    </w:p>
    <w:p w14:paraId="3E2A803A" w14:textId="77777777" w:rsidR="00A72438" w:rsidRPr="005C364D" w:rsidRDefault="00A72438" w:rsidP="00A72438">
      <w:r w:rsidRPr="005C364D">
        <w:t>The four research questions in this study were designed to assess the relationship between post-pandemic work arrangements and key wellness outcomes, including burnout, work-life balance, and mental health. Each was paired with a null hypothesis (Ho) and an alternative hypothesis (Ha). Table 10 summarizes the decisions for each hypothesis, followed by narrative interpretation.</w:t>
      </w:r>
    </w:p>
    <w:p w14:paraId="7F85FA92" w14:textId="77777777" w:rsidR="00A72438" w:rsidRPr="005C364D" w:rsidRDefault="00A72438" w:rsidP="00A72438">
      <w:r w:rsidRPr="005C364D">
        <w:t>Table 10</w:t>
      </w:r>
      <w:r w:rsidRPr="005C364D">
        <w:br/>
      </w:r>
      <w:r w:rsidRPr="005C364D">
        <w:rPr>
          <w:i/>
          <w:iCs/>
        </w:rPr>
        <w:t>Summary of Hypothesis Testing Decisions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76"/>
        <w:gridCol w:w="2860"/>
        <w:gridCol w:w="987"/>
        <w:gridCol w:w="3527"/>
      </w:tblGrid>
      <w:tr w:rsidR="00A72438" w:rsidRPr="005C364D" w14:paraId="48C0311B" w14:textId="77777777" w:rsidTr="00B82195">
        <w:trPr>
          <w:tblHeader/>
          <w:tblCellSpacing w:w="15" w:type="dxa"/>
        </w:trPr>
        <w:tc>
          <w:tcPr>
            <w:tcW w:w="0" w:type="auto"/>
            <w:vAlign w:val="center"/>
            <w:hideMark/>
          </w:tcPr>
          <w:p w14:paraId="51EABA82" w14:textId="77777777" w:rsidR="00A72438" w:rsidRPr="005C364D" w:rsidRDefault="00A72438" w:rsidP="00B82195">
            <w:r w:rsidRPr="005C364D">
              <w:lastRenderedPageBreak/>
              <w:t>Research Question</w:t>
            </w:r>
          </w:p>
        </w:tc>
        <w:tc>
          <w:tcPr>
            <w:tcW w:w="0" w:type="auto"/>
            <w:vAlign w:val="center"/>
            <w:hideMark/>
          </w:tcPr>
          <w:p w14:paraId="3501F6A7" w14:textId="77777777" w:rsidR="00A72438" w:rsidRPr="005C364D" w:rsidRDefault="00A72438" w:rsidP="00B82195">
            <w:r w:rsidRPr="005C364D">
              <w:t>Null Hypothesis (Ho)</w:t>
            </w:r>
          </w:p>
        </w:tc>
        <w:tc>
          <w:tcPr>
            <w:tcW w:w="0" w:type="auto"/>
            <w:vAlign w:val="center"/>
            <w:hideMark/>
          </w:tcPr>
          <w:p w14:paraId="27602DF3" w14:textId="77777777" w:rsidR="00A72438" w:rsidRPr="005C364D" w:rsidRDefault="00A72438" w:rsidP="00B82195">
            <w:r w:rsidRPr="005C364D">
              <w:t>Decision</w:t>
            </w:r>
          </w:p>
        </w:tc>
        <w:tc>
          <w:tcPr>
            <w:tcW w:w="0" w:type="auto"/>
            <w:vAlign w:val="center"/>
            <w:hideMark/>
          </w:tcPr>
          <w:p w14:paraId="2FCF8F7B" w14:textId="77777777" w:rsidR="00A72438" w:rsidRPr="005C364D" w:rsidRDefault="00A72438" w:rsidP="00B82195">
            <w:r w:rsidRPr="005C364D">
              <w:t>Interpretation</w:t>
            </w:r>
          </w:p>
        </w:tc>
      </w:tr>
      <w:tr w:rsidR="00A72438" w:rsidRPr="005C364D" w14:paraId="0E972411" w14:textId="77777777" w:rsidTr="00B82195">
        <w:trPr>
          <w:tblCellSpacing w:w="15" w:type="dxa"/>
        </w:trPr>
        <w:tc>
          <w:tcPr>
            <w:tcW w:w="0" w:type="auto"/>
            <w:vAlign w:val="center"/>
            <w:hideMark/>
          </w:tcPr>
          <w:p w14:paraId="1028C755" w14:textId="77777777" w:rsidR="00A72438" w:rsidRPr="005C364D" w:rsidRDefault="00A72438" w:rsidP="00B82195">
            <w:r w:rsidRPr="005C364D">
              <w:t>RQ1: Burnout by Work Arrangement</w:t>
            </w:r>
          </w:p>
        </w:tc>
        <w:tc>
          <w:tcPr>
            <w:tcW w:w="0" w:type="auto"/>
            <w:vAlign w:val="center"/>
            <w:hideMark/>
          </w:tcPr>
          <w:p w14:paraId="0773B849" w14:textId="77777777" w:rsidR="00A72438" w:rsidRPr="005C364D" w:rsidRDefault="00A72438" w:rsidP="00B82195">
            <w:r w:rsidRPr="005C364D">
              <w:t>No significant differences in burnout across remote, hybrid, and onsite employees</w:t>
            </w:r>
          </w:p>
        </w:tc>
        <w:tc>
          <w:tcPr>
            <w:tcW w:w="0" w:type="auto"/>
            <w:vAlign w:val="center"/>
            <w:hideMark/>
          </w:tcPr>
          <w:p w14:paraId="7D718908" w14:textId="77777777" w:rsidR="00A72438" w:rsidRPr="005C364D" w:rsidRDefault="00A72438" w:rsidP="00B82195">
            <w:r w:rsidRPr="005C364D">
              <w:t>Rejected</w:t>
            </w:r>
          </w:p>
        </w:tc>
        <w:tc>
          <w:tcPr>
            <w:tcW w:w="0" w:type="auto"/>
            <w:vAlign w:val="center"/>
            <w:hideMark/>
          </w:tcPr>
          <w:p w14:paraId="07A2E0CF" w14:textId="77777777" w:rsidR="00A72438" w:rsidRPr="005C364D" w:rsidRDefault="00A72438" w:rsidP="00B82195">
            <w:r w:rsidRPr="005C364D">
              <w:t>Remote employees report higher burnout than hybrid, and onsite report the lowest</w:t>
            </w:r>
          </w:p>
        </w:tc>
      </w:tr>
      <w:tr w:rsidR="00A72438" w:rsidRPr="005C364D" w14:paraId="04AA92F3" w14:textId="77777777" w:rsidTr="00B82195">
        <w:trPr>
          <w:tblCellSpacing w:w="15" w:type="dxa"/>
        </w:trPr>
        <w:tc>
          <w:tcPr>
            <w:tcW w:w="0" w:type="auto"/>
            <w:vAlign w:val="center"/>
            <w:hideMark/>
          </w:tcPr>
          <w:p w14:paraId="574F62DC" w14:textId="77777777" w:rsidR="00A72438" w:rsidRPr="005C364D" w:rsidRDefault="00A72438" w:rsidP="00B82195">
            <w:r w:rsidRPr="005C364D">
              <w:t>RQ2: Hours Worked vs. Work-Life Balance</w:t>
            </w:r>
          </w:p>
        </w:tc>
        <w:tc>
          <w:tcPr>
            <w:tcW w:w="0" w:type="auto"/>
            <w:vAlign w:val="center"/>
            <w:hideMark/>
          </w:tcPr>
          <w:p w14:paraId="1B908517" w14:textId="77777777" w:rsidR="00A72438" w:rsidRPr="005C364D" w:rsidRDefault="00A72438" w:rsidP="00B82195">
            <w:r w:rsidRPr="005C364D">
              <w:t>No significant correlation between weekly hours worked and work-life balance scores</w:t>
            </w:r>
          </w:p>
        </w:tc>
        <w:tc>
          <w:tcPr>
            <w:tcW w:w="0" w:type="auto"/>
            <w:vAlign w:val="center"/>
            <w:hideMark/>
          </w:tcPr>
          <w:p w14:paraId="124E7DCD" w14:textId="77777777" w:rsidR="00A72438" w:rsidRPr="005C364D" w:rsidRDefault="00A72438" w:rsidP="00B82195">
            <w:r w:rsidRPr="005C364D">
              <w:t>Retained</w:t>
            </w:r>
          </w:p>
        </w:tc>
        <w:tc>
          <w:tcPr>
            <w:tcW w:w="0" w:type="auto"/>
            <w:vAlign w:val="center"/>
            <w:hideMark/>
          </w:tcPr>
          <w:p w14:paraId="683CEF05" w14:textId="77777777" w:rsidR="00A72438" w:rsidRPr="005C364D" w:rsidRDefault="00A72438" w:rsidP="00B82195">
            <w:r w:rsidRPr="005C364D">
              <w:t>Number of hours is not associated with balance; other moderators likely drive perceptions</w:t>
            </w:r>
          </w:p>
        </w:tc>
      </w:tr>
      <w:tr w:rsidR="00A72438" w:rsidRPr="005C364D" w14:paraId="5D3D79BA" w14:textId="77777777" w:rsidTr="00B82195">
        <w:trPr>
          <w:tblCellSpacing w:w="15" w:type="dxa"/>
        </w:trPr>
        <w:tc>
          <w:tcPr>
            <w:tcW w:w="0" w:type="auto"/>
            <w:vAlign w:val="center"/>
            <w:hideMark/>
          </w:tcPr>
          <w:p w14:paraId="1ED4189F" w14:textId="77777777" w:rsidR="00A72438" w:rsidRPr="005C364D" w:rsidRDefault="00A72438" w:rsidP="00B82195">
            <w:r w:rsidRPr="005C364D">
              <w:t>RQ3: Predicting Mental Health</w:t>
            </w:r>
          </w:p>
        </w:tc>
        <w:tc>
          <w:tcPr>
            <w:tcW w:w="0" w:type="auto"/>
            <w:vAlign w:val="center"/>
            <w:hideMark/>
          </w:tcPr>
          <w:p w14:paraId="49C142E9" w14:textId="77777777" w:rsidR="00A72438" w:rsidRPr="005C364D" w:rsidRDefault="00A72438" w:rsidP="00B82195">
            <w:r w:rsidRPr="005C364D">
              <w:t xml:space="preserve">Burnout and social isolation do not significantly predict presence of </w:t>
            </w:r>
            <w:proofErr w:type="gramStart"/>
            <w:r w:rsidRPr="005C364D">
              <w:t>a mental</w:t>
            </w:r>
            <w:proofErr w:type="gramEnd"/>
            <w:r w:rsidRPr="005C364D">
              <w:t xml:space="preserve"> health condition</w:t>
            </w:r>
          </w:p>
        </w:tc>
        <w:tc>
          <w:tcPr>
            <w:tcW w:w="0" w:type="auto"/>
            <w:vAlign w:val="center"/>
            <w:hideMark/>
          </w:tcPr>
          <w:p w14:paraId="1630B27F" w14:textId="77777777" w:rsidR="00A72438" w:rsidRPr="005C364D" w:rsidRDefault="00A72438" w:rsidP="00B82195">
            <w:r w:rsidRPr="005C364D">
              <w:t>Retained</w:t>
            </w:r>
          </w:p>
        </w:tc>
        <w:tc>
          <w:tcPr>
            <w:tcW w:w="0" w:type="auto"/>
            <w:vAlign w:val="center"/>
            <w:hideMark/>
          </w:tcPr>
          <w:p w14:paraId="653C8169" w14:textId="77777777" w:rsidR="00A72438" w:rsidRPr="005C364D" w:rsidRDefault="00A72438" w:rsidP="00B82195">
            <w:r w:rsidRPr="005C364D">
              <w:t>Logistic regression was not significant; binary diagnosis data may not align with burnout/isolation states</w:t>
            </w:r>
          </w:p>
        </w:tc>
      </w:tr>
      <w:tr w:rsidR="00A72438" w:rsidRPr="005C364D" w14:paraId="66EBFDE1" w14:textId="77777777" w:rsidTr="00B82195">
        <w:trPr>
          <w:tblCellSpacing w:w="15" w:type="dxa"/>
        </w:trPr>
        <w:tc>
          <w:tcPr>
            <w:tcW w:w="0" w:type="auto"/>
            <w:vAlign w:val="center"/>
            <w:hideMark/>
          </w:tcPr>
          <w:p w14:paraId="1A73B395" w14:textId="77777777" w:rsidR="00A72438" w:rsidRPr="005C364D" w:rsidRDefault="00A72438" w:rsidP="00B82195">
            <w:r w:rsidRPr="005C364D">
              <w:t>RQ4a: Gender and Work-Life Balance</w:t>
            </w:r>
          </w:p>
        </w:tc>
        <w:tc>
          <w:tcPr>
            <w:tcW w:w="0" w:type="auto"/>
            <w:vAlign w:val="center"/>
            <w:hideMark/>
          </w:tcPr>
          <w:p w14:paraId="63BD1AE4" w14:textId="77777777" w:rsidR="00A72438" w:rsidRPr="005C364D" w:rsidRDefault="00A72438" w:rsidP="00B82195">
            <w:r w:rsidRPr="005C364D">
              <w:t>No significant gender differences in work-life balance</w:t>
            </w:r>
          </w:p>
        </w:tc>
        <w:tc>
          <w:tcPr>
            <w:tcW w:w="0" w:type="auto"/>
            <w:vAlign w:val="center"/>
            <w:hideMark/>
          </w:tcPr>
          <w:p w14:paraId="68BD8CC5" w14:textId="77777777" w:rsidR="00A72438" w:rsidRPr="005C364D" w:rsidRDefault="00A72438" w:rsidP="00B82195">
            <w:r w:rsidRPr="005C364D">
              <w:t>Retained</w:t>
            </w:r>
          </w:p>
        </w:tc>
        <w:tc>
          <w:tcPr>
            <w:tcW w:w="0" w:type="auto"/>
            <w:vAlign w:val="center"/>
            <w:hideMark/>
          </w:tcPr>
          <w:p w14:paraId="4ACE49A4" w14:textId="77777777" w:rsidR="00A72438" w:rsidRPr="005C364D" w:rsidRDefault="00A72438" w:rsidP="00B82195">
            <w:r w:rsidRPr="005C364D">
              <w:t>Men and women report nearly identical balance scores</w:t>
            </w:r>
          </w:p>
        </w:tc>
      </w:tr>
      <w:tr w:rsidR="00A72438" w:rsidRPr="005C364D" w14:paraId="20A9F2C0" w14:textId="77777777" w:rsidTr="00B82195">
        <w:trPr>
          <w:tblCellSpacing w:w="15" w:type="dxa"/>
        </w:trPr>
        <w:tc>
          <w:tcPr>
            <w:tcW w:w="0" w:type="auto"/>
            <w:vAlign w:val="center"/>
            <w:hideMark/>
          </w:tcPr>
          <w:p w14:paraId="067790C3" w14:textId="77777777" w:rsidR="00A72438" w:rsidRPr="005C364D" w:rsidRDefault="00A72438" w:rsidP="00B82195">
            <w:r w:rsidRPr="005C364D">
              <w:t>RQ4b: Region and Work-Life Balance</w:t>
            </w:r>
          </w:p>
        </w:tc>
        <w:tc>
          <w:tcPr>
            <w:tcW w:w="0" w:type="auto"/>
            <w:vAlign w:val="center"/>
            <w:hideMark/>
          </w:tcPr>
          <w:p w14:paraId="33F92B28" w14:textId="77777777" w:rsidR="00A72438" w:rsidRPr="005C364D" w:rsidRDefault="00A72438" w:rsidP="00B82195">
            <w:r w:rsidRPr="005C364D">
              <w:t>No significant regional differences in work-life balance</w:t>
            </w:r>
          </w:p>
        </w:tc>
        <w:tc>
          <w:tcPr>
            <w:tcW w:w="0" w:type="auto"/>
            <w:vAlign w:val="center"/>
            <w:hideMark/>
          </w:tcPr>
          <w:p w14:paraId="78F97EB6" w14:textId="77777777" w:rsidR="00A72438" w:rsidRPr="005C364D" w:rsidRDefault="00A72438" w:rsidP="00B82195">
            <w:r w:rsidRPr="005C364D">
              <w:t>Rejected</w:t>
            </w:r>
          </w:p>
        </w:tc>
        <w:tc>
          <w:tcPr>
            <w:tcW w:w="0" w:type="auto"/>
            <w:vAlign w:val="center"/>
            <w:hideMark/>
          </w:tcPr>
          <w:p w14:paraId="167EFC83" w14:textId="77777777" w:rsidR="00A72438" w:rsidRPr="005C364D" w:rsidRDefault="00A72438" w:rsidP="00B82195">
            <w:r w:rsidRPr="005C364D">
              <w:t>Significant differences: Asia/Europe highest, Oceania/South America lowest</w:t>
            </w:r>
          </w:p>
        </w:tc>
      </w:tr>
    </w:tbl>
    <w:p w14:paraId="32D27C54" w14:textId="77777777" w:rsidR="00A72438" w:rsidRDefault="00A72438" w:rsidP="00A72438"/>
    <w:p w14:paraId="4FF86E6B" w14:textId="77777777" w:rsidR="00A72438" w:rsidRDefault="00A72438" w:rsidP="00A72438">
      <w:pPr>
        <w:pStyle w:val="Heading3"/>
      </w:pPr>
      <w:bookmarkStart w:id="56" w:name="_Toc207541178"/>
      <w:r w:rsidRPr="005C364D">
        <w:t>Findings and Decision</w:t>
      </w:r>
      <w:bookmarkEnd w:id="56"/>
    </w:p>
    <w:p w14:paraId="08B0D8CA" w14:textId="77777777" w:rsidR="00A72438" w:rsidRPr="005C364D" w:rsidRDefault="00A72438" w:rsidP="00A72438">
      <w:r w:rsidRPr="005C364D">
        <w:rPr>
          <w:rStyle w:val="Heading5Char"/>
        </w:rPr>
        <w:t>RQ1: Burnout by Work Arrangement</w:t>
      </w:r>
      <w:r w:rsidRPr="005C364D">
        <w:br/>
        <w:t>The null hypothesis for RQ1 was rejected, confirming that burnout significantly varies across work arrangements. Remote employees reported the highest levels of burnout, hybrid employees showed moderate levels, and onsite employees reported the lowest. The ANOVA results were statistically significant (</w:t>
      </w:r>
      <w:proofErr w:type="gramStart"/>
      <w:r w:rsidRPr="005C364D">
        <w:t>F(</w:t>
      </w:r>
      <w:proofErr w:type="gramEnd"/>
      <w:r w:rsidRPr="005C364D">
        <w:t>2, 3154) = 59.28, p &lt; .001) with a small effect size (η² = .036).</w:t>
      </w:r>
    </w:p>
    <w:p w14:paraId="03796FAA" w14:textId="0D77553A" w:rsidR="00A72438" w:rsidRDefault="00A72438" w:rsidP="00A72438">
      <w:pPr>
        <w:rPr>
          <w:i/>
          <w:iCs/>
        </w:rPr>
      </w:pPr>
      <w:r w:rsidRPr="005C364D">
        <w:t>Interpretation</w:t>
      </w:r>
      <w:r w:rsidRPr="005C364D">
        <w:br/>
        <w:t xml:space="preserve">This result is consistent with theories of job design and social connectivity. Wang et al. (2021) highlighted that remote employees often face challenges with inadequate </w:t>
      </w:r>
      <w:r w:rsidRPr="005C364D">
        <w:lastRenderedPageBreak/>
        <w:t>ergonomic setups, technology barriers, and diminished opportunities for informal interactions—all of which heighten strain and burnout risk. Bloom et al. (2015) also found that while remote workers may experience productivity gains, they can suffer from isolation and career stagnation. Hybrid work, by blending onsite and remote days, may mitigate these risks by maintaining social connection while preserving flexibility.</w:t>
      </w:r>
      <w:r w:rsidR="002411E5">
        <w:t xml:space="preserve"> </w:t>
      </w:r>
      <w:r w:rsidR="002411E5">
        <w:rPr>
          <w:i/>
          <w:iCs/>
        </w:rPr>
        <w:t>See Graph 1</w:t>
      </w:r>
    </w:p>
    <w:p w14:paraId="3409F65D" w14:textId="3BCADD79" w:rsidR="002411E5" w:rsidRDefault="002411E5" w:rsidP="00A72438">
      <w:pPr>
        <w:rPr>
          <w:i/>
          <w:iCs/>
        </w:rPr>
      </w:pPr>
      <w:r>
        <w:rPr>
          <w:i/>
          <w:iCs/>
        </w:rPr>
        <w:t xml:space="preserve">Graph 1 </w:t>
      </w:r>
    </w:p>
    <w:p w14:paraId="293336E1" w14:textId="524604E0" w:rsidR="002411E5" w:rsidRPr="005C364D" w:rsidRDefault="002411E5" w:rsidP="00A72438">
      <w:pPr>
        <w:rPr>
          <w:i/>
          <w:iCs/>
        </w:rPr>
      </w:pPr>
      <w:r>
        <w:rPr>
          <w:i/>
          <w:iCs/>
          <w:noProof/>
        </w:rPr>
        <w:drawing>
          <wp:inline distT="0" distB="0" distL="0" distR="0" wp14:anchorId="6335DAB7" wp14:editId="549E9204">
            <wp:extent cx="5852172" cy="4389129"/>
            <wp:effectExtent l="0" t="0" r="0" b="0"/>
            <wp:docPr id="897373984" name="Picture 1" descr="A graph of a burn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73984" name="Picture 1" descr="A graph of a burnou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4BD7BA9" w14:textId="77777777" w:rsidR="00A72438" w:rsidRPr="005C364D" w:rsidRDefault="00A72438" w:rsidP="00A72438">
      <w:r w:rsidRPr="005C364D">
        <w:t>Organizational Implications</w:t>
      </w:r>
      <w:r w:rsidRPr="005C364D">
        <w:br/>
        <w:t>The findings stress that work arrangement design is not neutral. Simply offering remote work without intentional support structures can create conditions for burnout. Organizations should:</w:t>
      </w:r>
    </w:p>
    <w:p w14:paraId="543DF75B" w14:textId="77777777" w:rsidR="00A72438" w:rsidRPr="005C364D" w:rsidRDefault="00A72438" w:rsidP="00A72438">
      <w:pPr>
        <w:numPr>
          <w:ilvl w:val="0"/>
          <w:numId w:val="18"/>
        </w:numPr>
      </w:pPr>
      <w:r w:rsidRPr="005C364D">
        <w:t>Provide stipends or equipment for ergonomic home setups.</w:t>
      </w:r>
    </w:p>
    <w:p w14:paraId="68474CA7" w14:textId="77777777" w:rsidR="00A72438" w:rsidRPr="005C364D" w:rsidRDefault="00A72438" w:rsidP="00A72438">
      <w:pPr>
        <w:numPr>
          <w:ilvl w:val="0"/>
          <w:numId w:val="18"/>
        </w:numPr>
      </w:pPr>
      <w:r w:rsidRPr="005C364D">
        <w:t>Develop “connection rituals” (e.g., team huddles, mentorship programs) to offset social isolation.</w:t>
      </w:r>
    </w:p>
    <w:p w14:paraId="12548068" w14:textId="77777777" w:rsidR="00A72438" w:rsidRPr="005C364D" w:rsidRDefault="00A72438" w:rsidP="00A72438">
      <w:pPr>
        <w:numPr>
          <w:ilvl w:val="0"/>
          <w:numId w:val="18"/>
        </w:numPr>
      </w:pPr>
      <w:r w:rsidRPr="005C364D">
        <w:lastRenderedPageBreak/>
        <w:t>Encourage workload management policies to reduce the “always on” culture reported in remote roles (Derks &amp; Bakker, 2014).</w:t>
      </w:r>
    </w:p>
    <w:p w14:paraId="4ECED22C" w14:textId="77777777" w:rsidR="00A72438" w:rsidRPr="005C364D" w:rsidRDefault="00A72438" w:rsidP="00A72438">
      <w:r w:rsidRPr="005C364D">
        <w:t>Future Research</w:t>
      </w:r>
      <w:r w:rsidRPr="005C364D">
        <w:br/>
        <w:t>While effect size was small, significance across a large sample suggests a robust trend. Future work could explore interaction effects (e.g., hours worked × arrangement), longitudinal impacts (burnout over time), and role-specific vulnerabilities (e.g., customer-facing vs. analytical jobs).</w:t>
      </w:r>
    </w:p>
    <w:p w14:paraId="6F61CB42" w14:textId="77777777" w:rsidR="00A72438" w:rsidRPr="005C364D" w:rsidRDefault="00A72438" w:rsidP="00A72438"/>
    <w:p w14:paraId="15BF84B0" w14:textId="77777777" w:rsidR="00A72438" w:rsidRPr="005C364D" w:rsidRDefault="00A72438" w:rsidP="00A72438">
      <w:r w:rsidRPr="005C364D">
        <w:rPr>
          <w:rStyle w:val="Heading5Char"/>
        </w:rPr>
        <w:t>RQ2: Hours Worked vs. Work-Life Balance</w:t>
      </w:r>
      <w:r w:rsidRPr="005C364D">
        <w:br/>
        <w:t>The null hypothesis for RQ2 was retained. Weekly hours worked did not correlate significantly with work-life balance (Spearman’s ρ = −.015, p = .396).</w:t>
      </w:r>
    </w:p>
    <w:p w14:paraId="6F520204" w14:textId="77777777" w:rsidR="00A72438" w:rsidRPr="005C364D" w:rsidRDefault="00A72438" w:rsidP="00A72438">
      <w:r w:rsidRPr="005C364D">
        <w:t>Interpretation</w:t>
      </w:r>
      <w:r w:rsidRPr="005C364D">
        <w:br/>
        <w:t>At first glance, this finding contradicts traditional models linking long hours with poor work-life balance (</w:t>
      </w:r>
      <w:proofErr w:type="spellStart"/>
      <w:r w:rsidRPr="005C364D">
        <w:t>Felstead</w:t>
      </w:r>
      <w:proofErr w:type="spellEnd"/>
      <w:r w:rsidRPr="005C364D">
        <w:t xml:space="preserve"> &amp; Reuschke, 2020). However, it reflects an emerging recognition that the quality and structure of work time may matter more than the quantity. For example, employees with flexible hours may work 55 hours but still feel balanced if they can integrate family or personal commitments. Conversely, those with rigid schedules may feel </w:t>
      </w:r>
      <w:proofErr w:type="gramStart"/>
      <w:r w:rsidRPr="005C364D">
        <w:t>imbalance</w:t>
      </w:r>
      <w:proofErr w:type="gramEnd"/>
      <w:r w:rsidRPr="005C364D">
        <w:t xml:space="preserve"> even with fewer hours. Hammer et al. (2011) emphasize the role of supervisor support and boundary control in moderating these effects.</w:t>
      </w:r>
    </w:p>
    <w:p w14:paraId="3824487E" w14:textId="77777777" w:rsidR="00A72438" w:rsidRPr="005C364D" w:rsidRDefault="00A72438" w:rsidP="00A72438">
      <w:r w:rsidRPr="005C364D">
        <w:t>Organizational Implications</w:t>
      </w:r>
      <w:r w:rsidRPr="005C364D">
        <w:br/>
        <w:t>The results imply that work-life policies must look beyond hours caps. Initiatives should focus on:</w:t>
      </w:r>
    </w:p>
    <w:p w14:paraId="62FDD91F" w14:textId="77777777" w:rsidR="00A72438" w:rsidRPr="005C364D" w:rsidRDefault="00A72438" w:rsidP="00A72438">
      <w:pPr>
        <w:numPr>
          <w:ilvl w:val="0"/>
          <w:numId w:val="19"/>
        </w:numPr>
      </w:pPr>
      <w:r w:rsidRPr="005C364D">
        <w:t xml:space="preserve">Allowing employees </w:t>
      </w:r>
      <w:proofErr w:type="gramStart"/>
      <w:r w:rsidRPr="005C364D">
        <w:t>control over</w:t>
      </w:r>
      <w:proofErr w:type="gramEnd"/>
      <w:r w:rsidRPr="005C364D">
        <w:t xml:space="preserve"> scheduling and task prioritization.</w:t>
      </w:r>
    </w:p>
    <w:p w14:paraId="3F7F61D0" w14:textId="77777777" w:rsidR="00A72438" w:rsidRPr="005C364D" w:rsidRDefault="00A72438" w:rsidP="00A72438">
      <w:pPr>
        <w:numPr>
          <w:ilvl w:val="0"/>
          <w:numId w:val="19"/>
        </w:numPr>
      </w:pPr>
      <w:r w:rsidRPr="005C364D">
        <w:t>Setting clear “no-meeting zones” or after-hours communication boundaries.</w:t>
      </w:r>
    </w:p>
    <w:p w14:paraId="14D84374" w14:textId="77777777" w:rsidR="00A72438" w:rsidRPr="005C364D" w:rsidRDefault="00A72438" w:rsidP="00A72438">
      <w:pPr>
        <w:numPr>
          <w:ilvl w:val="0"/>
          <w:numId w:val="19"/>
        </w:numPr>
      </w:pPr>
      <w:r w:rsidRPr="005C364D">
        <w:t>Training managers to recognize signs of imbalance unrelated to workload size (e.g., frequent weekend disruptions).</w:t>
      </w:r>
    </w:p>
    <w:p w14:paraId="47A07947" w14:textId="77777777" w:rsidR="00A72438" w:rsidRPr="005C364D" w:rsidRDefault="00A72438" w:rsidP="00A72438">
      <w:r w:rsidRPr="005C364D">
        <w:t>Future Research</w:t>
      </w:r>
      <w:r w:rsidRPr="005C364D">
        <w:br/>
        <w:t>To unpack this relationship, future studies should measure boundary permeability (how easily work intrudes into personal life) and task fragmentation (frequency of switching contexts). Non-linear models may also reveal thresholds—perhaps balance only declines significantly beyond 60 hours per week.</w:t>
      </w:r>
    </w:p>
    <w:p w14:paraId="72598536" w14:textId="77777777" w:rsidR="00A72438" w:rsidRPr="005C364D" w:rsidRDefault="00A72438" w:rsidP="00A72438"/>
    <w:p w14:paraId="6F586273" w14:textId="77777777" w:rsidR="00A72438" w:rsidRPr="005C364D" w:rsidRDefault="00A72438" w:rsidP="00A72438">
      <w:r w:rsidRPr="005C364D">
        <w:rPr>
          <w:rStyle w:val="Heading5Char"/>
        </w:rPr>
        <w:lastRenderedPageBreak/>
        <w:t>RQ3: Predicting Mental Health</w:t>
      </w:r>
      <w:r w:rsidRPr="005C364D">
        <w:br/>
        <w:t>The null hypothesis for RQ3 was retained. Logistic regression revealed that burnout, social isolation, and hours worked did not significantly predict reporting a mental health condition.</w:t>
      </w:r>
    </w:p>
    <w:p w14:paraId="2CC5BD1B" w14:textId="77777777" w:rsidR="00A72438" w:rsidRPr="005C364D" w:rsidRDefault="00A72438" w:rsidP="00A72438">
      <w:r w:rsidRPr="005C364D">
        <w:t>Interpretation</w:t>
      </w:r>
      <w:r w:rsidRPr="005C364D">
        <w:br/>
        <w:t xml:space="preserve">This outcome diverges from substantial evidence linking burnout to depression, anxiety, and stress-related disorders (Shanafelt et al., 2021; APA, 2023). A likely explanation is measurement mismatch: the dataset recorded whether employees reported a diagnosed condition, not whether they experienced distress symptoms. Many </w:t>
      </w:r>
      <w:proofErr w:type="gramStart"/>
      <w:r w:rsidRPr="005C364D">
        <w:t>employees</w:t>
      </w:r>
      <w:proofErr w:type="gramEnd"/>
      <w:r w:rsidRPr="005C364D">
        <w:t xml:space="preserve"> experiencing high burnout may not have a formal diagnosis due to underreporting, stigma, or lack of healthcare access (Henderson et al., 2013). Thus, the regression may underestimate real psychological strain.</w:t>
      </w:r>
    </w:p>
    <w:p w14:paraId="38F47ADE" w14:textId="77777777" w:rsidR="00A72438" w:rsidRPr="005C364D" w:rsidRDefault="00A72438" w:rsidP="00A72438">
      <w:r w:rsidRPr="005C364D">
        <w:t>Organizational Implications</w:t>
      </w:r>
      <w:r w:rsidRPr="005C364D">
        <w:br/>
        <w:t>The retained null highlights a critical risk: HR data on diagnosed conditions cannot capture the full scope of employee distress. Organizations should implement:</w:t>
      </w:r>
    </w:p>
    <w:p w14:paraId="161A6A1F" w14:textId="77777777" w:rsidR="00A72438" w:rsidRPr="005C364D" w:rsidRDefault="00A72438" w:rsidP="00A72438">
      <w:pPr>
        <w:numPr>
          <w:ilvl w:val="0"/>
          <w:numId w:val="20"/>
        </w:numPr>
      </w:pPr>
      <w:r w:rsidRPr="005C364D">
        <w:t xml:space="preserve">Anonymous pulse surveys </w:t>
      </w:r>
      <w:proofErr w:type="gramStart"/>
      <w:r w:rsidRPr="005C364D">
        <w:t>measuring</w:t>
      </w:r>
      <w:proofErr w:type="gramEnd"/>
      <w:r w:rsidRPr="005C364D">
        <w:t xml:space="preserve"> burnout and stress.</w:t>
      </w:r>
    </w:p>
    <w:p w14:paraId="0E65E814" w14:textId="77777777" w:rsidR="00A72438" w:rsidRPr="005C364D" w:rsidRDefault="00A72438" w:rsidP="00A72438">
      <w:pPr>
        <w:numPr>
          <w:ilvl w:val="0"/>
          <w:numId w:val="20"/>
        </w:numPr>
      </w:pPr>
      <w:r w:rsidRPr="005C364D">
        <w:t>Early warning systems (e.g., tracking workload spikes and isolation scores).</w:t>
      </w:r>
    </w:p>
    <w:p w14:paraId="7684FF4F" w14:textId="77777777" w:rsidR="00A72438" w:rsidRPr="005C364D" w:rsidRDefault="00A72438" w:rsidP="00A72438">
      <w:pPr>
        <w:numPr>
          <w:ilvl w:val="0"/>
          <w:numId w:val="20"/>
        </w:numPr>
      </w:pPr>
      <w:r w:rsidRPr="005C364D">
        <w:t>Mental health literacy campaigns to normalize seeking help.</w:t>
      </w:r>
    </w:p>
    <w:p w14:paraId="674374CE" w14:textId="77777777" w:rsidR="00A72438" w:rsidRPr="005C364D" w:rsidRDefault="00A72438" w:rsidP="00A72438">
      <w:r w:rsidRPr="005C364D">
        <w:t>Future Research</w:t>
      </w:r>
      <w:r w:rsidRPr="005C364D">
        <w:br/>
        <w:t>Future studies should operationalize mental health as a spectrum (e.g., PHQ-9 or GAD-7 scales) rather than a binary variable. Longitudinal tracking could reveal whether high burnout today predicts new diagnoses over time. Including variables like access to benefits and cultural stigma would also strengthen predictive models.</w:t>
      </w:r>
    </w:p>
    <w:p w14:paraId="21E4ED76" w14:textId="77777777" w:rsidR="00A72438" w:rsidRPr="005C364D" w:rsidRDefault="00A72438" w:rsidP="00A72438">
      <w:r w:rsidRPr="005C364D">
        <w:rPr>
          <w:rStyle w:val="Heading5Char"/>
        </w:rPr>
        <w:t>RQ4: Gender and Region in Work-Life Balance</w:t>
      </w:r>
      <w:r w:rsidRPr="005C364D">
        <w:rPr>
          <w:rStyle w:val="Heading5Char"/>
        </w:rPr>
        <w:br/>
      </w:r>
      <w:r w:rsidRPr="005C364D">
        <w:t>For gender (RQ4a), the null was retained, with no significant differences in balance between men and women (M = 2.98 vs. 3.02, p = .282). For region (RQ4b), the null was rejected, with significant differences in balance across continents (</w:t>
      </w:r>
      <w:proofErr w:type="gramStart"/>
      <w:r w:rsidRPr="005C364D">
        <w:t>F(</w:t>
      </w:r>
      <w:proofErr w:type="gramEnd"/>
      <w:r w:rsidRPr="005C364D">
        <w:t>5, 3151) = 12.54, p &lt; .001). Asia and Europe reported the highest balance, while Oceania and South America reported the lowest.</w:t>
      </w:r>
    </w:p>
    <w:p w14:paraId="66768D8C" w14:textId="5D95991B" w:rsidR="00A72438" w:rsidRDefault="00A72438" w:rsidP="00A72438">
      <w:pPr>
        <w:rPr>
          <w:i/>
          <w:iCs/>
        </w:rPr>
      </w:pPr>
      <w:r w:rsidRPr="005C364D">
        <w:t>Interpretation</w:t>
      </w:r>
      <w:r w:rsidRPr="005C364D">
        <w:br/>
        <w:t xml:space="preserve">The lack of gender differences aligns with findings that the pandemic equalized many aspects of work-life conflict, as both men and women faced remote work and caregiving challenges simultaneously (Chung et al., 2021). However, persistent regional disparities underscore that cultural, economic, and policy contexts strongly shape balance. </w:t>
      </w:r>
      <w:proofErr w:type="spellStart"/>
      <w:r w:rsidRPr="005C364D">
        <w:lastRenderedPageBreak/>
        <w:t>Eurofound</w:t>
      </w:r>
      <w:proofErr w:type="spellEnd"/>
      <w:r w:rsidRPr="005C364D">
        <w:t xml:space="preserve"> (2021) reported that European workers benefit from stronger labor protections, while employees in Oceania or South America may face weaker policy frameworks or greater economic precarity, explaining the observed differences.</w:t>
      </w:r>
      <w:r w:rsidR="004037B6">
        <w:t xml:space="preserve"> </w:t>
      </w:r>
      <w:r w:rsidR="004037B6">
        <w:rPr>
          <w:i/>
          <w:iCs/>
        </w:rPr>
        <w:t>See Graph 2 and 3</w:t>
      </w:r>
    </w:p>
    <w:p w14:paraId="6C1E0A59" w14:textId="2A1EC1A9" w:rsidR="004037B6" w:rsidRDefault="004037B6" w:rsidP="00A72438">
      <w:pPr>
        <w:rPr>
          <w:i/>
          <w:iCs/>
        </w:rPr>
      </w:pPr>
      <w:r>
        <w:rPr>
          <w:i/>
          <w:iCs/>
        </w:rPr>
        <w:t xml:space="preserve">Graph 2. </w:t>
      </w:r>
    </w:p>
    <w:p w14:paraId="66FFE015" w14:textId="37CD07BB" w:rsidR="004037B6" w:rsidRDefault="004037B6" w:rsidP="00A72438">
      <w:pPr>
        <w:rPr>
          <w:i/>
          <w:iCs/>
        </w:rPr>
      </w:pPr>
      <w:r>
        <w:rPr>
          <w:i/>
          <w:iCs/>
          <w:noProof/>
        </w:rPr>
        <w:drawing>
          <wp:inline distT="0" distB="0" distL="0" distR="0" wp14:anchorId="4FAE66E0" wp14:editId="4B53F35C">
            <wp:extent cx="5852172" cy="4389129"/>
            <wp:effectExtent l="0" t="0" r="0" b="0"/>
            <wp:docPr id="553481635" name="Picture 2"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81635" name="Picture 2" descr="A graph of blue do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B95603" w14:textId="08AF3F2C" w:rsidR="004037B6" w:rsidRDefault="004037B6" w:rsidP="00A72438">
      <w:pPr>
        <w:rPr>
          <w:i/>
          <w:iCs/>
        </w:rPr>
      </w:pPr>
      <w:r>
        <w:rPr>
          <w:i/>
          <w:iCs/>
        </w:rPr>
        <w:t xml:space="preserve">Graph 3. </w:t>
      </w:r>
    </w:p>
    <w:p w14:paraId="00478E99" w14:textId="3EBD0E31" w:rsidR="004037B6" w:rsidRPr="005C364D" w:rsidRDefault="004037B6" w:rsidP="00A72438">
      <w:pPr>
        <w:rPr>
          <w:i/>
          <w:iCs/>
        </w:rPr>
      </w:pPr>
      <w:r>
        <w:rPr>
          <w:i/>
          <w:iCs/>
          <w:noProof/>
        </w:rPr>
        <w:lastRenderedPageBreak/>
        <w:drawing>
          <wp:inline distT="0" distB="0" distL="0" distR="0" wp14:anchorId="75D64AC9" wp14:editId="27643BB9">
            <wp:extent cx="5943600" cy="2971800"/>
            <wp:effectExtent l="0" t="0" r="0" b="0"/>
            <wp:docPr id="887940123" name="Picture 3" descr="A graph of blue rectangular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40123" name="Picture 3" descr="A graph of blue rectangular bars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213136" w14:textId="77777777" w:rsidR="00A72438" w:rsidRPr="005C364D" w:rsidRDefault="00A72438" w:rsidP="00A72438">
      <w:r w:rsidRPr="005C364D">
        <w:t>Organizational Implications</w:t>
      </w:r>
      <w:r w:rsidRPr="005C364D">
        <w:br/>
        <w:t>Multinational companies must adapt wellness programs to local conditions. A one-size-fits-all policy may fail to address region-specific needs. For example, in regions with weak public childcare systems, employers may need to offer subsidies or flexible schedules. In Asia, where long work hours are culturally normalized, interventions may focus on limiting after-hours communication.</w:t>
      </w:r>
    </w:p>
    <w:p w14:paraId="2D69E066" w14:textId="77777777" w:rsidR="00A72438" w:rsidRPr="005C364D" w:rsidRDefault="00A72438" w:rsidP="00A72438">
      <w:r w:rsidRPr="005C364D">
        <w:t>Future Research</w:t>
      </w:r>
      <w:r w:rsidRPr="005C364D">
        <w:br/>
        <w:t>Cross-cultural comparative research is warranted, integrating macro-level variables such as GDP per capita, labor law strength, and cultural dimensions (e.g., Hofstede’s individualism vs. collectivism). These factors could contextualize why some regions report higher or lower balance.</w:t>
      </w:r>
    </w:p>
    <w:p w14:paraId="51D28597" w14:textId="77777777" w:rsidR="00A72438" w:rsidRPr="005C364D" w:rsidRDefault="00A72438" w:rsidP="00A72438"/>
    <w:p w14:paraId="145BD836" w14:textId="77777777" w:rsidR="00A72438" w:rsidRPr="005C364D" w:rsidRDefault="00A72438" w:rsidP="00A72438">
      <w:pPr>
        <w:pStyle w:val="Heading3"/>
      </w:pPr>
      <w:bookmarkStart w:id="57" w:name="_Toc207541179"/>
      <w:r w:rsidRPr="005C364D">
        <w:t>Cross-Hypothesis Synthesis</w:t>
      </w:r>
      <w:bookmarkEnd w:id="57"/>
    </w:p>
    <w:p w14:paraId="228247BE" w14:textId="77777777" w:rsidR="00A72438" w:rsidRPr="005C364D" w:rsidRDefault="00A72438" w:rsidP="00A72438">
      <w:r w:rsidRPr="005C364D">
        <w:t>The combined results reveal several important themes:</w:t>
      </w:r>
    </w:p>
    <w:p w14:paraId="7B06F95E" w14:textId="77777777" w:rsidR="00A72438" w:rsidRPr="005C364D" w:rsidRDefault="00A72438" w:rsidP="00A72438">
      <w:pPr>
        <w:numPr>
          <w:ilvl w:val="0"/>
          <w:numId w:val="21"/>
        </w:numPr>
      </w:pPr>
      <w:r w:rsidRPr="005C364D">
        <w:t>Structural over individual factors. Burnout was shaped by work arrangement and region but not by gender or raw hours, suggesting context is more important than individual demographics.</w:t>
      </w:r>
    </w:p>
    <w:p w14:paraId="559997F0" w14:textId="77777777" w:rsidR="00A72438" w:rsidRPr="005C364D" w:rsidRDefault="00A72438" w:rsidP="00A72438">
      <w:pPr>
        <w:numPr>
          <w:ilvl w:val="0"/>
          <w:numId w:val="21"/>
        </w:numPr>
      </w:pPr>
      <w:r w:rsidRPr="005C364D">
        <w:t>Diagnosis vs. distress. The mismatch between burnout/isolation and diagnosed mental health conditions signals that organizations must look beyond clinical data to capture real employee well-being.</w:t>
      </w:r>
    </w:p>
    <w:p w14:paraId="0066B7B8" w14:textId="77777777" w:rsidR="00A72438" w:rsidRPr="005C364D" w:rsidRDefault="00A72438" w:rsidP="00A72438">
      <w:pPr>
        <w:numPr>
          <w:ilvl w:val="0"/>
          <w:numId w:val="21"/>
        </w:numPr>
      </w:pPr>
      <w:r w:rsidRPr="005C364D">
        <w:lastRenderedPageBreak/>
        <w:t>Global variability. Regional differences underscore that cultural and policy contexts play a defining role in shaping balance, challenging assumptions that remote work is universally experienced.</w:t>
      </w:r>
    </w:p>
    <w:p w14:paraId="7FA2C609" w14:textId="77777777" w:rsidR="00A72438" w:rsidRPr="005C364D" w:rsidRDefault="00A72438" w:rsidP="00A72438">
      <w:r w:rsidRPr="005C364D">
        <w:t>This synthesis reinforces the need for multi-level approaches: organizational policies must address work design, while researchers must account for both individual and structural moderators.</w:t>
      </w:r>
    </w:p>
    <w:p w14:paraId="22945051" w14:textId="77777777" w:rsidR="00A72438" w:rsidRPr="005C364D" w:rsidRDefault="00A72438" w:rsidP="00A72438">
      <w:pPr>
        <w:pStyle w:val="Heading3"/>
      </w:pPr>
      <w:bookmarkStart w:id="58" w:name="_Toc207541180"/>
      <w:r w:rsidRPr="005C364D">
        <w:t>Ethical and Practical Reflections</w:t>
      </w:r>
      <w:bookmarkEnd w:id="58"/>
    </w:p>
    <w:p w14:paraId="2ED9FDD5" w14:textId="77777777" w:rsidR="00A72438" w:rsidRPr="005C364D" w:rsidRDefault="00A72438" w:rsidP="00A72438">
      <w:r w:rsidRPr="005C364D">
        <w:t>The findings also highlight ethical considerations. Reporting regional or burnout differences must be done carefully to avoid stigmatizing groups. Results should be framed as opportunities for organizational support, not as deficits. Similarly, interpreting null results requires caution: the absence of statistical significance does not imply irrelevance but may point to measurement limitations. Transparency about these nuances is critical to responsible workplace research (APA, 2023).</w:t>
      </w:r>
    </w:p>
    <w:p w14:paraId="7BEB9603" w14:textId="77777777" w:rsidR="00A72438" w:rsidRPr="005C364D" w:rsidRDefault="00A72438" w:rsidP="00A72438">
      <w:pPr>
        <w:pStyle w:val="Heading3"/>
      </w:pPr>
      <w:bookmarkStart w:id="59" w:name="_Toc207541181"/>
      <w:r w:rsidRPr="005C364D">
        <w:t>Conclusion of Hypotheses Evaluation</w:t>
      </w:r>
      <w:bookmarkEnd w:id="59"/>
    </w:p>
    <w:p w14:paraId="17E6F5CA" w14:textId="77777777" w:rsidR="00A72438" w:rsidRDefault="00A72438" w:rsidP="00A72438">
      <w:r w:rsidRPr="005C364D">
        <w:t xml:space="preserve">In sum, two null hypotheses were rejected (RQ1 and RQ4b), while three were retained (RQ2, RQ3, and RQ4a). The rejected nulls underscore the importance of work arrangements and regional context, while the retained nulls point to the need for more nuanced measures of hours and mental health. Together, these findings suggest that employee well-being is shaped less by individual demographics or sheer workload and more by structural and cultural contexts. Organizations seeking to foster sustainable remote work must therefore invest in supportive policies, adapt interventions globally, and expand </w:t>
      </w:r>
      <w:proofErr w:type="gramStart"/>
      <w:r w:rsidRPr="005C364D">
        <w:t>measurement</w:t>
      </w:r>
      <w:proofErr w:type="gramEnd"/>
      <w:r w:rsidRPr="005C364D">
        <w:t xml:space="preserve"> beyond diagnoses to include real-time indicators of stress and balance.</w:t>
      </w:r>
    </w:p>
    <w:p w14:paraId="2E41C065" w14:textId="77777777" w:rsidR="00775369" w:rsidRPr="00062C46" w:rsidRDefault="00775369" w:rsidP="00775369">
      <w:pPr>
        <w:pStyle w:val="Heading3"/>
      </w:pPr>
      <w:bookmarkStart w:id="60" w:name="_Toc207541182"/>
      <w:r w:rsidRPr="00062C46">
        <w:t>Conclusion</w:t>
      </w:r>
      <w:bookmarkEnd w:id="60"/>
    </w:p>
    <w:p w14:paraId="2B7EB3C4" w14:textId="77777777" w:rsidR="00775369" w:rsidRPr="00062C46" w:rsidRDefault="00775369" w:rsidP="00775369">
      <w:r w:rsidRPr="00062C46">
        <w:t xml:space="preserve">The findings of this Capstone Project provide a nuanced and evidence-based understanding of the long-term health implications of remote and hybrid work in the post-pandemic era. Using the </w:t>
      </w:r>
      <w:r w:rsidRPr="00062C46">
        <w:rPr>
          <w:i/>
          <w:iCs/>
        </w:rPr>
        <w:t>Post Pandemic Remote Work Health Impact 2025</w:t>
      </w:r>
      <w:r w:rsidRPr="00062C46">
        <w:t xml:space="preserve"> dataset, the study examined four research questions concerning burnout, work-life balance, and mental health outcomes. Results demonstrated that while some organizational assumptions are validated</w:t>
      </w:r>
      <w:r>
        <w:t xml:space="preserve"> </w:t>
      </w:r>
      <w:r w:rsidRPr="00062C46">
        <w:t>such as the clear link between work arrangement and burnout</w:t>
      </w:r>
      <w:r>
        <w:t xml:space="preserve"> </w:t>
      </w:r>
      <w:r w:rsidRPr="00062C46">
        <w:t>others were challenged, including the expectation that hours worked per week or gender would strongly predict well-being.</w:t>
      </w:r>
    </w:p>
    <w:p w14:paraId="36C32E36" w14:textId="77777777" w:rsidR="00775369" w:rsidRPr="00062C46" w:rsidRDefault="00775369" w:rsidP="00775369">
      <w:r w:rsidRPr="00062C46">
        <w:t xml:space="preserve">Burnout emerged as significantly influenced by work arrangement, with remote employees reporting the highest levels of strain, hybrid workers occupying a middle ground, and onsite </w:t>
      </w:r>
      <w:r w:rsidRPr="00062C46">
        <w:lastRenderedPageBreak/>
        <w:t>employees experiencing the lowest levels. This confirms that work design matters deeply and underscores the need for organizations to invest in supportive structures for remote employees, such as ergonomic resources and intentional social connections. In contrast, the number of hours worked per week was not associated with perceived work-life balance, suggesting that context, autonomy, and after-hours expectations are more critical than raw workload.</w:t>
      </w:r>
    </w:p>
    <w:p w14:paraId="78D09672" w14:textId="77777777" w:rsidR="00775369" w:rsidRPr="00062C46" w:rsidRDefault="00775369" w:rsidP="00775369">
      <w:r w:rsidRPr="00062C46">
        <w:t>Contrary to expectations, burnout and social isolation did not predict reported mental health conditions, highlighting a gap between diagnosed conditions and lived distress. This reinforces the importance of moving beyond binary diagnostic categories and implementing proactive measures to identify strain before it evolves into clinical issues. Additionally, while gender did not influence work-life balance, regional differences were significant, revealing that structural and cultural contexts strongly shape employee experiences. This points to the need for tailored organizational strategies that account for global variability rather than relying on uniform policies.</w:t>
      </w:r>
    </w:p>
    <w:p w14:paraId="75288288" w14:textId="77777777" w:rsidR="00775369" w:rsidRPr="00062C46" w:rsidRDefault="00775369" w:rsidP="00775369">
      <w:r w:rsidRPr="00062C46">
        <w:t>Taken together, the results emphasize that employee well-being is shaped less by individual characteristics or workload alone and more by systemic and contextual factors—how work is arranged, how much autonomy is provided, and the cultural-policy environment in which employees operate. For organizations, the study offers practical guidance: invest in intentional hybrid models, strengthen wellness resources, adapt interventions to regional contexts, and measure employee health comprehensively rather than relying solely on diagnostic or HR-reported outcomes.</w:t>
      </w:r>
    </w:p>
    <w:p w14:paraId="2E2483A2" w14:textId="77777777" w:rsidR="00775369" w:rsidRPr="00062C46" w:rsidRDefault="00775369" w:rsidP="00775369">
      <w:r w:rsidRPr="00062C46">
        <w:t>The project also acknowledges limitations, including reliance on self-reported data, cross-sectional design, and simplified measures of complex phenomena such as mental health. These constraints underscore the need for future research to employ longitudinal designs, refined measurement instruments, and contextual variables such as organizational culture and policy frameworks.</w:t>
      </w:r>
    </w:p>
    <w:p w14:paraId="49DAAACD" w14:textId="77777777" w:rsidR="00775369" w:rsidRPr="00062C46" w:rsidRDefault="00775369" w:rsidP="00775369">
      <w:r w:rsidRPr="00062C46">
        <w:t>In conclusion, this study contributes to both scholarly discourse and organizational practice by clarifying which factors matter most for sustaining well-being in the new era of work. It affirms that remote and hybrid work are not inherently harmful or beneficial, but their impacts depend on the quality of design, support, and context. By translating data-driven insights into actionable strategies, organizations can move beyond reactive approaches and build healthier, more sustainable workplaces for the digital future.</w:t>
      </w:r>
    </w:p>
    <w:p w14:paraId="64D76937" w14:textId="77777777" w:rsidR="00775369" w:rsidRPr="00D731CB" w:rsidRDefault="00775369" w:rsidP="00775369"/>
    <w:p w14:paraId="23159C82" w14:textId="77777777" w:rsidR="00775369" w:rsidRPr="005C364D" w:rsidRDefault="00775369" w:rsidP="00A72438"/>
    <w:p w14:paraId="1270143D" w14:textId="77777777" w:rsidR="00A72438" w:rsidRPr="00237C6A" w:rsidRDefault="00A72438" w:rsidP="00A72438"/>
    <w:p w14:paraId="4D113814" w14:textId="77777777" w:rsidR="00C810CA" w:rsidRPr="00C810CA" w:rsidRDefault="00C810CA" w:rsidP="00C810CA">
      <w:pPr>
        <w:pStyle w:val="Heading3"/>
      </w:pPr>
      <w:bookmarkStart w:id="61" w:name="_Toc207541183"/>
      <w:r w:rsidRPr="00C810CA">
        <w:lastRenderedPageBreak/>
        <w:t>Recommendations</w:t>
      </w:r>
      <w:bookmarkEnd w:id="61"/>
    </w:p>
    <w:p w14:paraId="28A12C29" w14:textId="77777777" w:rsidR="00C810CA" w:rsidRPr="00C810CA" w:rsidRDefault="00C810CA" w:rsidP="00C810CA">
      <w:pPr>
        <w:pStyle w:val="Heading5"/>
      </w:pPr>
      <w:r w:rsidRPr="00C810CA">
        <w:t>1. Redesign Remote and Hybrid Work Structures</w:t>
      </w:r>
    </w:p>
    <w:p w14:paraId="4A27F304" w14:textId="77777777" w:rsidR="00C810CA" w:rsidRPr="00C810CA" w:rsidRDefault="00C810CA" w:rsidP="00C810CA">
      <w:r w:rsidRPr="00C810CA">
        <w:t>The evidence that remote employees experience significantly higher burnout than hybrid or onsite employees suggests that work design itself is a critical factor in employee well-being. Organizations should:</w:t>
      </w:r>
    </w:p>
    <w:p w14:paraId="79A2BD49" w14:textId="77777777" w:rsidR="00C810CA" w:rsidRPr="00C810CA" w:rsidRDefault="00C810CA" w:rsidP="00C810CA">
      <w:pPr>
        <w:numPr>
          <w:ilvl w:val="0"/>
          <w:numId w:val="22"/>
        </w:numPr>
      </w:pPr>
      <w:r w:rsidRPr="00C810CA">
        <w:t>Adopt intentional hybrid models that balance flexibility with opportunities for social interaction and collaboration.</w:t>
      </w:r>
    </w:p>
    <w:p w14:paraId="73449BBE" w14:textId="77777777" w:rsidR="00C810CA" w:rsidRPr="00C810CA" w:rsidRDefault="00C810CA" w:rsidP="00C810CA">
      <w:pPr>
        <w:numPr>
          <w:ilvl w:val="0"/>
          <w:numId w:val="22"/>
        </w:numPr>
      </w:pPr>
      <w:r w:rsidRPr="00C810CA">
        <w:t>Invest in ergonomic support by providing stipends, equipment, or training for healthy home-office setups.</w:t>
      </w:r>
    </w:p>
    <w:p w14:paraId="6BA8BEFD" w14:textId="6671E6D8" w:rsidR="00C810CA" w:rsidRPr="00C810CA" w:rsidRDefault="00C810CA" w:rsidP="00C810CA">
      <w:pPr>
        <w:numPr>
          <w:ilvl w:val="0"/>
          <w:numId w:val="22"/>
        </w:numPr>
      </w:pPr>
      <w:r w:rsidRPr="00C810CA">
        <w:t>Establish clear boundaries around work hours and after-hours communication to reduce “always on” culture that contributes to burnout.</w:t>
      </w:r>
    </w:p>
    <w:p w14:paraId="43B3ED57" w14:textId="77777777" w:rsidR="00C810CA" w:rsidRPr="00C810CA" w:rsidRDefault="00C810CA" w:rsidP="00C810CA">
      <w:pPr>
        <w:pStyle w:val="Heading5"/>
      </w:pPr>
      <w:r w:rsidRPr="00C810CA">
        <w:t>2. Move Beyond Hours as the Sole Measure of Workload</w:t>
      </w:r>
    </w:p>
    <w:p w14:paraId="68A4FF24" w14:textId="77777777" w:rsidR="00C810CA" w:rsidRPr="00C810CA" w:rsidRDefault="00C810CA" w:rsidP="00C810CA">
      <w:r w:rsidRPr="00C810CA">
        <w:t>The study found no significant relationship between hours worked per week and work-life balance, indicating that the structure and flexibility of hours matter more than the raw number. Organizations should:</w:t>
      </w:r>
    </w:p>
    <w:p w14:paraId="1CDCEE6F" w14:textId="77777777" w:rsidR="00C810CA" w:rsidRPr="00C810CA" w:rsidRDefault="00C810CA" w:rsidP="00C810CA">
      <w:pPr>
        <w:numPr>
          <w:ilvl w:val="0"/>
          <w:numId w:val="23"/>
        </w:numPr>
      </w:pPr>
      <w:r w:rsidRPr="00C810CA">
        <w:t>Provide greater autonomy in scheduling, allowing employees to align work with personal responsibilities.</w:t>
      </w:r>
    </w:p>
    <w:p w14:paraId="62B3D072" w14:textId="77777777" w:rsidR="00C810CA" w:rsidRPr="00C810CA" w:rsidRDefault="00C810CA" w:rsidP="00C810CA">
      <w:pPr>
        <w:numPr>
          <w:ilvl w:val="0"/>
          <w:numId w:val="23"/>
        </w:numPr>
      </w:pPr>
      <w:r w:rsidRPr="00C810CA">
        <w:t>Monitor and reduce work fragmentation (frequent context switching and interruptions) that erodes balance even within standard hours.</w:t>
      </w:r>
    </w:p>
    <w:p w14:paraId="56768F0D" w14:textId="1605013D" w:rsidR="00C810CA" w:rsidRPr="00C810CA" w:rsidRDefault="00C810CA" w:rsidP="00C810CA">
      <w:pPr>
        <w:numPr>
          <w:ilvl w:val="0"/>
          <w:numId w:val="23"/>
        </w:numPr>
      </w:pPr>
      <w:r w:rsidRPr="00C810CA">
        <w:t>Emphasize quality of work time (task clarity, support, and workflow design) rather than quantity alone.</w:t>
      </w:r>
    </w:p>
    <w:p w14:paraId="1D5ACB2E" w14:textId="77777777" w:rsidR="00C810CA" w:rsidRPr="00C810CA" w:rsidRDefault="00C810CA" w:rsidP="00C810CA">
      <w:pPr>
        <w:pStyle w:val="Heading5"/>
      </w:pPr>
      <w:r w:rsidRPr="00C810CA">
        <w:t>3</w:t>
      </w:r>
      <w:proofErr w:type="gramStart"/>
      <w:r w:rsidRPr="00C810CA">
        <w:t>. Implement</w:t>
      </w:r>
      <w:proofErr w:type="gramEnd"/>
      <w:r w:rsidRPr="00C810CA">
        <w:t xml:space="preserve"> Proactive Mental Health Monitoring</w:t>
      </w:r>
    </w:p>
    <w:p w14:paraId="3F3154F0" w14:textId="77777777" w:rsidR="00C810CA" w:rsidRPr="00C810CA" w:rsidRDefault="00C810CA" w:rsidP="00C810CA">
      <w:r w:rsidRPr="00C810CA">
        <w:t>Although burnout and isolation did not statistically predict diagnosed mental health conditions, this likely reflects underreporting and measurement gaps. Organizations should:</w:t>
      </w:r>
    </w:p>
    <w:p w14:paraId="629461FD" w14:textId="77777777" w:rsidR="00C810CA" w:rsidRPr="00C810CA" w:rsidRDefault="00C810CA" w:rsidP="00C810CA">
      <w:pPr>
        <w:numPr>
          <w:ilvl w:val="0"/>
          <w:numId w:val="24"/>
        </w:numPr>
      </w:pPr>
      <w:r w:rsidRPr="00C810CA">
        <w:t>Use anonymous well-being surveys that measure stress, fatigue, and balance more directly than medical diagnoses.</w:t>
      </w:r>
    </w:p>
    <w:p w14:paraId="718008D7" w14:textId="77777777" w:rsidR="00C810CA" w:rsidRPr="00C810CA" w:rsidRDefault="00C810CA" w:rsidP="00C810CA">
      <w:pPr>
        <w:numPr>
          <w:ilvl w:val="0"/>
          <w:numId w:val="24"/>
        </w:numPr>
      </w:pPr>
      <w:r w:rsidRPr="00C810CA">
        <w:t>Train managers to recognize early warning signs of strain and provide pathways for confidential support.</w:t>
      </w:r>
    </w:p>
    <w:p w14:paraId="48D78FF7" w14:textId="531262B2" w:rsidR="00C810CA" w:rsidRPr="00C810CA" w:rsidRDefault="00C810CA" w:rsidP="00C810CA">
      <w:pPr>
        <w:numPr>
          <w:ilvl w:val="0"/>
          <w:numId w:val="24"/>
        </w:numPr>
      </w:pPr>
      <w:r w:rsidRPr="00C810CA">
        <w:t>Normalize mental health discussions through awareness campaigns that reduce stigma and encourage help-seeking.</w:t>
      </w:r>
    </w:p>
    <w:p w14:paraId="10BAD4FE" w14:textId="77777777" w:rsidR="00C810CA" w:rsidRPr="00C810CA" w:rsidRDefault="00C810CA" w:rsidP="00C810CA">
      <w:pPr>
        <w:pStyle w:val="Heading5"/>
      </w:pPr>
      <w:r w:rsidRPr="00C810CA">
        <w:lastRenderedPageBreak/>
        <w:t>4. Tailor Policies to Regional Contexts</w:t>
      </w:r>
    </w:p>
    <w:p w14:paraId="6A89DB14" w14:textId="77777777" w:rsidR="00C810CA" w:rsidRPr="00C810CA" w:rsidRDefault="00C810CA" w:rsidP="00C810CA">
      <w:r w:rsidRPr="00C810CA">
        <w:t>The finding that work-life balance differs significantly across regions highlights the importance of context-sensitive interventions. Global organizations should:</w:t>
      </w:r>
    </w:p>
    <w:p w14:paraId="45A6810E" w14:textId="77777777" w:rsidR="00C810CA" w:rsidRPr="00C810CA" w:rsidRDefault="00C810CA" w:rsidP="00C810CA">
      <w:pPr>
        <w:numPr>
          <w:ilvl w:val="0"/>
          <w:numId w:val="25"/>
        </w:numPr>
      </w:pPr>
      <w:r w:rsidRPr="00C810CA">
        <w:t>Adapt wellness initiatives to local labor protections and cultural norms, rather than applying uniform policies.</w:t>
      </w:r>
    </w:p>
    <w:p w14:paraId="1FB1DA6B" w14:textId="77777777" w:rsidR="00C810CA" w:rsidRPr="00C810CA" w:rsidRDefault="00C810CA" w:rsidP="00C810CA">
      <w:pPr>
        <w:numPr>
          <w:ilvl w:val="0"/>
          <w:numId w:val="25"/>
        </w:numPr>
      </w:pPr>
      <w:r w:rsidRPr="00C810CA">
        <w:t xml:space="preserve">Provide region-specific </w:t>
      </w:r>
      <w:proofErr w:type="gramStart"/>
      <w:r w:rsidRPr="00C810CA">
        <w:t>supports</w:t>
      </w:r>
      <w:proofErr w:type="gramEnd"/>
      <w:r w:rsidRPr="00C810CA">
        <w:t>, such as childcare subsidies in areas with weak public systems or stricter after-hours boundaries in cultures where long workdays are normalized.</w:t>
      </w:r>
    </w:p>
    <w:p w14:paraId="1047AFA7" w14:textId="20B767DF" w:rsidR="00C810CA" w:rsidRPr="00C810CA" w:rsidRDefault="00C810CA" w:rsidP="00C810CA">
      <w:pPr>
        <w:numPr>
          <w:ilvl w:val="0"/>
          <w:numId w:val="25"/>
        </w:numPr>
      </w:pPr>
      <w:r w:rsidRPr="00C810CA">
        <w:t xml:space="preserve">Collaborate with local HR teams to design programs that resonate with </w:t>
      </w:r>
      <w:proofErr w:type="gramStart"/>
      <w:r w:rsidRPr="00C810CA">
        <w:t>employees’</w:t>
      </w:r>
      <w:proofErr w:type="gramEnd"/>
      <w:r w:rsidRPr="00C810CA">
        <w:t xml:space="preserve"> lived realities.</w:t>
      </w:r>
    </w:p>
    <w:p w14:paraId="292A4F9E" w14:textId="77777777" w:rsidR="00C810CA" w:rsidRPr="00C810CA" w:rsidRDefault="00C810CA" w:rsidP="00C810CA">
      <w:pPr>
        <w:pStyle w:val="Heading5"/>
      </w:pPr>
      <w:r w:rsidRPr="00C810CA">
        <w:t>5. Expand Data Collection and Measurement</w:t>
      </w:r>
    </w:p>
    <w:p w14:paraId="573D31D8" w14:textId="77777777" w:rsidR="00C810CA" w:rsidRPr="00C810CA" w:rsidRDefault="00C810CA" w:rsidP="00C810CA">
      <w:r w:rsidRPr="00C810CA">
        <w:t xml:space="preserve">Limitations in the </w:t>
      </w:r>
      <w:proofErr w:type="gramStart"/>
      <w:r w:rsidRPr="00C810CA">
        <w:t>dataset—</w:t>
      </w:r>
      <w:proofErr w:type="gramEnd"/>
      <w:r w:rsidRPr="00C810CA">
        <w:t>such as binary coding of mental health conditions and lack of longitudinal data—indicate that organizations need better measurement tools to track employee well-being. Recommended steps include:</w:t>
      </w:r>
    </w:p>
    <w:p w14:paraId="61AE1651" w14:textId="77777777" w:rsidR="00C810CA" w:rsidRPr="00C810CA" w:rsidRDefault="00C810CA" w:rsidP="00C810CA">
      <w:pPr>
        <w:numPr>
          <w:ilvl w:val="0"/>
          <w:numId w:val="26"/>
        </w:numPr>
      </w:pPr>
      <w:r w:rsidRPr="00C810CA">
        <w:t>Collecting multi-item scales (e.g., burnout inventories, stress and resilience scales) for richer insights.</w:t>
      </w:r>
    </w:p>
    <w:p w14:paraId="6E9AFC03" w14:textId="77777777" w:rsidR="00C810CA" w:rsidRPr="00C810CA" w:rsidRDefault="00C810CA" w:rsidP="00C810CA">
      <w:pPr>
        <w:numPr>
          <w:ilvl w:val="0"/>
          <w:numId w:val="26"/>
        </w:numPr>
      </w:pPr>
      <w:r w:rsidRPr="00C810CA">
        <w:t>Incorporating longitudinal tracking to see how burnout and balance evolve over time rather than capturing one-time snapshots.</w:t>
      </w:r>
    </w:p>
    <w:p w14:paraId="33812C2C" w14:textId="55F3E205" w:rsidR="00C810CA" w:rsidRPr="00C810CA" w:rsidRDefault="00C810CA" w:rsidP="00C810CA">
      <w:pPr>
        <w:numPr>
          <w:ilvl w:val="0"/>
          <w:numId w:val="26"/>
        </w:numPr>
      </w:pPr>
      <w:r w:rsidRPr="00C810CA">
        <w:t>Using composite indices (e.g., combining isolation, burnout, and WLB scores) to provide early indicators of risk.</w:t>
      </w:r>
    </w:p>
    <w:p w14:paraId="7D8865F4" w14:textId="77777777" w:rsidR="00C810CA" w:rsidRPr="00C810CA" w:rsidRDefault="00C810CA" w:rsidP="00C810CA">
      <w:pPr>
        <w:pStyle w:val="Heading5"/>
      </w:pPr>
      <w:r w:rsidRPr="00C810CA">
        <w:t>6. Promote Ethical and Responsible Use of Data</w:t>
      </w:r>
    </w:p>
    <w:p w14:paraId="74BC36E7" w14:textId="77777777" w:rsidR="00C810CA" w:rsidRPr="00C810CA" w:rsidRDefault="00C810CA" w:rsidP="00C810CA">
      <w:r w:rsidRPr="00C810CA">
        <w:t>Finally, organizations must use data responsibly to avoid stigmatization or misuse. Recommendations include:</w:t>
      </w:r>
    </w:p>
    <w:p w14:paraId="73932018" w14:textId="77777777" w:rsidR="00C810CA" w:rsidRPr="00C810CA" w:rsidRDefault="00C810CA" w:rsidP="00C810CA">
      <w:pPr>
        <w:numPr>
          <w:ilvl w:val="0"/>
          <w:numId w:val="27"/>
        </w:numPr>
      </w:pPr>
      <w:r w:rsidRPr="00C810CA">
        <w:t>Reporting findings in aggregate to avoid stereotyping specific groups or regions.</w:t>
      </w:r>
    </w:p>
    <w:p w14:paraId="6E433360" w14:textId="77777777" w:rsidR="00C810CA" w:rsidRPr="00C810CA" w:rsidRDefault="00C810CA" w:rsidP="00C810CA">
      <w:pPr>
        <w:numPr>
          <w:ilvl w:val="0"/>
          <w:numId w:val="27"/>
        </w:numPr>
      </w:pPr>
      <w:r w:rsidRPr="00C810CA">
        <w:t xml:space="preserve">Framing results </w:t>
      </w:r>
      <w:proofErr w:type="gramStart"/>
      <w:r w:rsidRPr="00C810CA">
        <w:t>as</w:t>
      </w:r>
      <w:proofErr w:type="gramEnd"/>
      <w:r w:rsidRPr="00C810CA">
        <w:t xml:space="preserve"> opportunities for support, not as deficits of employees.</w:t>
      </w:r>
    </w:p>
    <w:p w14:paraId="3D5EBE35" w14:textId="2B58E9B2" w:rsidR="00C810CA" w:rsidRPr="00C810CA" w:rsidRDefault="00C810CA" w:rsidP="00C810CA">
      <w:pPr>
        <w:numPr>
          <w:ilvl w:val="0"/>
          <w:numId w:val="27"/>
        </w:numPr>
      </w:pPr>
      <w:r w:rsidRPr="00C810CA">
        <w:t>Ensuring transparency and accountability in how wellness data is collected, analyzed, and applied in decision-making.</w:t>
      </w:r>
    </w:p>
    <w:p w14:paraId="76B3D2F7" w14:textId="77777777" w:rsidR="00C810CA" w:rsidRPr="00C810CA" w:rsidRDefault="00C810CA" w:rsidP="00C810CA">
      <w:pPr>
        <w:pStyle w:val="Heading5"/>
      </w:pPr>
      <w:r w:rsidRPr="00C810CA">
        <w:t>Summary of Recommendations</w:t>
      </w:r>
    </w:p>
    <w:p w14:paraId="6BB13428" w14:textId="77777777" w:rsidR="00C810CA" w:rsidRPr="00C810CA" w:rsidRDefault="00C810CA" w:rsidP="00C810CA">
      <w:r w:rsidRPr="00C810CA">
        <w:t xml:space="preserve">In conclusion, the project underscores that sustainable remote and hybrid work requires intentional design, proactive monitoring, and contextual adaptation. Organizations should focus on quality of work design, not just hours; measure distress comprehensively beyond clinical diagnoses; and recognize the importance of regional and cultural variability. By </w:t>
      </w:r>
      <w:r w:rsidRPr="00C810CA">
        <w:lastRenderedPageBreak/>
        <w:t>implementing these recommendations, employers can reduce burnout, enhance work-life balance, and create healthier, more equitable workplaces in the evolving landscape of digital work.</w:t>
      </w:r>
    </w:p>
    <w:p w14:paraId="70C51111" w14:textId="77777777" w:rsidR="00A72438" w:rsidRPr="00237C6A" w:rsidRDefault="00A72438" w:rsidP="00A72438"/>
    <w:p w14:paraId="053B4EE5" w14:textId="77777777" w:rsidR="008D4C20" w:rsidRDefault="008D4C20">
      <w:r>
        <w:br w:type="page"/>
      </w:r>
    </w:p>
    <w:bookmarkStart w:id="62" w:name="_Toc207541184" w:displacedByCustomXml="next"/>
    <w:sdt>
      <w:sdtPr>
        <w:rPr>
          <w:rFonts w:asciiTheme="minorHAnsi" w:eastAsiaTheme="minorHAnsi" w:hAnsiTheme="minorHAnsi" w:cstheme="minorBidi"/>
          <w:color w:val="auto"/>
          <w:sz w:val="24"/>
          <w:szCs w:val="24"/>
        </w:rPr>
        <w:id w:val="2098515361"/>
        <w:docPartObj>
          <w:docPartGallery w:val="Bibliographies"/>
          <w:docPartUnique/>
        </w:docPartObj>
      </w:sdtPr>
      <w:sdtEndPr/>
      <w:sdtContent>
        <w:p w14:paraId="79CA4FE1" w14:textId="77777777" w:rsidR="00192A5B" w:rsidRDefault="00192A5B" w:rsidP="00192A5B">
          <w:pPr>
            <w:pStyle w:val="Heading1"/>
          </w:pPr>
          <w:r>
            <w:t>References</w:t>
          </w:r>
          <w:bookmarkEnd w:id="62"/>
        </w:p>
        <w:sdt>
          <w:sdtPr>
            <w:id w:val="-573587230"/>
            <w:bibliography/>
          </w:sdtPr>
          <w:sdtEndPr/>
          <w:sdtContent>
            <w:p w14:paraId="7E0C1246" w14:textId="77777777" w:rsidR="00643526" w:rsidRDefault="00192A5B" w:rsidP="00643526">
              <w:pPr>
                <w:pStyle w:val="Bibliography"/>
                <w:ind w:left="720" w:hanging="720"/>
                <w:rPr>
                  <w:noProof/>
                  <w:kern w:val="0"/>
                  <w14:ligatures w14:val="none"/>
                </w:rPr>
              </w:pPr>
              <w:r>
                <w:fldChar w:fldCharType="begin"/>
              </w:r>
              <w:r>
                <w:instrText xml:space="preserve"> BIBLIOGRAPHY </w:instrText>
              </w:r>
              <w:r>
                <w:fldChar w:fldCharType="separate"/>
              </w:r>
              <w:r w:rsidR="00643526">
                <w:rPr>
                  <w:noProof/>
                </w:rPr>
                <w:t xml:space="preserve">Afghanalmalik. (2023, November 1). </w:t>
              </w:r>
              <w:r w:rsidR="00643526">
                <w:rPr>
                  <w:i/>
                  <w:iCs/>
                  <w:noProof/>
                </w:rPr>
                <w:t>Descriptive Statistics Analysis: The Key to Business Intelligence</w:t>
              </w:r>
              <w:r w:rsidR="00643526">
                <w:rPr>
                  <w:noProof/>
                </w:rPr>
                <w:t>. Retrieved from Medium: https://medium.com/@afghanalmalik2404/descriptive-statistics-analysis-the-key-to-business-intelligence-010b6a270510</w:t>
              </w:r>
            </w:p>
            <w:p w14:paraId="3025FF04" w14:textId="77777777" w:rsidR="00643526" w:rsidRDefault="00643526" w:rsidP="00643526">
              <w:pPr>
                <w:pStyle w:val="Bibliography"/>
                <w:ind w:left="720" w:hanging="720"/>
                <w:rPr>
                  <w:noProof/>
                </w:rPr>
              </w:pPr>
              <w:r>
                <w:rPr>
                  <w:noProof/>
                </w:rPr>
                <w:t xml:space="preserve">Bartel, C. A. (2012). Knowing where you stand: Physical isolation, perceived respect, and organizational identification among virtual employees. </w:t>
              </w:r>
              <w:r>
                <w:rPr>
                  <w:i/>
                  <w:iCs/>
                  <w:noProof/>
                </w:rPr>
                <w:t>Organization Science, 23(3)</w:t>
              </w:r>
              <w:r>
                <w:rPr>
                  <w:noProof/>
                </w:rPr>
                <w:t>, 743–757.</w:t>
              </w:r>
            </w:p>
            <w:p w14:paraId="3CB51265" w14:textId="77777777" w:rsidR="00643526" w:rsidRDefault="00643526" w:rsidP="00643526">
              <w:pPr>
                <w:pStyle w:val="Bibliography"/>
                <w:ind w:left="720" w:hanging="720"/>
                <w:rPr>
                  <w:noProof/>
                </w:rPr>
              </w:pPr>
              <w:r>
                <w:rPr>
                  <w:noProof/>
                </w:rPr>
                <w:t xml:space="preserve">Beers, B. (2024, March 05). </w:t>
              </w:r>
              <w:r>
                <w:rPr>
                  <w:i/>
                  <w:iCs/>
                  <w:noProof/>
                </w:rPr>
                <w:t>P-Value: What it is, How to Calculate it, and Why it Matters</w:t>
              </w:r>
              <w:r>
                <w:rPr>
                  <w:noProof/>
                </w:rPr>
                <w:t>. Retrieved from Investopedia: https://www.investopedia.com/terms/p/p-value.asp#:~:text=A%20p%2Dvalue%20measures%20the,is%20generally%20considered%20statistically%20significant.</w:t>
              </w:r>
            </w:p>
            <w:p w14:paraId="098F93A6" w14:textId="77777777" w:rsidR="00643526" w:rsidRDefault="00643526" w:rsidP="00643526">
              <w:pPr>
                <w:pStyle w:val="Bibliography"/>
                <w:ind w:left="720" w:hanging="720"/>
                <w:rPr>
                  <w:noProof/>
                </w:rPr>
              </w:pPr>
              <w:r>
                <w:rPr>
                  <w:noProof/>
                </w:rPr>
                <w:t xml:space="preserve">Bloom, N., Liang, J., Roberts, J., &amp; Ying, Z. J. (2015, February). Does Working from Home Work? Evidence from a Chinese Experiment. </w:t>
              </w:r>
              <w:r>
                <w:rPr>
                  <w:i/>
                  <w:iCs/>
                  <w:noProof/>
                </w:rPr>
                <w:t>The Quarterly Journal of Economics</w:t>
              </w:r>
              <w:r>
                <w:rPr>
                  <w:noProof/>
                </w:rPr>
                <w:t>, 165-218. Retrieved from The Quarterly Journal of Economics.</w:t>
              </w:r>
            </w:p>
            <w:p w14:paraId="641FEA72" w14:textId="77777777" w:rsidR="00643526" w:rsidRDefault="00643526" w:rsidP="00643526">
              <w:pPr>
                <w:pStyle w:val="Bibliography"/>
                <w:ind w:left="720" w:hanging="720"/>
                <w:rPr>
                  <w:noProof/>
                </w:rPr>
              </w:pPr>
              <w:r>
                <w:rPr>
                  <w:noProof/>
                </w:rPr>
                <w:t xml:space="preserve">Felstead, A. a. (2020). </w:t>
              </w:r>
              <w:r>
                <w:rPr>
                  <w:i/>
                  <w:iCs/>
                  <w:noProof/>
                </w:rPr>
                <w:t>Homeworking in the UK: before and.</w:t>
              </w:r>
              <w:r>
                <w:rPr>
                  <w:noProof/>
                </w:rPr>
                <w:t xml:space="preserve"> Cardiff: Wales Institute of Social and Economic: WISERD Report.</w:t>
              </w:r>
            </w:p>
            <w:p w14:paraId="3771F886" w14:textId="77777777" w:rsidR="00643526" w:rsidRDefault="00643526" w:rsidP="00643526">
              <w:pPr>
                <w:pStyle w:val="Bibliography"/>
                <w:ind w:left="720" w:hanging="720"/>
                <w:rPr>
                  <w:noProof/>
                </w:rPr>
              </w:pPr>
              <w:r>
                <w:rPr>
                  <w:noProof/>
                </w:rPr>
                <w:t xml:space="preserve">Hayes, A. (2022, January 10). </w:t>
              </w:r>
              <w:r>
                <w:rPr>
                  <w:i/>
                  <w:iCs/>
                  <w:noProof/>
                </w:rPr>
                <w:t>Stepwise Regression: Definition, Uses, Example, and Limitations</w:t>
              </w:r>
              <w:r>
                <w:rPr>
                  <w:noProof/>
                </w:rPr>
                <w:t>. Retrieved from Investopedia: https://www.investopedia.com/terms/s/stepwise-regression.asp</w:t>
              </w:r>
            </w:p>
            <w:p w14:paraId="2A57EFBE" w14:textId="77777777" w:rsidR="00643526" w:rsidRDefault="00643526" w:rsidP="00643526">
              <w:pPr>
                <w:pStyle w:val="Bibliography"/>
                <w:ind w:left="720" w:hanging="720"/>
                <w:rPr>
                  <w:noProof/>
                </w:rPr>
              </w:pPr>
              <w:r>
                <w:rPr>
                  <w:noProof/>
                </w:rPr>
                <w:t xml:space="preserve">Holms, A., Illowsky, B., &amp; Dean, S. (2025). Descriptive Statistics. In A. Holms, B. Illowsky, &amp; S. Dean, </w:t>
              </w:r>
              <w:r>
                <w:rPr>
                  <w:i/>
                  <w:iCs/>
                  <w:noProof/>
                </w:rPr>
                <w:t>Introductory Business Statistics</w:t>
              </w:r>
              <w:r>
                <w:rPr>
                  <w:noProof/>
                </w:rPr>
                <w:t xml:space="preserve"> (p. N.a.). N.a.: OpenStax.</w:t>
              </w:r>
            </w:p>
            <w:p w14:paraId="0A95154F" w14:textId="77777777" w:rsidR="00643526" w:rsidRDefault="00643526" w:rsidP="00643526">
              <w:pPr>
                <w:pStyle w:val="Bibliography"/>
                <w:ind w:left="720" w:hanging="720"/>
                <w:rPr>
                  <w:noProof/>
                </w:rPr>
              </w:pPr>
              <w:r>
                <w:rPr>
                  <w:noProof/>
                </w:rPr>
                <w:t xml:space="preserve">Kenton, W. (2024, August 09). </w:t>
              </w:r>
              <w:r>
                <w:rPr>
                  <w:i/>
                  <w:iCs/>
                  <w:noProof/>
                </w:rPr>
                <w:t>Standard Error (SE) Definition: Standard Deviation in Statistics Explained</w:t>
              </w:r>
              <w:r>
                <w:rPr>
                  <w:noProof/>
                </w:rPr>
                <w:t>. Retrieved from Investopedia: https://www.investopedia.com/terms/s/standard-error.asp</w:t>
              </w:r>
            </w:p>
            <w:p w14:paraId="145F1D8A" w14:textId="77777777" w:rsidR="00643526" w:rsidRDefault="00643526" w:rsidP="00643526">
              <w:pPr>
                <w:pStyle w:val="Bibliography"/>
                <w:ind w:left="720" w:hanging="720"/>
                <w:rPr>
                  <w:noProof/>
                </w:rPr>
              </w:pPr>
              <w:r>
                <w:rPr>
                  <w:noProof/>
                </w:rPr>
                <w:t xml:space="preserve">Oakman, J., Kinsman, N., Stuckery, R., Graham, M., &amp; Weale, V. (2020, November 30). </w:t>
              </w:r>
              <w:r>
                <w:rPr>
                  <w:i/>
                  <w:iCs/>
                  <w:noProof/>
                </w:rPr>
                <w:t>A rapid review of mental and physical health effects of working at home: how do we optimise health?</w:t>
              </w:r>
              <w:r>
                <w:rPr>
                  <w:noProof/>
                </w:rPr>
                <w:t xml:space="preserve"> Retrieved from BMC Public Health: https://bmcpublichealth.biomedcentral.com/articles/10.1186/s12889-020-09875-z</w:t>
              </w:r>
            </w:p>
            <w:p w14:paraId="1FFD068F" w14:textId="77777777" w:rsidR="00643526" w:rsidRDefault="00643526" w:rsidP="00643526">
              <w:pPr>
                <w:pStyle w:val="Bibliography"/>
                <w:ind w:left="720" w:hanging="720"/>
                <w:rPr>
                  <w:noProof/>
                </w:rPr>
              </w:pPr>
              <w:r>
                <w:rPr>
                  <w:noProof/>
                </w:rPr>
                <w:t xml:space="preserve">Shmueli, G., Bruce, P. C., Yahav, I., Patel, N. R., &amp; Jr, L. (2017). The Logistic Regression Model. In </w:t>
              </w:r>
              <w:r>
                <w:rPr>
                  <w:i/>
                  <w:iCs/>
                  <w:noProof/>
                </w:rPr>
                <w:t>Data Mining for Business Analytics</w:t>
              </w:r>
              <w:r>
                <w:rPr>
                  <w:noProof/>
                </w:rPr>
                <w:t xml:space="preserve"> (pp. 239-240). Wiley.</w:t>
              </w:r>
            </w:p>
            <w:p w14:paraId="48F1641B" w14:textId="77777777" w:rsidR="00643526" w:rsidRDefault="00643526" w:rsidP="00643526">
              <w:pPr>
                <w:pStyle w:val="Bibliography"/>
                <w:ind w:left="720" w:hanging="720"/>
                <w:rPr>
                  <w:noProof/>
                </w:rPr>
              </w:pPr>
              <w:r>
                <w:rPr>
                  <w:noProof/>
                </w:rPr>
                <w:lastRenderedPageBreak/>
                <w:t xml:space="preserve">Shmueli, G., Bruce, P. C., Yahav, I., Patel, N. R., &amp; Lichtendahl Jr. (2017). Example of Complete Analysis: Predicting Delayed Flights. In </w:t>
              </w:r>
              <w:r>
                <w:rPr>
                  <w:i/>
                  <w:iCs/>
                  <w:noProof/>
                </w:rPr>
                <w:t>Data Mining for Business Analytics</w:t>
              </w:r>
              <w:r>
                <w:rPr>
                  <w:noProof/>
                </w:rPr>
                <w:t xml:space="preserve"> (pp. 248-257). Wiley.</w:t>
              </w:r>
            </w:p>
            <w:p w14:paraId="6F9A3693" w14:textId="77777777" w:rsidR="00643526" w:rsidRDefault="00643526" w:rsidP="00643526">
              <w:pPr>
                <w:pStyle w:val="Bibliography"/>
                <w:ind w:left="720" w:hanging="720"/>
                <w:rPr>
                  <w:noProof/>
                </w:rPr>
              </w:pPr>
              <w:r>
                <w:rPr>
                  <w:noProof/>
                </w:rPr>
                <w:t xml:space="preserve">Tallahasse State College. (2024, 3 11). </w:t>
              </w:r>
              <w:r>
                <w:rPr>
                  <w:i/>
                  <w:iCs/>
                  <w:noProof/>
                </w:rPr>
                <w:t>The Null and the Alternative Hypotheses.</w:t>
              </w:r>
              <w:r>
                <w:rPr>
                  <w:noProof/>
                </w:rPr>
                <w:t xml:space="preserve"> Retrieved from Tallahasse State College: https://www.tsc.fl.edu/media/divisions/learning-commons/resources-by-subject/math/statistics/The-Null-and-the-Alternative-Hypotheses.pdf</w:t>
              </w:r>
            </w:p>
            <w:p w14:paraId="0A2C8C48" w14:textId="77777777" w:rsidR="00643526" w:rsidRDefault="00643526" w:rsidP="00643526">
              <w:pPr>
                <w:pStyle w:val="Bibliography"/>
                <w:ind w:left="720" w:hanging="720"/>
                <w:rPr>
                  <w:noProof/>
                </w:rPr>
              </w:pPr>
              <w:r>
                <w:rPr>
                  <w:noProof/>
                </w:rPr>
                <w:t xml:space="preserve">Turney, S. (2023, June 21). </w:t>
              </w:r>
              <w:r>
                <w:rPr>
                  <w:i/>
                  <w:iCs/>
                  <w:noProof/>
                </w:rPr>
                <w:t>Quartiles &amp; Quantiles | Calculations, Definition &amp; Interpretation</w:t>
              </w:r>
              <w:r>
                <w:rPr>
                  <w:noProof/>
                </w:rPr>
                <w:t>. Retrieved from Scribbr: https://www.scribbr.com/statistics/quartiles-quantiles/</w:t>
              </w:r>
            </w:p>
            <w:p w14:paraId="6A0E68C4" w14:textId="77777777" w:rsidR="00643526" w:rsidRDefault="00643526" w:rsidP="00643526">
              <w:pPr>
                <w:pStyle w:val="Bibliography"/>
                <w:ind w:left="720" w:hanging="720"/>
                <w:rPr>
                  <w:noProof/>
                </w:rPr>
              </w:pPr>
              <w:r>
                <w:rPr>
                  <w:noProof/>
                </w:rPr>
                <w:t xml:space="preserve">Wing, B., Liu, Y., Qian, J., &amp; Parker, S. K. (2020, October 13). </w:t>
              </w:r>
              <w:r>
                <w:rPr>
                  <w:i/>
                  <w:iCs/>
                  <w:noProof/>
                </w:rPr>
                <w:t>Achieving Effective Remote Working During the COVID-19 Pandemic: A Work Design Perspective.</w:t>
              </w:r>
              <w:r>
                <w:rPr>
                  <w:noProof/>
                </w:rPr>
                <w:t xml:space="preserve"> Retrieved from Applied Psychology: https://iaap-journals.onlinelibrary.wiley.com/doi/10.1111/apps.12290</w:t>
              </w:r>
            </w:p>
            <w:p w14:paraId="6CD5FDAF" w14:textId="77777777" w:rsidR="00192A5B" w:rsidRDefault="00192A5B" w:rsidP="00643526">
              <w:r>
                <w:rPr>
                  <w:b/>
                  <w:bCs/>
                  <w:noProof/>
                </w:rPr>
                <w:fldChar w:fldCharType="end"/>
              </w:r>
            </w:p>
          </w:sdtContent>
        </w:sdt>
      </w:sdtContent>
    </w:sdt>
    <w:p w14:paraId="68721643" w14:textId="77777777" w:rsidR="00192A5B" w:rsidRDefault="00192A5B" w:rsidP="00192A5B"/>
    <w:p w14:paraId="7BCCF38F" w14:textId="77777777" w:rsidR="00192A5B" w:rsidRPr="00095E12" w:rsidRDefault="00192A5B" w:rsidP="00192A5B"/>
    <w:p w14:paraId="00A8B262" w14:textId="77777777" w:rsidR="00192A5B" w:rsidRPr="00095E12" w:rsidRDefault="00192A5B" w:rsidP="00192A5B"/>
    <w:p w14:paraId="62D00FC6" w14:textId="77777777" w:rsidR="00192A5B" w:rsidRDefault="00192A5B" w:rsidP="00192A5B"/>
    <w:p w14:paraId="0300D994" w14:textId="77777777" w:rsidR="00464EAE" w:rsidRPr="00464EAE" w:rsidRDefault="00464EAE" w:rsidP="00464EAE"/>
    <w:sectPr w:rsidR="00464EAE" w:rsidRPr="0046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142"/>
    <w:multiLevelType w:val="hybridMultilevel"/>
    <w:tmpl w:val="915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6C39"/>
    <w:multiLevelType w:val="multilevel"/>
    <w:tmpl w:val="3536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1CD"/>
    <w:multiLevelType w:val="multilevel"/>
    <w:tmpl w:val="B99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2B95"/>
    <w:multiLevelType w:val="multilevel"/>
    <w:tmpl w:val="7A8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57CB5"/>
    <w:multiLevelType w:val="multilevel"/>
    <w:tmpl w:val="1B6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91936"/>
    <w:multiLevelType w:val="hybridMultilevel"/>
    <w:tmpl w:val="B106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75057"/>
    <w:multiLevelType w:val="hybridMultilevel"/>
    <w:tmpl w:val="AAA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649D"/>
    <w:multiLevelType w:val="multilevel"/>
    <w:tmpl w:val="2CC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4F02"/>
    <w:multiLevelType w:val="multilevel"/>
    <w:tmpl w:val="688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F7BBD"/>
    <w:multiLevelType w:val="multilevel"/>
    <w:tmpl w:val="AF7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91912"/>
    <w:multiLevelType w:val="hybridMultilevel"/>
    <w:tmpl w:val="F922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05539"/>
    <w:multiLevelType w:val="multilevel"/>
    <w:tmpl w:val="717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12EF3"/>
    <w:multiLevelType w:val="multilevel"/>
    <w:tmpl w:val="C56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83F28"/>
    <w:multiLevelType w:val="multilevel"/>
    <w:tmpl w:val="640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F4073"/>
    <w:multiLevelType w:val="multilevel"/>
    <w:tmpl w:val="8E3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70ADE"/>
    <w:multiLevelType w:val="multilevel"/>
    <w:tmpl w:val="2DC4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97605"/>
    <w:multiLevelType w:val="multilevel"/>
    <w:tmpl w:val="CF801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0A38B9"/>
    <w:multiLevelType w:val="multilevel"/>
    <w:tmpl w:val="B63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32DC5"/>
    <w:multiLevelType w:val="multilevel"/>
    <w:tmpl w:val="4EC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91DA3"/>
    <w:multiLevelType w:val="multilevel"/>
    <w:tmpl w:val="6FF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029E5"/>
    <w:multiLevelType w:val="multilevel"/>
    <w:tmpl w:val="C3F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E3537"/>
    <w:multiLevelType w:val="multilevel"/>
    <w:tmpl w:val="7E3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26144"/>
    <w:multiLevelType w:val="multilevel"/>
    <w:tmpl w:val="659E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A58F2"/>
    <w:multiLevelType w:val="hybridMultilevel"/>
    <w:tmpl w:val="F708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07514"/>
    <w:multiLevelType w:val="multilevel"/>
    <w:tmpl w:val="B90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02793"/>
    <w:multiLevelType w:val="multilevel"/>
    <w:tmpl w:val="C66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D3BA4"/>
    <w:multiLevelType w:val="multilevel"/>
    <w:tmpl w:val="89DA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927748">
    <w:abstractNumId w:val="16"/>
  </w:num>
  <w:num w:numId="2" w16cid:durableId="580411918">
    <w:abstractNumId w:val="26"/>
  </w:num>
  <w:num w:numId="3" w16cid:durableId="94253901">
    <w:abstractNumId w:val="1"/>
  </w:num>
  <w:num w:numId="4" w16cid:durableId="444271476">
    <w:abstractNumId w:val="13"/>
  </w:num>
  <w:num w:numId="5" w16cid:durableId="1893494126">
    <w:abstractNumId w:val="3"/>
  </w:num>
  <w:num w:numId="6" w16cid:durableId="1642273651">
    <w:abstractNumId w:val="21"/>
  </w:num>
  <w:num w:numId="7" w16cid:durableId="42099337">
    <w:abstractNumId w:val="23"/>
  </w:num>
  <w:num w:numId="8" w16cid:durableId="1024943561">
    <w:abstractNumId w:val="5"/>
  </w:num>
  <w:num w:numId="9" w16cid:durableId="749697345">
    <w:abstractNumId w:val="0"/>
  </w:num>
  <w:num w:numId="10" w16cid:durableId="1477647402">
    <w:abstractNumId w:val="6"/>
  </w:num>
  <w:num w:numId="11" w16cid:durableId="765154467">
    <w:abstractNumId w:val="10"/>
  </w:num>
  <w:num w:numId="12" w16cid:durableId="957763666">
    <w:abstractNumId w:val="15"/>
  </w:num>
  <w:num w:numId="13" w16cid:durableId="1950040185">
    <w:abstractNumId w:val="25"/>
  </w:num>
  <w:num w:numId="14" w16cid:durableId="653685519">
    <w:abstractNumId w:val="8"/>
  </w:num>
  <w:num w:numId="15" w16cid:durableId="1936086020">
    <w:abstractNumId w:val="17"/>
  </w:num>
  <w:num w:numId="16" w16cid:durableId="917904496">
    <w:abstractNumId w:val="20"/>
  </w:num>
  <w:num w:numId="17" w16cid:durableId="191185937">
    <w:abstractNumId w:val="7"/>
  </w:num>
  <w:num w:numId="18" w16cid:durableId="1012338628">
    <w:abstractNumId w:val="19"/>
  </w:num>
  <w:num w:numId="19" w16cid:durableId="20017541">
    <w:abstractNumId w:val="24"/>
  </w:num>
  <w:num w:numId="20" w16cid:durableId="2049865917">
    <w:abstractNumId w:val="14"/>
  </w:num>
  <w:num w:numId="21" w16cid:durableId="1494025053">
    <w:abstractNumId w:val="12"/>
  </w:num>
  <w:num w:numId="22" w16cid:durableId="607204922">
    <w:abstractNumId w:val="18"/>
  </w:num>
  <w:num w:numId="23" w16cid:durableId="650713257">
    <w:abstractNumId w:val="4"/>
  </w:num>
  <w:num w:numId="24" w16cid:durableId="1445612632">
    <w:abstractNumId w:val="11"/>
  </w:num>
  <w:num w:numId="25" w16cid:durableId="1407453016">
    <w:abstractNumId w:val="2"/>
  </w:num>
  <w:num w:numId="26" w16cid:durableId="1855223487">
    <w:abstractNumId w:val="22"/>
  </w:num>
  <w:num w:numId="27" w16cid:durableId="875313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37"/>
    <w:rsid w:val="00072331"/>
    <w:rsid w:val="00131BE5"/>
    <w:rsid w:val="00157B0B"/>
    <w:rsid w:val="00192A5B"/>
    <w:rsid w:val="00230E65"/>
    <w:rsid w:val="002411E5"/>
    <w:rsid w:val="002B6845"/>
    <w:rsid w:val="002C2EB5"/>
    <w:rsid w:val="003A50B6"/>
    <w:rsid w:val="004037B6"/>
    <w:rsid w:val="00430999"/>
    <w:rsid w:val="00464EAE"/>
    <w:rsid w:val="004F4364"/>
    <w:rsid w:val="0050471B"/>
    <w:rsid w:val="005475E9"/>
    <w:rsid w:val="00603137"/>
    <w:rsid w:val="00643526"/>
    <w:rsid w:val="00775369"/>
    <w:rsid w:val="008D4C20"/>
    <w:rsid w:val="00A13CE5"/>
    <w:rsid w:val="00A72438"/>
    <w:rsid w:val="00AD3BA8"/>
    <w:rsid w:val="00B23EE1"/>
    <w:rsid w:val="00B66E6D"/>
    <w:rsid w:val="00C04CE7"/>
    <w:rsid w:val="00C43826"/>
    <w:rsid w:val="00C810CA"/>
    <w:rsid w:val="00E676CE"/>
    <w:rsid w:val="00EA2C4A"/>
    <w:rsid w:val="00EF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0548"/>
  <w15:chartTrackingRefBased/>
  <w15:docId w15:val="{40EBAFB5-4D50-4208-96A6-DA7FCF3B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3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3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3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3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3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3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3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3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137"/>
    <w:rPr>
      <w:rFonts w:eastAsiaTheme="majorEastAsia" w:cstheme="majorBidi"/>
      <w:color w:val="272727" w:themeColor="text1" w:themeTint="D8"/>
    </w:rPr>
  </w:style>
  <w:style w:type="paragraph" w:styleId="Title">
    <w:name w:val="Title"/>
    <w:basedOn w:val="Normal"/>
    <w:next w:val="Normal"/>
    <w:link w:val="TitleChar"/>
    <w:uiPriority w:val="10"/>
    <w:qFormat/>
    <w:rsid w:val="0060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137"/>
    <w:pPr>
      <w:spacing w:before="160"/>
      <w:jc w:val="center"/>
    </w:pPr>
    <w:rPr>
      <w:i/>
      <w:iCs/>
      <w:color w:val="404040" w:themeColor="text1" w:themeTint="BF"/>
    </w:rPr>
  </w:style>
  <w:style w:type="character" w:customStyle="1" w:styleId="QuoteChar">
    <w:name w:val="Quote Char"/>
    <w:basedOn w:val="DefaultParagraphFont"/>
    <w:link w:val="Quote"/>
    <w:uiPriority w:val="29"/>
    <w:rsid w:val="00603137"/>
    <w:rPr>
      <w:i/>
      <w:iCs/>
      <w:color w:val="404040" w:themeColor="text1" w:themeTint="BF"/>
    </w:rPr>
  </w:style>
  <w:style w:type="paragraph" w:styleId="ListParagraph">
    <w:name w:val="List Paragraph"/>
    <w:basedOn w:val="Normal"/>
    <w:uiPriority w:val="34"/>
    <w:qFormat/>
    <w:rsid w:val="00603137"/>
    <w:pPr>
      <w:ind w:left="720"/>
      <w:contextualSpacing/>
    </w:pPr>
  </w:style>
  <w:style w:type="character" w:styleId="IntenseEmphasis">
    <w:name w:val="Intense Emphasis"/>
    <w:basedOn w:val="DefaultParagraphFont"/>
    <w:uiPriority w:val="21"/>
    <w:qFormat/>
    <w:rsid w:val="00603137"/>
    <w:rPr>
      <w:i/>
      <w:iCs/>
      <w:color w:val="0F4761" w:themeColor="accent1" w:themeShade="BF"/>
    </w:rPr>
  </w:style>
  <w:style w:type="paragraph" w:styleId="IntenseQuote">
    <w:name w:val="Intense Quote"/>
    <w:basedOn w:val="Normal"/>
    <w:next w:val="Normal"/>
    <w:link w:val="IntenseQuoteChar"/>
    <w:uiPriority w:val="30"/>
    <w:qFormat/>
    <w:rsid w:val="00603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137"/>
    <w:rPr>
      <w:i/>
      <w:iCs/>
      <w:color w:val="0F4761" w:themeColor="accent1" w:themeShade="BF"/>
    </w:rPr>
  </w:style>
  <w:style w:type="character" w:styleId="IntenseReference">
    <w:name w:val="Intense Reference"/>
    <w:basedOn w:val="DefaultParagraphFont"/>
    <w:uiPriority w:val="32"/>
    <w:qFormat/>
    <w:rsid w:val="00603137"/>
    <w:rPr>
      <w:b/>
      <w:bCs/>
      <w:smallCaps/>
      <w:color w:val="0F4761" w:themeColor="accent1" w:themeShade="BF"/>
      <w:spacing w:val="5"/>
    </w:rPr>
  </w:style>
  <w:style w:type="paragraph" w:styleId="TOCHeading">
    <w:name w:val="TOC Heading"/>
    <w:basedOn w:val="Heading1"/>
    <w:next w:val="Normal"/>
    <w:uiPriority w:val="39"/>
    <w:unhideWhenUsed/>
    <w:qFormat/>
    <w:rsid w:val="00603137"/>
    <w:pPr>
      <w:spacing w:before="240" w:after="0" w:line="259" w:lineRule="auto"/>
      <w:outlineLvl w:val="9"/>
    </w:pPr>
    <w:rPr>
      <w:kern w:val="0"/>
      <w:sz w:val="32"/>
      <w:szCs w:val="32"/>
      <w14:ligatures w14:val="none"/>
    </w:rPr>
  </w:style>
  <w:style w:type="paragraph" w:styleId="Bibliography">
    <w:name w:val="Bibliography"/>
    <w:basedOn w:val="Normal"/>
    <w:next w:val="Normal"/>
    <w:uiPriority w:val="37"/>
    <w:unhideWhenUsed/>
    <w:rsid w:val="00192A5B"/>
  </w:style>
  <w:style w:type="paragraph" w:styleId="TOC1">
    <w:name w:val="toc 1"/>
    <w:basedOn w:val="Normal"/>
    <w:next w:val="Normal"/>
    <w:autoRedefine/>
    <w:uiPriority w:val="39"/>
    <w:unhideWhenUsed/>
    <w:rsid w:val="00192A5B"/>
    <w:pPr>
      <w:spacing w:after="100"/>
    </w:pPr>
  </w:style>
  <w:style w:type="paragraph" w:styleId="TOC2">
    <w:name w:val="toc 2"/>
    <w:basedOn w:val="Normal"/>
    <w:next w:val="Normal"/>
    <w:autoRedefine/>
    <w:uiPriority w:val="39"/>
    <w:unhideWhenUsed/>
    <w:rsid w:val="00192A5B"/>
    <w:pPr>
      <w:spacing w:after="100"/>
      <w:ind w:left="240"/>
    </w:pPr>
  </w:style>
  <w:style w:type="paragraph" w:styleId="TOC3">
    <w:name w:val="toc 3"/>
    <w:basedOn w:val="Normal"/>
    <w:next w:val="Normal"/>
    <w:autoRedefine/>
    <w:uiPriority w:val="39"/>
    <w:unhideWhenUsed/>
    <w:rsid w:val="00192A5B"/>
    <w:pPr>
      <w:spacing w:after="100"/>
      <w:ind w:left="480"/>
    </w:pPr>
  </w:style>
  <w:style w:type="character" w:styleId="Hyperlink">
    <w:name w:val="Hyperlink"/>
    <w:basedOn w:val="DefaultParagraphFont"/>
    <w:uiPriority w:val="99"/>
    <w:unhideWhenUsed/>
    <w:rsid w:val="00192A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620401">
      <w:bodyDiv w:val="1"/>
      <w:marLeft w:val="0"/>
      <w:marRight w:val="0"/>
      <w:marTop w:val="0"/>
      <w:marBottom w:val="0"/>
      <w:divBdr>
        <w:top w:val="none" w:sz="0" w:space="0" w:color="auto"/>
        <w:left w:val="none" w:sz="0" w:space="0" w:color="auto"/>
        <w:bottom w:val="none" w:sz="0" w:space="0" w:color="auto"/>
        <w:right w:val="none" w:sz="0" w:space="0" w:color="auto"/>
      </w:divBdr>
    </w:div>
    <w:div w:id="20647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{69AC7A89-C2DA-4820-8056-F60CC9175137}</b:Guid>
    <b:Title>Knowing where you stand: Physical isolation, perceived respect, and organizational identification among virtual employees</b:Title>
    <b:Year>2012</b:Year>
    <b:Author>
      <b:Author>
        <b:NameList>
          <b:Person>
            <b:Last>Bartel</b:Last>
            <b:First>C.</b:First>
            <b:Middle>A., Wrzesniewski, A., &amp; Wiesenfeld, B. M</b:Middle>
          </b:Person>
        </b:NameList>
      </b:Author>
    </b:Author>
    <b:JournalName>Organization Science, 23(3)</b:JournalName>
    <b:Pages>743–757</b:Pages>
    <b:RefOrder>1</b:RefOrder>
  </b:Source>
  <b:Source>
    <b:Tag>Blo15</b:Tag>
    <b:SourceType>JournalArticle</b:SourceType>
    <b:Guid>{F6C6114B-42BC-43C4-A120-0106E8088A3F}</b:Guid>
    <b:Author>
      <b:Author>
        <b:NameList>
          <b:Person>
            <b:Last>Bloom</b:Last>
            <b:First>Nicholas</b:First>
          </b:Person>
          <b:Person>
            <b:Last>Liang</b:Last>
            <b:First>James</b:First>
          </b:Person>
          <b:Person>
            <b:Last>Roberts</b:Last>
            <b:First>John</b:First>
          </b:Person>
          <b:Person>
            <b:Last>Ying</b:Last>
            <b:First>Zhichun</b:First>
            <b:Middle>Jenny</b:Middle>
          </b:Person>
        </b:NameList>
      </b:Author>
    </b:Author>
    <b:Title>Does Working from Home Work? Evidence from a Chinese Experiment</b:Title>
    <b:InternetSiteTitle>The Quarterly Journal of Economics</b:InternetSiteTitle>
    <b:Year>2015</b:Year>
    <b:Month>February</b:Month>
    <b:JournalName>The Quarterly Journal of Economics</b:JournalName>
    <b:Pages>165-218</b:Pages>
    <b:RefOrder>2</b:RefOrder>
  </b:Source>
  <b:Source>
    <b:Tag>Fel20</b:Tag>
    <b:SourceType>Report</b:SourceType>
    <b:Guid>{77153012-5893-4FCF-97D7-8C7E8A28F0A7}</b:Guid>
    <b:Title>Homeworking in the UK: before and</b:Title>
    <b:Year>2020</b:Year>
    <b:Author>
      <b:Author>
        <b:NameList>
          <b:Person>
            <b:Last>Felstead</b:Last>
            <b:First>A</b:First>
            <b:Middle>and Reuschke, D</b:Middle>
          </b:Person>
        </b:NameList>
      </b:Author>
    </b:Author>
    <b:Publisher>WISERD Report</b:Publisher>
    <b:City>Cardiff: Wales Institute of Social and Economic</b:City>
    <b:RefOrder>3</b:RefOrder>
  </b:Source>
  <b:Source>
    <b:Tag>Oak</b:Tag>
    <b:SourceType>DocumentFromInternetSite</b:SourceType>
    <b:Guid>{27F09DFB-120C-4D8F-ACC0-168F5E845F0F}</b:Guid>
    <b:Author>
      <b:Author>
        <b:NameList>
          <b:Person>
            <b:Last>Oakman</b:Last>
            <b:First>Joid</b:First>
          </b:Person>
          <b:Person>
            <b:Last>Kinsman</b:Last>
            <b:First>Natasha</b:First>
          </b:Person>
          <b:Person>
            <b:Last>Stuckery</b:Last>
            <b:First>Rwth</b:First>
          </b:Person>
          <b:Person>
            <b:Last>Graham</b:Last>
            <b:First>Melissa</b:First>
          </b:Person>
          <b:Person>
            <b:Last>Weale</b:Last>
            <b:First>Victoria</b:First>
          </b:Person>
        </b:NameList>
      </b:Author>
    </b:Author>
    <b:Title>A rapid review of mental and physical health effects of working at home: how do we optimise health?</b:Title>
    <b:InternetSiteTitle>BMC Public Health</b:InternetSiteTitle>
    <b:Year>2020</b:Year>
    <b:Month>November</b:Month>
    <b:Day>30</b:Day>
    <b:URL>https://bmcpublichealth.biomedcentral.com/articles/10.1186/s12889-020-09875-z</b:URL>
    <b:RefOrder>4</b:RefOrder>
  </b:Source>
  <b:Source>
    <b:Tag>Win20</b:Tag>
    <b:SourceType>DocumentFromInternetSite</b:SourceType>
    <b:Guid>{ADAA7821-FB92-4470-BC25-24410FA166B3}</b:Guid>
    <b:Author>
      <b:Author>
        <b:NameList>
          <b:Person>
            <b:Last>Wing</b:Last>
            <b:First>Bin</b:First>
          </b:Person>
          <b:Person>
            <b:Last>Liu</b:Last>
            <b:First>Yukun</b:First>
          </b:Person>
          <b:Person>
            <b:Last>Qian</b:Last>
            <b:First>Jing</b:First>
          </b:Person>
          <b:Person>
            <b:Last>Parker</b:Last>
            <b:First>Sharon</b:First>
            <b:Middle>K.</b:Middle>
          </b:Person>
        </b:NameList>
      </b:Author>
    </b:Author>
    <b:Title>Achieving Effective Remote Working During the COVID-19 Pandemic: A Work Design Perspective</b:Title>
    <b:InternetSiteTitle>Applied Psychology</b:InternetSiteTitle>
    <b:Year>2020</b:Year>
    <b:Month>October</b:Month>
    <b:Day>13</b:Day>
    <b:URL>https://iaap-journals.onlinelibrary.wiley.com/doi/10.1111/apps.12290</b:URL>
    <b:RefOrder>5</b:RefOrder>
  </b:Source>
  <b:Source>
    <b:Tag>Hol251</b:Tag>
    <b:SourceType>BookSection</b:SourceType>
    <b:Guid>{A88093D6-6B14-445D-8D85-6FC2FA24279A}</b:Guid>
    <b:Author>
      <b:Author>
        <b:NameList>
          <b:Person>
            <b:Last>Holms</b:Last>
            <b:First>Alexander</b:First>
          </b:Person>
          <b:Person>
            <b:Last>Illowsky</b:Last>
            <b:First>Barbara</b:First>
          </b:Person>
          <b:Person>
            <b:Last>Dean</b:Last>
            <b:First>Susan</b:First>
          </b:Person>
        </b:NameList>
      </b:Author>
      <b:BookAuthor>
        <b:NameList>
          <b:Person>
            <b:Last>Holms</b:Last>
            <b:First>Alexander</b:First>
          </b:Person>
          <b:Person>
            <b:Last>Illowsky</b:Last>
            <b:First>Barbara</b:First>
          </b:Person>
          <b:Person>
            <b:Last>Dean</b:Last>
            <b:First>Susan</b:First>
          </b:Person>
        </b:NameList>
      </b:BookAuthor>
    </b:Author>
    <b:Title>Descriptive Statistics</b:Title>
    <b:BookTitle>Introductory Business Statistics</b:BookTitle>
    <b:Year>2025</b:Year>
    <b:Pages>N.a.</b:Pages>
    <b:City>N.a.</b:City>
    <b:Publisher>OpenStax</b:Publisher>
    <b:RefOrder>6</b:RefOrder>
  </b:Source>
  <b:Source>
    <b:Tag>Afg23</b:Tag>
    <b:SourceType>InternetSite</b:SourceType>
    <b:Guid>{8B8BDC7C-FA77-4841-87FF-1DB8CED9D4F1}</b:Guid>
    <b:Author>
      <b:Author>
        <b:NameList>
          <b:Person>
            <b:Last>Afghanalmalik</b:Last>
          </b:Person>
        </b:NameList>
      </b:Author>
    </b:Author>
    <b:Title>Descriptive Statistics Analysis: The Key to Business Intelligence</b:Title>
    <b:InternetSiteTitle>Medium</b:InternetSiteTitle>
    <b:Year>2023</b:Year>
    <b:Month>November</b:Month>
    <b:Day>1</b:Day>
    <b:URL>https://medium.com/@afghanalmalik2404/descriptive-statistics-analysis-the-key-to-business-intelligence-010b6a270510</b:URL>
    <b:RefOrder>7</b:RefOrder>
  </b:Source>
  <b:Source>
    <b:Tag>Shm17</b:Tag>
    <b:SourceType>BookSection</b:SourceType>
    <b:Guid>{489BC166-0D87-4E68-9D14-F3C3458FB1FA}</b:Guid>
    <b:Author>
      <b:Author>
        <b:NameList>
          <b:Person>
            <b:Last>Shmueli</b:Last>
            <b:First>Galit</b:First>
          </b:Person>
          <b:Person>
            <b:Last>Bruce</b:Last>
            <b:First>Peter</b:First>
            <b:Middle>C.</b:Middle>
          </b:Person>
          <b:Person>
            <b:Last>Yahav</b:Last>
            <b:First>Inbal</b:First>
          </b:Person>
          <b:Person>
            <b:Last>Patel</b:Last>
            <b:First>Nitin</b:First>
            <b:Middle>R.</b:Middle>
          </b:Person>
          <b:Person>
            <b:Last>Lichtendahl Jr</b:Last>
          </b:Person>
        </b:NameList>
      </b:Author>
    </b:Author>
    <b:Title>Example of Complete Analysis:  Predicting Delayed Flights</b:Title>
    <b:BookTitle>Data Mining for Business Analytics</b:BookTitle>
    <b:Year>2017</b:Year>
    <b:Pages>248-257</b:Pages>
    <b:Publisher>Wiley</b:Publisher>
    <b:RefOrder>8</b:RefOrder>
  </b:Source>
  <b:Source>
    <b:Tag>Bee24</b:Tag>
    <b:SourceType>InternetSite</b:SourceType>
    <b:Guid>{EC51C2BF-7B85-4A0F-BB48-B6F9C13BBCD9}</b:Guid>
    <b:Author>
      <b:Author>
        <b:NameList>
          <b:Person>
            <b:Last>Beers</b:Last>
            <b:First>Brian</b:First>
          </b:Person>
        </b:NameList>
      </b:Author>
    </b:Author>
    <b:Title>P-Value: What it is, How to Calculate it, and Why it Matters</b:Title>
    <b:InternetSiteTitle>Investopedia</b:InternetSiteTitle>
    <b:Year>2024</b:Year>
    <b:Month>March</b:Month>
    <b:Day>05</b:Day>
    <b:URL>https://www.investopedia.com/terms/p/p-value.asp#:~:text=A%20p%2Dvalue%20measures%20the,is%20generally%20considered%20statistically%20significant.</b:URL>
    <b:RefOrder>9</b:RefOrder>
  </b:Source>
  <b:Source>
    <b:Tag>Tur23</b:Tag>
    <b:SourceType>InternetSite</b:SourceType>
    <b:Guid>{58390D78-F280-4A5B-87B2-CC678FD4DEF4}</b:Guid>
    <b:Author>
      <b:Author>
        <b:NameList>
          <b:Person>
            <b:Last>Turney</b:Last>
            <b:First>Shaun</b:First>
          </b:Person>
        </b:NameList>
      </b:Author>
    </b:Author>
    <b:Title>Quartiles &amp; Quantiles | Calculations, Definition &amp; Interpretation</b:Title>
    <b:InternetSiteTitle>Scribbr</b:InternetSiteTitle>
    <b:Year>2023</b:Year>
    <b:Month>June</b:Month>
    <b:Day>21</b:Day>
    <b:URL>https://www.scribbr.com/statistics/quartiles-quantiles/</b:URL>
    <b:RefOrder>10</b:RefOrder>
  </b:Source>
  <b:Source>
    <b:Tag>Ken24</b:Tag>
    <b:SourceType>InternetSite</b:SourceType>
    <b:Guid>{D78A71B3-2E8E-411C-8213-BF7518DA2693}</b:Guid>
    <b:Author>
      <b:Author>
        <b:NameList>
          <b:Person>
            <b:Last>Kenton</b:Last>
            <b:First>Will</b:First>
          </b:Person>
        </b:NameList>
      </b:Author>
    </b:Author>
    <b:Title>Standard Error (SE) Definition: Standard Deviation in Statistics Explained</b:Title>
    <b:InternetSiteTitle>Investopedia</b:InternetSiteTitle>
    <b:Year>2024</b:Year>
    <b:Month>August</b:Month>
    <b:Day>09</b:Day>
    <b:URL>https://www.investopedia.com/terms/s/standard-error.asp</b:URL>
    <b:RefOrder>11</b:RefOrder>
  </b:Source>
  <b:Source>
    <b:Tag>Hay22</b:Tag>
    <b:SourceType>InternetSite</b:SourceType>
    <b:Guid>{38635B8C-B1F6-4010-B798-F1F7CCAF59E1}</b:Guid>
    <b:Author>
      <b:Author>
        <b:NameList>
          <b:Person>
            <b:Last>Hayes</b:Last>
            <b:First>Adam</b:First>
          </b:Person>
        </b:NameList>
      </b:Author>
    </b:Author>
    <b:Title>Stepwise Regression: Definition, Uses, Example, and Limitations</b:Title>
    <b:InternetSiteTitle>Investopedia</b:InternetSiteTitle>
    <b:Year>2022</b:Year>
    <b:Month>January</b:Month>
    <b:Day>10</b:Day>
    <b:URL>https://www.investopedia.com/terms/s/stepwise-regression.asp</b:URL>
    <b:RefOrder>12</b:RefOrder>
  </b:Source>
  <b:Source>
    <b:Tag>hmu17</b:Tag>
    <b:SourceType>BookSection</b:SourceType>
    <b:Guid>{80E5DD47-05BE-4001-828D-A5C03CF34EFD}</b:Guid>
    <b:Author>
      <b:Author>
        <b:NameList>
          <b:Person>
            <b:Last>Shmueli</b:Last>
            <b:First>Galit</b:First>
          </b:Person>
          <b:Person>
            <b:Last>Bruce</b:Last>
            <b:First>Peter</b:First>
            <b:Middle>C.</b:Middle>
          </b:Person>
          <b:Person>
            <b:Last>Yahav</b:Last>
            <b:First>Inbal</b:First>
          </b:Person>
          <b:Person>
            <b:Last>Patel</b:Last>
            <b:First>Nitin</b:First>
            <b:Middle>R.</b:Middle>
          </b:Person>
          <b:Person>
            <b:Last>Jr</b:Last>
            <b:First>Lichtendahl</b:First>
          </b:Person>
        </b:NameList>
      </b:Author>
    </b:Author>
    <b:Title>The Logistic Regression Model</b:Title>
    <b:BookTitle>Data Mining for Business Analytics</b:BookTitle>
    <b:Year>2017</b:Year>
    <b:Pages>239-240</b:Pages>
    <b:Publisher>Wiley</b:Publisher>
    <b:RefOrder>13</b:RefOrder>
  </b:Source>
  <b:Source>
    <b:Tag>Tal24</b:Tag>
    <b:SourceType>DocumentFromInternetSite</b:SourceType>
    <b:Guid>{91D88BB9-C3D5-46FD-9FA9-040271287465}</b:Guid>
    <b:Title>The Null and the Alternative Hypotheses</b:Title>
    <b:Year>2024</b:Year>
    <b:Author>
      <b:Author>
        <b:Corporate>Tallahasse State College</b:Corporate>
      </b:Author>
    </b:Author>
    <b:InternetSiteTitle>Tallahasse State College</b:InternetSiteTitle>
    <b:Month>3</b:Month>
    <b:Day>11</b:Day>
    <b:URL>https://www.tsc.fl.edu/media/divisions/learning-commons/resources-by-subject/math/statistics/The-Null-and-the-Alternative-Hypotheses.pdf</b:URL>
    <b:RefOrder>14</b:RefOrder>
  </b:Source>
</b:Sources>
</file>

<file path=customXml/itemProps1.xml><?xml version="1.0" encoding="utf-8"?>
<ds:datastoreItem xmlns:ds="http://schemas.openxmlformats.org/officeDocument/2006/customXml" ds:itemID="{E4DE4555-A2CC-4332-8829-0ECD3575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11121</Words>
  <Characters>63396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Sweeney</dc:creator>
  <cp:keywords/>
  <dc:description/>
  <cp:lastModifiedBy>Kade Sweeney</cp:lastModifiedBy>
  <cp:revision>2</cp:revision>
  <dcterms:created xsi:type="dcterms:W3CDTF">2025-08-31T20:59:00Z</dcterms:created>
  <dcterms:modified xsi:type="dcterms:W3CDTF">2025-08-31T20:59:00Z</dcterms:modified>
</cp:coreProperties>
</file>