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9BB60"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1B2430"/>
          <w:sz w:val="44"/>
        </w:rPr>
        <w:t>会 议 记 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  <w:gridCol w:w="2606"/>
        <w:gridCol w:w="2606"/>
        <w:gridCol w:w="2606"/>
      </w:tblGrid>
      <w:tr w14:paraId="3F237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2606" w:type="dxa"/>
            <w:shd w:val="clear" w:color="auto" w:fill="E8EDF3"/>
            <w:vAlign w:val="center"/>
          </w:tcPr>
          <w:p w14:paraId="315F67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会议主题</w:t>
            </w:r>
          </w:p>
        </w:tc>
        <w:tc>
          <w:tcPr>
            <w:tcW w:w="2606" w:type="dxa"/>
            <w:vAlign w:val="center"/>
          </w:tcPr>
          <w:p w14:paraId="20A083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第一周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任务梳理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与分工确认</w:t>
            </w:r>
          </w:p>
        </w:tc>
        <w:tc>
          <w:tcPr>
            <w:tcW w:w="2606" w:type="dxa"/>
            <w:shd w:val="clear" w:color="auto" w:fill="E8EDF3"/>
            <w:vAlign w:val="center"/>
          </w:tcPr>
          <w:p w14:paraId="526C88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会议编号</w:t>
            </w:r>
          </w:p>
        </w:tc>
        <w:tc>
          <w:tcPr>
            <w:tcW w:w="2606" w:type="dxa"/>
            <w:vAlign w:val="center"/>
          </w:tcPr>
          <w:p w14:paraId="391CC1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第一次例会</w:t>
            </w:r>
          </w:p>
        </w:tc>
      </w:tr>
      <w:tr w14:paraId="08A49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2606" w:type="dxa"/>
            <w:shd w:val="clear" w:color="auto" w:fill="E8EDF3"/>
            <w:vAlign w:val="center"/>
          </w:tcPr>
          <w:p w14:paraId="76528B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会议时间</w:t>
            </w:r>
          </w:p>
        </w:tc>
        <w:tc>
          <w:tcPr>
            <w:tcW w:w="2606" w:type="dxa"/>
            <w:vAlign w:val="center"/>
          </w:tcPr>
          <w:p w14:paraId="793FB277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 w:val="0"/>
                <w:sz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2026年9月1日</w:t>
            </w:r>
          </w:p>
          <w:p w14:paraId="785F72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19:30–21:30</w:t>
            </w:r>
          </w:p>
        </w:tc>
        <w:tc>
          <w:tcPr>
            <w:tcW w:w="2606" w:type="dxa"/>
            <w:shd w:val="clear" w:color="auto" w:fill="E8EDF3"/>
            <w:vAlign w:val="center"/>
          </w:tcPr>
          <w:p w14:paraId="133A31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会议地点</w:t>
            </w:r>
          </w:p>
        </w:tc>
        <w:tc>
          <w:tcPr>
            <w:tcW w:w="2606" w:type="dxa"/>
            <w:vAlign w:val="center"/>
          </w:tcPr>
          <w:p w14:paraId="683FBF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线下会议 / 求是社区D109</w:t>
            </w:r>
          </w:p>
        </w:tc>
      </w:tr>
      <w:tr w14:paraId="13D7F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2606" w:type="dxa"/>
            <w:shd w:val="clear" w:color="auto" w:fill="E8EDF3"/>
            <w:vAlign w:val="center"/>
          </w:tcPr>
          <w:p w14:paraId="052D0F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主持人</w:t>
            </w:r>
          </w:p>
        </w:tc>
        <w:tc>
          <w:tcPr>
            <w:tcW w:w="2606" w:type="dxa"/>
            <w:vAlign w:val="center"/>
          </w:tcPr>
          <w:p w14:paraId="60468F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李天怡</w:t>
            </w:r>
          </w:p>
        </w:tc>
        <w:tc>
          <w:tcPr>
            <w:tcW w:w="2606" w:type="dxa"/>
            <w:shd w:val="clear" w:color="auto" w:fill="E8EDF3"/>
            <w:vAlign w:val="center"/>
          </w:tcPr>
          <w:p w14:paraId="118FBC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记录人</w:t>
            </w:r>
          </w:p>
        </w:tc>
        <w:tc>
          <w:tcPr>
            <w:tcW w:w="2606" w:type="dxa"/>
            <w:vAlign w:val="center"/>
          </w:tcPr>
          <w:p w14:paraId="1558BC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周欣阳</w:t>
            </w:r>
          </w:p>
        </w:tc>
      </w:tr>
      <w:tr w14:paraId="7C1FF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06" w:type="dxa"/>
            <w:shd w:val="clear" w:color="auto" w:fill="E8EDF3"/>
            <w:vAlign w:val="center"/>
          </w:tcPr>
          <w:p w14:paraId="3E1C22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参会人</w:t>
            </w:r>
          </w:p>
        </w:tc>
        <w:tc>
          <w:tcPr>
            <w:tcW w:w="7818" w:type="dxa"/>
            <w:gridSpan w:val="3"/>
            <w:vAlign w:val="center"/>
          </w:tcPr>
          <w:p w14:paraId="36C534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到会 6 人：李天怡、陈子昊、迟锐、董旭航、周欣阳、夏雨煊</w:t>
            </w:r>
          </w:p>
        </w:tc>
      </w:tr>
      <w:tr w14:paraId="2167A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606" w:type="dxa"/>
            <w:shd w:val="clear" w:color="auto" w:fill="DCE6F0"/>
            <w:textDirection w:val="tbRlV"/>
            <w:vAlign w:val="center"/>
          </w:tcPr>
          <w:p w14:paraId="17B8A04C">
            <w:pPr>
              <w:spacing w:after="0" w:line="240" w:lineRule="auto"/>
              <w:ind w:left="113" w:right="113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B2430"/>
                <w:sz w:val="22"/>
              </w:rPr>
              <w:t>会议议程</w:t>
            </w:r>
          </w:p>
        </w:tc>
        <w:tc>
          <w:tcPr>
            <w:tcW w:w="7818" w:type="dxa"/>
            <w:gridSpan w:val="3"/>
          </w:tcPr>
          <w:p w14:paraId="4391317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1. 打磨剧本和设定：围绕改编自克苏鲁跑团模组《末班列车》的惊悚悬疑故事，敲定《常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暗之厢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》的题材基调、核心意象（末班电车、无光隧道、大嘴怪物、车厢逐节消失、便签谜题与三结局）与玩家体验目标。</w:t>
            </w:r>
          </w:p>
          <w:p w14:paraId="5DD334F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2. 梳理制作游戏所需的总任务：对照课程要求，明确必须完成的任务范围。</w:t>
            </w:r>
          </w:p>
          <w:p w14:paraId="695AEC9E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3. 明确分工：在总任务清单的基础上，按“程序、美工、文书、测试”四个板块把任务拆解并分配到人，确认各自第一周的工作重点与必须完成的任务。</w:t>
            </w:r>
          </w:p>
        </w:tc>
      </w:tr>
      <w:tr w14:paraId="16CAA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606" w:type="dxa"/>
            <w:shd w:val="clear" w:color="auto" w:fill="DCE6F0"/>
            <w:textDirection w:val="tbRlV"/>
            <w:vAlign w:val="center"/>
          </w:tcPr>
          <w:p w14:paraId="34D31318">
            <w:pPr>
              <w:spacing w:after="0" w:line="240" w:lineRule="auto"/>
              <w:ind w:left="113" w:right="113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B2430"/>
                <w:sz w:val="22"/>
              </w:rPr>
              <w:t>会议成果</w:t>
            </w:r>
          </w:p>
        </w:tc>
        <w:tc>
          <w:tcPr>
            <w:tcW w:w="7818" w:type="dxa"/>
            <w:gridSpan w:val="3"/>
          </w:tcPr>
          <w:p w14:paraId="08E7FD5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1. 定下游戏方向：游戏名《常暗之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厢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》，做成惊悚悬疑的交互式故事，改编自克苏鲁跑团模组《末班列车》的设定，题材和风格大家一致认可。</w:t>
            </w:r>
          </w:p>
          <w:p w14:paraId="7311FC07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2. 定下制作方式：用 HTML + CSS + JavaScript 纯前端来做，不装依赖、双击就能玩；在小组已经搭好的框架上继续做，剧情单独放在文本数据里，改起来方便，本周先把一条能从头玩到尾的主线（真结局）做通。</w:t>
            </w:r>
          </w:p>
          <w:p w14:paraId="49CFFB1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3. 定下时间安排：第一周搭出基础框架并跑通主线</w:t>
            </w:r>
            <w:r>
              <w:rPr>
                <w:rFonts w:hint="eastAsia"/>
                <w:b w:val="0"/>
                <w:i w:val="0"/>
                <w:sz w:val="21"/>
                <w:lang w:eastAsia="zh-CN"/>
              </w:rPr>
              <w:t>，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第二周补分支、物品、对话、小游戏；第三周集中测试、配音和打磨。</w:t>
            </w:r>
          </w:p>
          <w:p w14:paraId="19D94879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4. 定下协作方式：按程序、美工、文书、测试分工；统一用 GitHub 保存和协作、改动互相检查；每周开一次会，日志和会议记录按要求存档，末尾附每个人的得分和证据。</w:t>
            </w:r>
          </w:p>
        </w:tc>
      </w:tr>
      <w:tr w14:paraId="4831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2606" w:type="dxa"/>
            <w:vMerge w:val="restart"/>
            <w:shd w:val="clear" w:color="auto" w:fill="DCE6F0"/>
            <w:textDirection w:val="tbRlV"/>
            <w:vAlign w:val="center"/>
          </w:tcPr>
          <w:p w14:paraId="1E8165D0">
            <w:pPr>
              <w:spacing w:after="0" w:line="240" w:lineRule="auto"/>
              <w:ind w:left="113" w:right="113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B2430"/>
                <w:sz w:val="22"/>
              </w:rPr>
              <w:t>下一步规划</w:t>
            </w:r>
          </w:p>
        </w:tc>
        <w:tc>
          <w:tcPr>
            <w:tcW w:w="2606" w:type="dxa"/>
            <w:vAlign w:val="center"/>
          </w:tcPr>
          <w:p w14:paraId="16F8049A">
            <w:pPr>
              <w:spacing w:after="40" w:line="240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第一周</w:t>
            </w:r>
          </w:p>
          <w:p w14:paraId="2A139784">
            <w:pPr>
              <w:spacing w:after="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完成基础框架</w:t>
            </w:r>
          </w:p>
        </w:tc>
        <w:tc>
          <w:tcPr>
            <w:tcW w:w="2606" w:type="dxa"/>
            <w:vAlign w:val="top"/>
          </w:tcPr>
          <w:p w14:paraId="4672BA18">
            <w:pPr>
              <w:spacing w:after="0" w:line="24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第二周</w:t>
            </w:r>
          </w:p>
          <w:p w14:paraId="37AC26D6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优化与拓展</w:t>
            </w:r>
          </w:p>
        </w:tc>
        <w:tc>
          <w:tcPr>
            <w:tcW w:w="2606" w:type="dxa"/>
            <w:vAlign w:val="top"/>
          </w:tcPr>
          <w:p w14:paraId="2F823328">
            <w:pPr>
              <w:spacing w:after="0" w:line="24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第三周</w:t>
            </w:r>
          </w:p>
          <w:p w14:paraId="30E09A3D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测试与润色</w:t>
            </w:r>
          </w:p>
        </w:tc>
      </w:tr>
      <w:tr w14:paraId="1802E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2606" w:type="dxa"/>
            <w:vMerge w:val="continue"/>
            <w:shd w:val="clear" w:color="auto" w:fill="DCE6F0"/>
            <w:textDirection w:val="tbRlV"/>
            <w:vAlign w:val="center"/>
          </w:tcPr>
          <w:p w14:paraId="2EF23A57">
            <w:pPr>
              <w:spacing w:after="0" w:line="240" w:lineRule="auto"/>
            </w:pPr>
          </w:p>
        </w:tc>
        <w:tc>
          <w:tcPr>
            <w:tcW w:w="2606" w:type="dxa"/>
          </w:tcPr>
          <w:p w14:paraId="73E5A639">
            <w:pPr>
              <w:spacing w:after="0" w:line="240" w:lineRule="auto"/>
              <w:rPr>
                <w:rFonts w:ascii="微软雅黑" w:hAnsi="微软雅黑" w:eastAsia="微软雅黑"/>
                <w:b w:val="0"/>
                <w:i w:val="0"/>
                <w:sz w:val="19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 场景交互；</w:t>
            </w:r>
          </w:p>
          <w:p w14:paraId="085811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2. 把 UI 做出来，能正常使用不出 bug；</w:t>
            </w:r>
          </w:p>
          <w:p w14:paraId="727875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3. 完成基本地图、人物立绘、道具、UI 框的基础美工工作；</w:t>
            </w:r>
          </w:p>
          <w:p w14:paraId="08F35E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4. 整理出单流程文本的 JSON 文件，学会怎么做 CSS 渲染；</w:t>
            </w:r>
          </w:p>
          <w:p w14:paraId="238A68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5. 合成线性单流程TE。</w:t>
            </w:r>
          </w:p>
        </w:tc>
        <w:tc>
          <w:tcPr>
            <w:tcW w:w="2606" w:type="dxa"/>
          </w:tcPr>
          <w:p w14:paraId="54280A96">
            <w:pPr>
              <w:spacing w:after="0" w:line="240" w:lineRule="auto"/>
              <w:rPr>
                <w:rFonts w:ascii="微软雅黑" w:hAnsi="微软雅黑" w:eastAsia="微软雅黑"/>
                <w:b w:val="0"/>
                <w:i w:val="0"/>
                <w:sz w:val="19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 开始加入新的剧情分支，引入物品事件，做角色对话，处理交涉的成功与失败；</w:t>
            </w:r>
          </w:p>
          <w:p w14:paraId="24221B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2. 做游戏注册界面和网页弹窗；</w:t>
            </w:r>
          </w:p>
          <w:p w14:paraId="0CF7B0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3. 细化小游戏并做风格适配，把战斗轮填充完整；</w:t>
            </w:r>
          </w:p>
          <w:p w14:paraId="75427F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4. 美工细化。</w:t>
            </w:r>
          </w:p>
        </w:tc>
        <w:tc>
          <w:tcPr>
            <w:tcW w:w="2606" w:type="dxa"/>
          </w:tcPr>
          <w:p w14:paraId="366FD620">
            <w:pPr>
              <w:spacing w:after="0" w:line="240" w:lineRule="auto"/>
              <w:rPr>
                <w:rFonts w:ascii="微软雅黑" w:hAnsi="微软雅黑" w:eastAsia="微软雅黑"/>
                <w:b w:val="0"/>
                <w:i w:val="0"/>
                <w:sz w:val="19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1. 找 </w:t>
            </w: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b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ug 测试；</w:t>
            </w:r>
          </w:p>
          <w:p w14:paraId="2EEBE2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2. 加 BGM 和配音；</w:t>
            </w:r>
          </w:p>
          <w:p w14:paraId="34C784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3. 继续调整美工；</w:t>
            </w:r>
          </w:p>
          <w:p w14:paraId="2C51D2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4. 调整游戏数值。</w:t>
            </w:r>
          </w:p>
        </w:tc>
      </w:tr>
      <w:tr w14:paraId="46EC1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2606" w:type="dxa"/>
            <w:shd w:val="clear" w:color="auto" w:fill="E8EDF3"/>
          </w:tcPr>
          <w:p w14:paraId="53ABFA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下次时间</w:t>
            </w:r>
          </w:p>
        </w:tc>
        <w:tc>
          <w:tcPr>
            <w:tcW w:w="2606" w:type="dxa"/>
          </w:tcPr>
          <w:p w14:paraId="272C3B31">
            <w:pPr>
              <w:spacing w:after="0" w:line="240" w:lineRule="auto"/>
            </w:pPr>
          </w:p>
        </w:tc>
        <w:tc>
          <w:tcPr>
            <w:tcW w:w="2606" w:type="dxa"/>
            <w:shd w:val="clear" w:color="auto" w:fill="E8EDF3"/>
          </w:tcPr>
          <w:p w14:paraId="47C111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地点 / 形式</w:t>
            </w:r>
          </w:p>
        </w:tc>
        <w:tc>
          <w:tcPr>
            <w:tcW w:w="2606" w:type="dxa"/>
          </w:tcPr>
          <w:p w14:paraId="7A1244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线下</w:t>
            </w:r>
          </w:p>
        </w:tc>
      </w:tr>
      <w:tr w14:paraId="7F61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06" w:type="dxa"/>
            <w:shd w:val="clear" w:color="auto" w:fill="E8EDF3"/>
          </w:tcPr>
          <w:p w14:paraId="01A5E1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下次议题</w:t>
            </w:r>
          </w:p>
        </w:tc>
        <w:tc>
          <w:tcPr>
            <w:tcW w:w="7818" w:type="dxa"/>
            <w:gridSpan w:val="3"/>
          </w:tcPr>
          <w:p w14:paraId="04509F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第一周成果检查与问题复盘，确定第二周的剧情分支、物品事件与小游戏的细化分工</w:t>
            </w:r>
          </w:p>
        </w:tc>
      </w:tr>
    </w:tbl>
    <w:p w14:paraId="2C9E5517"/>
    <w:sectPr>
      <w:pgSz w:w="12240" w:h="15840"/>
      <w:pgMar w:top="907" w:right="907" w:bottom="907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11442D"/>
    <w:rsid w:val="6C9D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846</Words>
  <Characters>913</Characters>
  <Lines>0</Lines>
  <Paragraphs>0</Paragraphs>
  <TotalTime>1</TotalTime>
  <ScaleCrop>false</ScaleCrop>
  <LinksUpToDate>false</LinksUpToDate>
  <CharactersWithSpaces>962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周欣阳</cp:lastModifiedBy>
  <dcterms:modified xsi:type="dcterms:W3CDTF">2026-09-03T05:06:14Z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eyJoZGlkIjoiZmJlNTYzMDVjYzllYzE4YThkYTM2YzdlMDYyMWRhYmIiLCJ1c2VySWQiOiIxNzUzODAyNjc4In0=</vt:lpwstr>
  </property>
  <property fmtid="{D5CDD505-2E9C-101B-9397-08002B2CF9AE}" pid="3" name="KSOProductBuildVer">
    <vt:lpwstr>2052-12.1.0.26375</vt:lpwstr>
  </property>
  <property fmtid="{D5CDD505-2E9C-101B-9397-08002B2CF9AE}" pid="4" name="ICV">
    <vt:lpwstr>905ACB2E77094C4B956EE075492715B2_13</vt:lpwstr>
  </property>
</Properties>
</file>