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9BB60">
      <w:pPr>
        <w:spacing w:after="160"/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i w:val="0"/>
          <w:color w:val="1B2430"/>
          <w:sz w:val="44"/>
        </w:rPr>
        <w:t>会 议 记 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606"/>
        <w:gridCol w:w="1296"/>
        <w:gridCol w:w="3916"/>
      </w:tblGrid>
      <w:tr w14:paraId="3F23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315F67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会议主题</w:t>
            </w:r>
          </w:p>
        </w:tc>
        <w:tc>
          <w:tcPr>
            <w:tcW w:w="2606" w:type="dxa"/>
            <w:vAlign w:val="center"/>
          </w:tcPr>
          <w:p w14:paraId="20A083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第二周工作部署与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游戏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方案决策</w:t>
            </w:r>
          </w:p>
        </w:tc>
        <w:tc>
          <w:tcPr>
            <w:tcW w:w="1296" w:type="dxa"/>
            <w:shd w:val="clear" w:color="auto" w:fill="E8EDF3"/>
            <w:vAlign w:val="center"/>
          </w:tcPr>
          <w:p w14:paraId="526C88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会议编号</w:t>
            </w:r>
          </w:p>
        </w:tc>
        <w:tc>
          <w:tcPr>
            <w:tcW w:w="3916" w:type="dxa"/>
            <w:vAlign w:val="center"/>
          </w:tcPr>
          <w:p w14:paraId="391CC1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二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次例会</w:t>
            </w:r>
          </w:p>
        </w:tc>
      </w:tr>
      <w:tr w14:paraId="08A4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76528B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会议时间</w:t>
            </w:r>
          </w:p>
        </w:tc>
        <w:tc>
          <w:tcPr>
            <w:tcW w:w="2606" w:type="dxa"/>
            <w:vAlign w:val="center"/>
          </w:tcPr>
          <w:p w14:paraId="793FB277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 w:val="0"/>
                <w:sz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2026年9月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日</w:t>
            </w:r>
          </w:p>
          <w:p w14:paraId="785F720B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20：20-22：20</w:t>
            </w:r>
          </w:p>
        </w:tc>
        <w:tc>
          <w:tcPr>
            <w:tcW w:w="1296" w:type="dxa"/>
            <w:shd w:val="clear" w:color="auto" w:fill="E8EDF3"/>
            <w:vAlign w:val="center"/>
          </w:tcPr>
          <w:p w14:paraId="133A31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会议地点</w:t>
            </w:r>
          </w:p>
        </w:tc>
        <w:tc>
          <w:tcPr>
            <w:tcW w:w="3916" w:type="dxa"/>
            <w:vAlign w:val="center"/>
          </w:tcPr>
          <w:p w14:paraId="683FBFC1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线下会议 / 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明德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社区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A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11</w:t>
            </w:r>
          </w:p>
        </w:tc>
      </w:tr>
      <w:tr w14:paraId="13D7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052D0F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主持人</w:t>
            </w:r>
          </w:p>
        </w:tc>
        <w:tc>
          <w:tcPr>
            <w:tcW w:w="2606" w:type="dxa"/>
            <w:vAlign w:val="center"/>
          </w:tcPr>
          <w:p w14:paraId="60468F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李天怡</w:t>
            </w:r>
          </w:p>
        </w:tc>
        <w:tc>
          <w:tcPr>
            <w:tcW w:w="1296" w:type="dxa"/>
            <w:shd w:val="clear" w:color="auto" w:fill="E8EDF3"/>
            <w:vAlign w:val="center"/>
          </w:tcPr>
          <w:p w14:paraId="118FBC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记录人</w:t>
            </w:r>
          </w:p>
        </w:tc>
        <w:tc>
          <w:tcPr>
            <w:tcW w:w="3916" w:type="dxa"/>
            <w:vAlign w:val="center"/>
          </w:tcPr>
          <w:p w14:paraId="1558BC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周欣阳</w:t>
            </w:r>
          </w:p>
        </w:tc>
      </w:tr>
      <w:tr w14:paraId="7C1F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3E1C22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参会人</w:t>
            </w:r>
          </w:p>
        </w:tc>
        <w:tc>
          <w:tcPr>
            <w:tcW w:w="7818" w:type="dxa"/>
            <w:gridSpan w:val="3"/>
            <w:vAlign w:val="center"/>
          </w:tcPr>
          <w:p w14:paraId="36C534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到会 6 人：李天怡、陈子昊、迟锐、董旭航、周欣阳、夏雨煊</w:t>
            </w:r>
          </w:p>
        </w:tc>
      </w:tr>
      <w:tr w14:paraId="2167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606" w:type="dxa"/>
            <w:shd w:val="clear" w:color="auto" w:fill="DCE6F0"/>
            <w:textDirection w:val="tbRlV"/>
            <w:vAlign w:val="center"/>
          </w:tcPr>
          <w:p w14:paraId="17B8A04C">
            <w:pPr>
              <w:spacing w:after="0" w:line="240" w:lineRule="auto"/>
              <w:ind w:left="113" w:right="113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B2430"/>
                <w:sz w:val="22"/>
              </w:rPr>
              <w:t>会议议程</w:t>
            </w:r>
          </w:p>
        </w:tc>
        <w:tc>
          <w:tcPr>
            <w:tcW w:w="7818" w:type="dxa"/>
            <w:gridSpan w:val="3"/>
          </w:tcPr>
          <w:p w14:paraId="5DD334F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 w:val="0"/>
                <w:i w:val="0"/>
                <w:sz w:val="21"/>
                <w:lang w:val="en-US"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93980</wp:posOffset>
                  </wp:positionV>
                  <wp:extent cx="2400300" cy="1799590"/>
                  <wp:effectExtent l="0" t="0" r="0" b="3810"/>
                  <wp:wrapSquare wrapText="bothSides"/>
                  <wp:docPr id="3" name="图片 3" descr="213256d29d93223661564ed298c2d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13256d29d93223661564ed298c2d49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1.讨论了有关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各节车厢的交互点设计与拓展、提示系统的增加与否、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哪些场景做检定哪些先玩小游戏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、剧本内容的拓展、属性和技能的调整与合并、小游戏的类型与实现的优先顺序以及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WebGL后处理特效的评估与可行性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、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3D场景探索的工作量评估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等议题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并给出了相应的解决方案；</w:t>
            </w:r>
          </w:p>
          <w:p w14:paraId="7A39FEBB">
            <w:pPr>
              <w:numPr>
                <w:numId w:val="0"/>
              </w:numPr>
              <w:spacing w:after="40" w:line="240" w:lineRule="auto"/>
              <w:rPr>
                <w:rFonts w:hint="default"/>
                <w:b w:val="0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2.明确本周要完成的总任务，制定相应计划；</w:t>
            </w:r>
          </w:p>
          <w:p w14:paraId="695AEC9E">
            <w:pPr>
              <w:spacing w:after="4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3. 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进行组内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分工：在总任务的基础上，按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照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程序、美工、文书、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剧本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四个板块把任务拆解并分配到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个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人，各自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明确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二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周的工作重点与必须完成的任务。</w:t>
            </w:r>
          </w:p>
        </w:tc>
      </w:tr>
      <w:tr w14:paraId="16CA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606" w:type="dxa"/>
            <w:shd w:val="clear" w:color="auto" w:fill="DCE6F0"/>
            <w:textDirection w:val="tbRlV"/>
            <w:vAlign w:val="center"/>
          </w:tcPr>
          <w:p w14:paraId="34D31318">
            <w:pPr>
              <w:spacing w:after="0" w:line="240" w:lineRule="auto"/>
              <w:ind w:left="113" w:right="113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i w:val="0"/>
                <w:color w:val="1B2430"/>
                <w:sz w:val="22"/>
              </w:rPr>
              <w:t>会议成果</w:t>
            </w:r>
          </w:p>
        </w:tc>
        <w:tc>
          <w:tcPr>
            <w:tcW w:w="7818" w:type="dxa"/>
            <w:gridSpan w:val="3"/>
          </w:tcPr>
          <w:p w14:paraId="6FF2370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一、针对相关议题给出了以下解决方案：</w:t>
            </w:r>
          </w:p>
          <w:p w14:paraId="05FF06D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(1)在</w:t>
            </w:r>
            <w:r>
              <w:rPr>
                <w:rFonts w:hint="default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核心玩法与战斗机制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方面：</w:t>
            </w:r>
          </w:p>
          <w:p w14:paraId="7FEC2A0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default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检定与小游戏的判定规则按剧情实际情况决定，不做统一强制规则，由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负责剧本的组员</w:t>
            </w:r>
            <w:r>
              <w:rPr>
                <w:rFonts w:hint="default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根据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剧本内容</w:t>
            </w:r>
            <w:r>
              <w:rPr>
                <w:rFonts w:hint="default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灵活安排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367BFC3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default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检定次数不能无限次，需设定合理上限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069CC13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2644775</wp:posOffset>
                  </wp:positionH>
                  <wp:positionV relativeFrom="paragraph">
                    <wp:posOffset>106045</wp:posOffset>
                  </wp:positionV>
                  <wp:extent cx="2192655" cy="1645285"/>
                  <wp:effectExtent l="0" t="0" r="4445" b="5715"/>
                  <wp:wrapSquare wrapText="bothSides"/>
                  <wp:docPr id="4" name="图片 4" descr="638fc69fc0219aa55c47f6364816e6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638fc69fc0219aa55c47f6364816e61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(2)在场景与交互方面：</w:t>
            </w:r>
          </w:p>
          <w:p w14:paraId="4BC3B74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需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增加场景点击次数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以增强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游戏体验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49486C6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(3)在剧情与叙事方面：</w:t>
            </w:r>
          </w:p>
          <w:p w14:paraId="46618C5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需要拓展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剧情以支撑交互点的丰富度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60A9CF4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乘务员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角色形象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需要更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具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疯癫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感</w:t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5A3ED75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(4)在</w:t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技能与检定系统方面：</w:t>
            </w:r>
          </w:p>
          <w:p w14:paraId="08A361E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医学与急救</w:t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可以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合并为一个技能</w:t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15972A6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· 可删除体质属性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以适当减少属性数量；</w:t>
            </w:r>
          </w:p>
          <w:p w14:paraId="2967F9C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删除技能获取条件，在获得技能时加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入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文本提示即可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49B1CA1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(5)在UI/UX与交互反馈方面</w:t>
            </w:r>
          </w:p>
          <w:p w14:paraId="324BD51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不</w:t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用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增加提示系统，做好场景内的自然引导即</w:t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可；</w:t>
            </w:r>
          </w:p>
          <w:p w14:paraId="5A77E47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(6)在道具与物品方面</w:t>
            </w:r>
          </w:p>
          <w:p w14:paraId="412B3F2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需在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道具上面加入文本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介绍以撑起游戏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内容，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但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加入时机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和方式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要合理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；</w:t>
            </w:r>
          </w:p>
          <w:p w14:paraId="110111F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(7)在美工方面：</w:t>
            </w:r>
          </w:p>
          <w:p w14:paraId="1033A66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 xml:space="preserve">· 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需对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Clicker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进行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美术优化：基于恐怖氛围整体调性，重新评估Clicker的视觉设计方案，重点强化其体表细节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、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质感表现</w:t>
            </w: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以及</w:t>
            </w:r>
            <w:r>
              <w:rPr>
                <w:rFonts w:hint="default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en-US" w:bidi="ar-SA"/>
              </w:rPr>
              <w:t>生物特征的异常感（如头部异形、无眼），通过更具冲击力的造型提升其对玩家的心理压迫力与恐怖沉浸感。</w:t>
            </w:r>
          </w:p>
          <w:p w14:paraId="74EC89E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2607310</wp:posOffset>
                  </wp:positionH>
                  <wp:positionV relativeFrom="paragraph">
                    <wp:posOffset>99695</wp:posOffset>
                  </wp:positionV>
                  <wp:extent cx="2075815" cy="1167130"/>
                  <wp:effectExtent l="0" t="0" r="6985" b="1270"/>
                  <wp:wrapThrough wrapText="bothSides">
                    <wp:wrapPolygon>
                      <wp:start x="0" y="0"/>
                      <wp:lineTo x="0" y="21388"/>
                      <wp:lineTo x="21408" y="21388"/>
                      <wp:lineTo x="21408" y="0"/>
                      <wp:lineTo x="0" y="0"/>
                    </wp:wrapPolygon>
                  </wp:wrapThrough>
                  <wp:docPr id="8" name="图片 8" descr="b7e3bad747a4475ec2b4ba68aed4da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b7e3bad747a4475ec2b4ba68aed4da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11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6EC8B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36195</wp:posOffset>
                  </wp:positionV>
                  <wp:extent cx="2164715" cy="716280"/>
                  <wp:effectExtent l="0" t="0" r="6985" b="7620"/>
                  <wp:wrapTopAndBottom/>
                  <wp:docPr id="6" name="图片 6" descr="7fb81d87549aefdda2181acd991cce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7fb81d87549aefdda2181acd991ccee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17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15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2D80D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1587500</wp:posOffset>
                      </wp:positionV>
                      <wp:extent cx="702310" cy="209550"/>
                      <wp:effectExtent l="4445" t="4445" r="17145" b="14605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242945" y="5560695"/>
                                <a:ext cx="702310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84B3F1">
                                  <w:pPr>
                                    <w:rPr>
                                      <w:rFonts w:hint="default" w:eastAsia="微软雅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0"/>
                                      <w:szCs w:val="11"/>
                                      <w:lang w:val="en-US" w:eastAsia="zh-CN"/>
                                    </w:rPr>
                                    <w:t>会议关键要点记录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4.25pt;margin-top:125pt;height:16.5pt;width:55.3pt;z-index:251665408;mso-width-relative:page;mso-height-relative:page;" fillcolor="#FFFFFF [3201]" filled="t" stroked="t" coordsize="21600,21600" o:gfxdata="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KXD491gAAAAsBAAAPAAAAAAAAAAEAIAAAACIAAABkcnMvZG93bnJldi54bWxQSwECFAAU&#10;AAAACACHTuJA0c0GcmUCAADEBAAADgAAAAAAAAABACAAAAAlAQAAZHJzL2Uyb0RvYy54bWxQSwUG&#10;AAAAAAYABgBZAQAA/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F84B3F1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1"/>
                                <w:lang w:val="en-US" w:eastAsia="zh-CN"/>
                              </w:rPr>
                              <w:t>会议关键要点记录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3648710</wp:posOffset>
                      </wp:positionH>
                      <wp:positionV relativeFrom="paragraph">
                        <wp:posOffset>27940</wp:posOffset>
                      </wp:positionV>
                      <wp:extent cx="742950" cy="215900"/>
                      <wp:effectExtent l="5080" t="4445" r="13970" b="8255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747385" y="4029710"/>
                                <a:ext cx="74295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85E942">
                                  <w:pPr>
                                    <w:rPr>
                                      <w:rFonts w:hint="default" w:eastAsia="微软雅黑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0"/>
                                      <w:szCs w:val="11"/>
                                      <w:lang w:val="en-US" w:eastAsia="zh-CN"/>
                                    </w:rPr>
                                    <w:t>会议ppt部分展示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87.3pt;margin-top:2.2pt;height:17pt;width:58.5pt;z-index:251664384;mso-width-relative:page;mso-height-relative:page;" fillcolor="#FFFFFF [3201]" filled="t" stroked="t" coordsize="21600,21600" o:gfxdata="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s6LMdUAAAAIAQAADwAAAAAAAAABACAAAAAiAAAAZHJzL2Rvd25yZXYueG1sUEsBAhQAFAAA&#10;AAgAh07iQEPxqVxkAgAAxAQAAA4AAAAAAAAAAQAgAAAAJAEAAGRycy9lMm9Eb2MueG1sUEsFBgAA&#10;AAAGAAYAWQEAAPo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885E942"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1"/>
                                <w:lang w:val="en-US" w:eastAsia="zh-CN"/>
                              </w:rPr>
                              <w:t>会议ppt部分展示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3228975</wp:posOffset>
                  </wp:positionH>
                  <wp:positionV relativeFrom="paragraph">
                    <wp:posOffset>612140</wp:posOffset>
                  </wp:positionV>
                  <wp:extent cx="1580515" cy="393065"/>
                  <wp:effectExtent l="0" t="0" r="6985" b="635"/>
                  <wp:wrapTopAndBottom/>
                  <wp:docPr id="7" name="图片 7" descr="06dc86597abbdca9bb44e8712a225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06dc86597abbdca9bb44e8712a22579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1566" t="9478" r="1557" b="16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81915</wp:posOffset>
                  </wp:positionV>
                  <wp:extent cx="3141980" cy="1466850"/>
                  <wp:effectExtent l="0" t="0" r="7620" b="6350"/>
                  <wp:wrapTopAndBottom/>
                  <wp:docPr id="9" name="图片 9" descr="de0ed40b6b443e2446582e803af804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de0ed40b6b443e2446582e803af804a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98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ECC9A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</w:p>
          <w:p w14:paraId="007981FC">
            <w:pPr>
              <w:pStyle w:val="3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i w:val="0"/>
                <w:kern w:val="0"/>
                <w:sz w:val="21"/>
                <w:szCs w:val="22"/>
                <w:lang w:val="en-US" w:eastAsia="zh-CN" w:bidi="ar-SA"/>
              </w:rPr>
              <w:t>二、针对拓展交互点这一议题，给出了每一节车厢的细化方案：</w:t>
            </w:r>
          </w:p>
          <w:tbl>
            <w:tblPr>
              <w:tblStyle w:val="34"/>
              <w:tblW w:w="760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762"/>
              <w:gridCol w:w="5840"/>
            </w:tblGrid>
            <w:tr w14:paraId="36767A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62" w:type="dxa"/>
                  <w:vAlign w:val="center"/>
                </w:tcPr>
                <w:p w14:paraId="2726C982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6号车厢</w:t>
                  </w:r>
                </w:p>
              </w:tc>
              <w:tc>
                <w:tcPr>
                  <w:tcW w:w="5840" w:type="dxa"/>
                  <w:vAlign w:val="center"/>
                </w:tcPr>
                <w:p w14:paraId="33F8B137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lang w:val="en-US" w:eastAsia="zh-CN" w:bidi="ar-SA"/>
                    </w:rPr>
                    <w:t>把便签换成英文的形式以便做成解谜小游戏</w:t>
                  </w:r>
                </w:p>
              </w:tc>
            </w:tr>
            <w:tr w14:paraId="308AA3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62" w:type="dxa"/>
                  <w:vAlign w:val="center"/>
                </w:tcPr>
                <w:p w14:paraId="43834935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7号车厢</w:t>
                  </w:r>
                </w:p>
              </w:tc>
              <w:tc>
                <w:tcPr>
                  <w:tcW w:w="5840" w:type="dxa"/>
                  <w:vAlign w:val="center"/>
                </w:tcPr>
                <w:p w14:paraId="53F4E4A7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收音机可以增加调频旋钮，通过类似旋钮游戏的形式，如果旋转正确则可给出一些小提示</w:t>
                  </w:r>
                </w:p>
              </w:tc>
            </w:tr>
            <w:tr w14:paraId="5E9095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62" w:type="dxa"/>
                  <w:vAlign w:val="center"/>
                </w:tcPr>
                <w:p w14:paraId="6D8C45C2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5号车厢</w:t>
                  </w:r>
                </w:p>
              </w:tc>
              <w:tc>
                <w:tcPr>
                  <w:tcW w:w="5840" w:type="dxa"/>
                  <w:vAlign w:val="center"/>
                </w:tcPr>
                <w:p w14:paraId="1AD68181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检定数量已经足够，无需增加检定。但可以在没用的背包道具中加入一些类似“救救我”的字条，在渲染恐怖氛围的同时增强交互</w:t>
                  </w:r>
                </w:p>
              </w:tc>
            </w:tr>
            <w:tr w14:paraId="34DDCD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62" w:type="dxa"/>
                  <w:vAlign w:val="center"/>
                </w:tcPr>
                <w:p w14:paraId="1983FC9B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4号车厢</w:t>
                  </w:r>
                </w:p>
              </w:tc>
              <w:tc>
                <w:tcPr>
                  <w:tcW w:w="5840" w:type="dxa"/>
                  <w:vAlign w:val="center"/>
                </w:tcPr>
                <w:p w14:paraId="46D4FAA1">
                  <w:pPr>
                    <w:pStyle w:val="3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lang w:val="en-US" w:eastAsia="zh-CN" w:bidi="ar-SA"/>
                    </w:rPr>
                    <w:t>该节车厢是玩家与重伤崩溃乘务员相遇的核心剧情节点，可以采用限时对话抉择机制：玩家需在倒计时内从多个选项中做出正确回应以安抚乘务员情绪，错误或超时将扣血条。乘务员对话以无标点或倒序文字等异常文本渲染其癫狂感，同时要着重强调让列车停下来这一点</w:t>
                  </w:r>
                </w:p>
              </w:tc>
            </w:tr>
            <w:tr w14:paraId="54269E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62" w:type="dxa"/>
                  <w:vAlign w:val="center"/>
                </w:tcPr>
                <w:p w14:paraId="15127779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3号车厢</w:t>
                  </w:r>
                </w:p>
              </w:tc>
              <w:tc>
                <w:tcPr>
                  <w:tcW w:w="5840" w:type="dxa"/>
                  <w:vAlign w:val="center"/>
                </w:tcPr>
                <w:p w14:paraId="53C713BA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进入该节车厢后直接切换到推箱小游戏。同时</w:t>
                  </w: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lang w:val="en-US" w:eastAsia="zh-CN" w:bidi="ar-SA"/>
                    </w:rPr>
                    <w:t>3号车厢必须与4号车厢形成强烈对比：4号车厢强调停下，3号车厢在翻东西时则可以给一些线索，提示玩家要继续前进</w:t>
                  </w:r>
                </w:p>
              </w:tc>
            </w:tr>
            <w:tr w14:paraId="6A8C86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62" w:type="dxa"/>
                  <w:vAlign w:val="center"/>
                </w:tcPr>
                <w:p w14:paraId="2131BA6E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2号车厢与3号车厢之间</w:t>
                  </w:r>
                </w:p>
              </w:tc>
              <w:tc>
                <w:tcPr>
                  <w:tcW w:w="5840" w:type="dxa"/>
                  <w:vAlign w:val="center"/>
                </w:tcPr>
                <w:p w14:paraId="6AF27E3A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设置鬼打墙，如果错误次数太多，直接进入加假结局</w:t>
                  </w:r>
                </w:p>
              </w:tc>
            </w:tr>
            <w:tr w14:paraId="4FCD6A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796" w:hRule="atLeast"/>
              </w:trPr>
              <w:tc>
                <w:tcPr>
                  <w:tcW w:w="1762" w:type="dxa"/>
                  <w:vAlign w:val="center"/>
                </w:tcPr>
                <w:p w14:paraId="5EBF0693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2号车厢</w:t>
                  </w:r>
                </w:p>
              </w:tc>
              <w:tc>
                <w:tcPr>
                  <w:tcW w:w="5840" w:type="dxa"/>
                  <w:vAlign w:val="center"/>
                </w:tcPr>
                <w:p w14:paraId="0640E4B9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增加卡牌和飞行棋小游戏，将“投掷”完善成钓鱼小游戏</w:t>
                  </w:r>
                </w:p>
              </w:tc>
            </w:tr>
            <w:tr w14:paraId="188EFC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62" w:type="dxa"/>
                  <w:vAlign w:val="center"/>
                </w:tcPr>
                <w:p w14:paraId="3AB88F1A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头车</w:t>
                  </w:r>
                </w:p>
              </w:tc>
              <w:tc>
                <w:tcPr>
                  <w:tcW w:w="5840" w:type="dxa"/>
                  <w:vAlign w:val="center"/>
                </w:tcPr>
                <w:p w14:paraId="63848462">
                  <w:pPr>
                    <w:pStyle w:val="30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left"/>
                    <w:rPr>
                      <w:rFonts w:hint="default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b w:val="0"/>
                      <w:bCs w:val="0"/>
                      <w:i w:val="0"/>
                      <w:kern w:val="0"/>
                      <w:sz w:val="21"/>
                      <w:szCs w:val="22"/>
                      <w:vertAlign w:val="baseline"/>
                      <w:lang w:val="en-US" w:eastAsia="zh-CN" w:bidi="ar-SA"/>
                    </w:rPr>
                    <w:t>新增乘务员抢夺车把手的冲突事件，以QTE（快速反应事件）作为核心交互方式，成败直接影响结局走向</w:t>
                  </w:r>
                </w:p>
              </w:tc>
            </w:tr>
          </w:tbl>
          <w:p w14:paraId="07F3EA89">
            <w:pPr>
              <w:spacing w:after="40" w:line="240" w:lineRule="auto"/>
              <w:rPr>
                <w:rFonts w:hint="default"/>
                <w:lang w:val="en-US" w:eastAsia="zh-CN"/>
              </w:rPr>
            </w:pPr>
          </w:p>
        </w:tc>
      </w:tr>
      <w:tr w14:paraId="4831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  <w:jc w:val="center"/>
        </w:trPr>
        <w:tc>
          <w:tcPr>
            <w:tcW w:w="2606" w:type="dxa"/>
            <w:vMerge w:val="restart"/>
            <w:shd w:val="clear" w:color="auto" w:fill="DCE6F0"/>
            <w:textDirection w:val="tbRlV"/>
            <w:vAlign w:val="center"/>
          </w:tcPr>
          <w:p w14:paraId="22FF4346">
            <w:pPr>
              <w:spacing w:after="0" w:line="240" w:lineRule="auto"/>
              <w:ind w:left="113" w:right="113"/>
              <w:jc w:val="center"/>
              <w:rPr>
                <w:rFonts w:ascii="微软雅黑" w:hAnsi="微软雅黑" w:eastAsia="微软雅黑"/>
                <w:b/>
                <w:i w:val="0"/>
                <w:color w:val="1B2430"/>
                <w:sz w:val="22"/>
              </w:rPr>
            </w:pPr>
            <w:r>
              <w:rPr>
                <w:rFonts w:ascii="微软雅黑" w:hAnsi="微软雅黑" w:eastAsia="微软雅黑"/>
                <w:b/>
                <w:i w:val="0"/>
                <w:color w:val="1B2430"/>
                <w:sz w:val="22"/>
              </w:rPr>
              <w:t>下一步规划</w:t>
            </w:r>
          </w:p>
          <w:p w14:paraId="1E8165D0">
            <w:pPr>
              <w:spacing w:after="0" w:line="240" w:lineRule="auto"/>
              <w:ind w:left="113" w:right="113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i w:val="0"/>
                <w:color w:val="1B2430"/>
                <w:sz w:val="22"/>
                <w:lang w:eastAsia="zh-CN"/>
              </w:rPr>
              <w:t>（</w:t>
            </w:r>
            <w:r>
              <w:rPr>
                <w:rFonts w:hint="eastAsia"/>
                <w:b/>
                <w:i w:val="0"/>
                <w:color w:val="1B2430"/>
                <w:sz w:val="22"/>
                <w:lang w:val="en-US" w:eastAsia="zh-CN"/>
              </w:rPr>
              <w:t>第一周计划已圆满完成</w:t>
            </w:r>
            <w:r>
              <w:rPr>
                <w:rFonts w:hint="eastAsia"/>
                <w:b/>
                <w:i w:val="0"/>
                <w:color w:val="1B2430"/>
                <w:sz w:val="22"/>
                <w:lang w:eastAsia="zh-CN"/>
              </w:rPr>
              <w:t>）</w:t>
            </w:r>
          </w:p>
        </w:tc>
        <w:tc>
          <w:tcPr>
            <w:tcW w:w="3902" w:type="dxa"/>
            <w:gridSpan w:val="2"/>
            <w:vAlign w:val="center"/>
          </w:tcPr>
          <w:p w14:paraId="4672BA18">
            <w:pPr>
              <w:spacing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第二周</w:t>
            </w:r>
          </w:p>
          <w:p w14:paraId="37AC26D6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优化与拓展</w:t>
            </w:r>
          </w:p>
        </w:tc>
        <w:tc>
          <w:tcPr>
            <w:tcW w:w="3916" w:type="dxa"/>
            <w:vAlign w:val="top"/>
          </w:tcPr>
          <w:p w14:paraId="2F823328">
            <w:pPr>
              <w:spacing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第三周</w:t>
            </w:r>
          </w:p>
          <w:p w14:paraId="30E09A3D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测试与润色</w:t>
            </w:r>
          </w:p>
        </w:tc>
      </w:tr>
      <w:tr w14:paraId="1802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2606" w:type="dxa"/>
            <w:vMerge w:val="continue"/>
            <w:shd w:val="clear" w:color="auto" w:fill="DCE6F0"/>
            <w:textDirection w:val="tbRlV"/>
            <w:vAlign w:val="center"/>
          </w:tcPr>
          <w:p w14:paraId="2EF23A57">
            <w:pPr>
              <w:spacing w:after="0" w:line="240" w:lineRule="auto"/>
            </w:pPr>
          </w:p>
        </w:tc>
        <w:tc>
          <w:tcPr>
            <w:tcW w:w="3902" w:type="dxa"/>
            <w:gridSpan w:val="2"/>
          </w:tcPr>
          <w:p w14:paraId="50EEF695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1.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完成收音机调频、卡牌、钓鱼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小游戏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及交涉文字游戏等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小游戏的开发制作</w:t>
            </w:r>
          </w:p>
          <w:p w14:paraId="748145C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2.绘制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收音机大图，优化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车厢门以及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Clicker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的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视觉表现，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实现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车厢抖动与灯光闪烁效果</w:t>
            </w:r>
          </w:p>
          <w:p w14:paraId="04F13F39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3.</w:t>
            </w:r>
            <w:r>
              <w:rPr>
                <w:rFonts w:hint="eastAsia" w:ascii="微软雅黑" w:hAnsi="微软雅黑" w:eastAsia="微软雅黑"/>
                <w:b w:val="0"/>
                <w:i w:val="0"/>
                <w:sz w:val="19"/>
                <w:lang w:val="en-US" w:eastAsia="zh-CN"/>
              </w:rPr>
              <w:t>完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成</w:t>
            </w:r>
            <w:r>
              <w:rPr>
                <w:rFonts w:hint="eastAsia" w:ascii="微软雅黑" w:hAnsi="微软雅黑" w:eastAsia="微软雅黑"/>
                <w:b w:val="0"/>
                <w:i w:val="0"/>
                <w:sz w:val="19"/>
                <w:lang w:val="en-US" w:eastAsia="zh-CN"/>
              </w:rPr>
              <w:t>小游戏的UI设计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，完善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网页框架UI</w:t>
            </w:r>
            <w:r>
              <w:rPr>
                <w:rFonts w:hint="eastAsia" w:ascii="微软雅黑" w:hAnsi="微软雅黑" w:eastAsia="微软雅黑"/>
                <w:b w:val="0"/>
                <w:i w:val="0"/>
                <w:sz w:val="19"/>
                <w:lang w:eastAsia="zh-CN"/>
              </w:rPr>
              <w:t>，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在现有网页框架基础上完成UI视觉风格的统一与界面细节细化</w:t>
            </w:r>
          </w:p>
          <w:p w14:paraId="004F2574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sz w:val="19"/>
                <w:lang w:val="en-US" w:eastAsia="zh-CN"/>
              </w:rPr>
              <w:t>4.增加交互点，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扩展剧情内容，撰写各车厢交涉对话文本与调查类物品的描述文字</w:t>
            </w:r>
          </w:p>
          <w:p w14:paraId="75427FF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5.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完成检定动画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的</w:t>
            </w:r>
            <w:r>
              <w:rPr>
                <w:rFonts w:hint="default" w:ascii="微软雅黑" w:hAnsi="微软雅黑" w:eastAsia="微软雅黑"/>
                <w:b w:val="0"/>
                <w:i w:val="0"/>
                <w:sz w:val="19"/>
              </w:rPr>
              <w:t>制作</w:t>
            </w:r>
          </w:p>
        </w:tc>
        <w:tc>
          <w:tcPr>
            <w:tcW w:w="3916" w:type="dxa"/>
          </w:tcPr>
          <w:p w14:paraId="366FD620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1. 找 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b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ug 测试</w:t>
            </w:r>
          </w:p>
          <w:p w14:paraId="2EEBE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 加 BGM 和配音</w:t>
            </w:r>
          </w:p>
          <w:p w14:paraId="2C51D2AE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 调整美工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与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游戏数值</w:t>
            </w:r>
          </w:p>
          <w:p w14:paraId="7DB419E7">
            <w:pPr>
              <w:spacing w:after="0" w:line="240" w:lineRule="auto"/>
              <w:rPr>
                <w:rFonts w:hint="eastAsia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4.完善剩余小游戏的制作</w:t>
            </w:r>
          </w:p>
          <w:p w14:paraId="1DE9FD5D">
            <w:pPr>
              <w:spacing w:after="0" w:line="240" w:lineRule="auto"/>
              <w:rPr>
                <w:rFonts w:hint="eastAsia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5.可加入隐藏式结局的设</w:t>
            </w:r>
            <w:bookmarkStart w:id="0" w:name="_GoBack"/>
            <w:bookmarkEnd w:id="0"/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定</w:t>
            </w:r>
          </w:p>
          <w:p w14:paraId="7E517493">
            <w:pPr>
              <w:spacing w:after="0" w:line="240" w:lineRule="auto"/>
              <w:rPr>
                <w:rFonts w:hint="default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sz w:val="19"/>
                <w:lang w:val="en-US" w:eastAsia="zh-CN"/>
              </w:rPr>
              <w:t>6.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探索Meta恐怖元素与3D场景表现的可能性</w:t>
            </w:r>
          </w:p>
        </w:tc>
      </w:tr>
      <w:tr w14:paraId="46EC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53ABFA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下次时间</w:t>
            </w:r>
          </w:p>
        </w:tc>
        <w:tc>
          <w:tcPr>
            <w:tcW w:w="2606" w:type="dxa"/>
            <w:vAlign w:val="center"/>
          </w:tcPr>
          <w:p w14:paraId="0F7C9C43">
            <w:pPr>
              <w:spacing w:after="0"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第三周周二 9.15</w:t>
            </w:r>
          </w:p>
        </w:tc>
        <w:tc>
          <w:tcPr>
            <w:tcW w:w="1296" w:type="dxa"/>
            <w:shd w:val="clear" w:color="auto" w:fill="E8EDF3"/>
            <w:vAlign w:val="center"/>
          </w:tcPr>
          <w:p w14:paraId="47C111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地点 / 形式</w:t>
            </w:r>
          </w:p>
        </w:tc>
        <w:tc>
          <w:tcPr>
            <w:tcW w:w="3916" w:type="dxa"/>
            <w:vAlign w:val="center"/>
          </w:tcPr>
          <w:p w14:paraId="7A1244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线下</w:t>
            </w:r>
          </w:p>
        </w:tc>
      </w:tr>
      <w:tr w14:paraId="7F61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01A5E1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下次议题</w:t>
            </w:r>
          </w:p>
        </w:tc>
        <w:tc>
          <w:tcPr>
            <w:tcW w:w="7818" w:type="dxa"/>
            <w:gridSpan w:val="3"/>
            <w:vAlign w:val="center"/>
          </w:tcPr>
          <w:p w14:paraId="04509F87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二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周成果检查与问题复盘</w:t>
            </w:r>
            <w:r>
              <w:rPr>
                <w:rFonts w:hint="eastAsia" w:ascii="微软雅黑" w:hAnsi="微软雅黑" w:eastAsia="微软雅黑"/>
                <w:b w:val="0"/>
                <w:i w:val="0"/>
                <w:sz w:val="21"/>
                <w:lang w:eastAsia="zh-CN"/>
              </w:rPr>
              <w:t>，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第三周测试与收尾工作安排</w:t>
            </w:r>
          </w:p>
        </w:tc>
      </w:tr>
    </w:tbl>
    <w:p w14:paraId="2C9E5517"/>
    <w:sectPr>
      <w:pgSz w:w="12240" w:h="15840"/>
      <w:pgMar w:top="907" w:right="907" w:bottom="90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A36093"/>
    <w:rsid w:val="2011442D"/>
    <w:rsid w:val="21323907"/>
    <w:rsid w:val="277F7943"/>
    <w:rsid w:val="66F42E98"/>
    <w:rsid w:val="675D7CA3"/>
    <w:rsid w:val="67E8351A"/>
    <w:rsid w:val="6C9D7A5A"/>
    <w:rsid w:val="75DF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qFormat/>
    <w:uiPriority w:val="0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326</Words>
  <Characters>353</Characters>
  <Lines>0</Lines>
  <Paragraphs>0</Paragraphs>
  <TotalTime>9</TotalTime>
  <ScaleCrop>false</ScaleCrop>
  <LinksUpToDate>false</LinksUpToDate>
  <CharactersWithSpaces>375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周欣阳</cp:lastModifiedBy>
  <dcterms:modified xsi:type="dcterms:W3CDTF">2026-09-09T11:18:22Z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eyJoZGlkIjoiZmJlNTYzMDVjYzllYzE4YThkYTM2YzdlMDYyMWRhYmIiLCJ1c2VySWQiOiIxNzUzODAyNjc4In0=</vt:lpwstr>
  </property>
  <property fmtid="{D5CDD505-2E9C-101B-9397-08002B2CF9AE}" pid="3" name="KSOProductBuildVer">
    <vt:lpwstr>2052-12.1.0.28505</vt:lpwstr>
  </property>
  <property fmtid="{D5CDD505-2E9C-101B-9397-08002B2CF9AE}" pid="4" name="ICV">
    <vt:lpwstr>FDE716C8D505475C93A70EBA149284AE_13</vt:lpwstr>
  </property>
</Properties>
</file>