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0A6CE">
      <w:pPr>
        <w:pStyle w:val="10"/>
        <w:spacing w:after="160"/>
        <w:jc w:val="left"/>
      </w:pPr>
      <w:r>
        <w:rPr>
          <w:rFonts w:ascii="Arial" w:hAnsi="Arial" w:eastAsia="微软雅黑" w:cs="Arial"/>
          <w:b/>
          <w:bCs/>
          <w:color w:val="000000"/>
          <w:sz w:val="36"/>
          <w:szCs w:val="36"/>
        </w:rPr>
        <w:t>海外达人分销 CRM 项目报价与排期方案</w:t>
      </w:r>
    </w:p>
    <w:p w14:paraId="7E61D338">
      <w:pPr>
        <w:spacing w:after="40"/>
      </w:pPr>
      <w:r>
        <w:rPr>
          <w:rFonts w:ascii="Arial" w:hAnsi="Arial" w:eastAsia="微软雅黑" w:cs="Arial"/>
          <w:color w:val="5A6474"/>
          <w:sz w:val="19"/>
          <w:szCs w:val="19"/>
        </w:rPr>
        <w:t>依据文档：《海外达人分销CRM系统需求说明书(界面版).docx》《海外达人分销CRM系统——数据看板模块需求说明书》</w:t>
      </w:r>
    </w:p>
    <w:p w14:paraId="0D42379A">
      <w:pPr>
        <w:spacing w:after="40"/>
      </w:pPr>
      <w:r>
        <w:rPr>
          <w:rFonts w:ascii="Arial" w:hAnsi="Arial" w:eastAsia="微软雅黑" w:cs="Arial"/>
          <w:color w:val="5A6474"/>
          <w:sz w:val="19"/>
          <w:szCs w:val="19"/>
        </w:rPr>
        <w:t>编制日期：2026-10-01　｜　报价有效期：30 天</w:t>
      </w:r>
    </w:p>
    <w:p w14:paraId="4D594D6E">
      <w:pPr>
        <w:spacing w:after="160"/>
      </w:pPr>
      <w:r>
        <w:t>本方案用于首轮需求沟通后的合作评估，拟通过达人专属链接、订单归因、佣金结算及数据看板，减少人工对账并支持日常运营。以下列明本次报价对应的交付内容、预计周期和费用，供贵方判断是否合作。</w:t>
      </w:r>
    </w:p>
    <w:p w14:paraId="092B9FE7">
      <w:pPr>
        <w:pStyle w:val="2"/>
        <w:keepNext/>
      </w:pPr>
      <w:r>
        <w:rPr>
          <w:rFonts w:ascii="Arial" w:hAnsi="Arial" w:eastAsia="微软雅黑" w:cs="Arial"/>
          <w:color w:val="000000"/>
        </w:rPr>
        <w:t>一、报价总览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8598"/>
      </w:tblGrid>
      <w:tr w14:paraId="62CC9EEC">
        <w:trPr>
          <w:cantSplit/>
          <w:tblHeader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D6071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87915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内容</w:t>
            </w:r>
          </w:p>
        </w:tc>
      </w:tr>
      <w:tr w14:paraId="6F6338BE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7F93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开发费用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1BB1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¥30,000</w:t>
            </w:r>
            <w:r>
              <w:rPr>
                <w:rFonts w:ascii="Arial" w:hAnsi="Arial" w:eastAsia="微软雅黑" w:cs="Arial"/>
                <w:sz w:val="19"/>
                <w:szCs w:val="19"/>
              </w:rPr>
              <w:t>（一次性，人民币，不含税；含 CRM 主体与数据看板模块）</w:t>
            </w:r>
          </w:p>
        </w:tc>
      </w:tr>
      <w:tr w14:paraId="1428BAE5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3ECA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开发周期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74B2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预计 39 个连续自然日（含周末），自双方约定的启动日起计算；具体安排见第四章</w:t>
            </w:r>
          </w:p>
        </w:tc>
      </w:tr>
      <w:tr w14:paraId="503D1E4A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F7B4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运行成本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F9D3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 xml:space="preserve">约 </w:t>
            </w: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¥312～378/月</w:t>
            </w:r>
            <w:r>
              <w:rPr>
                <w:rFonts w:ascii="Arial" w:hAnsi="Arial" w:eastAsia="微软雅黑" w:cs="Arial"/>
                <w:sz w:val="19"/>
                <w:szCs w:val="19"/>
              </w:rPr>
              <w:t>（视服务器选择），由贵方直接支付给服务商，详见 5.2</w:t>
            </w:r>
          </w:p>
        </w:tc>
      </w:tr>
      <w:tr w14:paraId="4AB2D8EF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D254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运维服务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502D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可选，¥1,500/月，免费质保期满后按需开通</w:t>
            </w:r>
          </w:p>
        </w:tc>
      </w:tr>
      <w:tr w14:paraId="2F64DD39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1122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免费质保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594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验收签认后 1 个月</w:t>
            </w:r>
          </w:p>
        </w:tc>
      </w:tr>
      <w:tr w14:paraId="37B2BABB">
        <w:trPr>
          <w:cantSplit/>
        </w:trPr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0DF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交付内容</w:t>
            </w:r>
          </w:p>
        </w:tc>
        <w:tc>
          <w:tcPr>
            <w:tcW w:w="85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F586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部署上线的系统、本项目全部源代码、部署文档、操作说明</w:t>
            </w:r>
          </w:p>
        </w:tc>
      </w:tr>
    </w:tbl>
    <w:p w14:paraId="390BCB31">
      <w:pPr>
        <w:spacing w:after="160"/>
      </w:pPr>
    </w:p>
    <w:p w14:paraId="69E88A65">
      <w:pPr>
        <w:pStyle w:val="2"/>
        <w:keepNext/>
      </w:pPr>
      <w:r>
        <w:rPr>
          <w:rFonts w:ascii="Arial" w:hAnsi="Arial" w:eastAsia="微软雅黑" w:cs="Arial"/>
          <w:color w:val="000000"/>
        </w:rPr>
        <w:t>二、交付范围</w:t>
      </w:r>
    </w:p>
    <w:p w14:paraId="105F3C11">
      <w:pPr>
        <w:pStyle w:val="3"/>
        <w:keepNext/>
      </w:pPr>
      <w:r>
        <w:rPr>
          <w:rFonts w:ascii="Arial" w:hAnsi="Arial" w:eastAsia="微软雅黑" w:cs="Arial"/>
          <w:color w:val="000000"/>
        </w:rPr>
        <w:t>2.1 本期交付功能</w:t>
      </w:r>
    </w:p>
    <w:p w14:paraId="284B7D18">
      <w:pPr>
        <w:spacing w:after="120" w:line="340" w:lineRule="auto"/>
      </w:pPr>
      <w:r>
        <w:rPr>
          <w:rFonts w:ascii="Arial" w:hAnsi="Arial" w:eastAsia="微软雅黑" w:cs="Arial"/>
          <w:b w:val="0"/>
          <w:bCs/>
        </w:rPr>
        <w:t>下表为本次报价拟交付内容，P0、P1、P2 表示开发优先级，均包含在本期报价内。“是否有待确认项目”提示需进一步确认的业务规则或实现条件，详见第六章；技术验证事项详见第七章。</w:t>
      </w:r>
    </w:p>
    <w:p w14:paraId="26687499">
      <w:pPr>
        <w:spacing w:after="160"/>
      </w:pPr>
      <w:r>
        <w:t>报价规模假设：首期按 100 位达人、每位最多 2 万个商品链接、最多 3 个贵方自有微店店铺估算。该规模用于报价和方案评估，不代表微店已允许同等数量的商品副本；最终上线规模需结合平台规则及实测确认。超出该规模或改变数据来源时，另行评估工作量、资源及排期影响。</w:t>
      </w:r>
    </w:p>
    <w:p w14:paraId="0FD4764F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  <w:color w:val="000000"/>
        </w:rPr>
        <w:t>（一）CRM 主体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871"/>
        <w:gridCol w:w="5159"/>
        <w:gridCol w:w="1361"/>
      </w:tblGrid>
      <w:tr w14:paraId="288151DB">
        <w:trPr>
          <w:cantSplit/>
          <w:tblHeader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F3D3A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53359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3335D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本次报价拟交付内容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D3BAA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是否有待确认项目</w:t>
            </w:r>
          </w:p>
        </w:tc>
      </w:tr>
      <w:tr w14:paraId="69B52F28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5ABC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E8DB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达人注册管理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97F4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运营/商务录入达人姓名、邮箱、国家及社媒账号，支持 Excel 批量导入；自动生成唯一达人 ID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5D5B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33E6BC45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E1A2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90D3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商品链接管理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FC68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批量导入原商品链接库及专属商品对应关系，维护系统内商品基础信息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34EB8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EF0A475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7BFA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4857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专属链接生成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1AC1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基于贵方已复制的专属商品及对应关系，为每位达人批量生成最多 2 万条带溯源参数的中转链接；记录链接点击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7966D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4FA6DED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1F7F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747A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Sheet 自动分发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90BF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自动创建达人推广表格并写入商品链接；订单、佣金、结算在系统达人端查看。私有四页签表格备选方式见 6.3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D1E0E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06726E7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1C34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B70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微店订单同步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6C27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接口开通后每 5 分钟增量同步；同时支持 Excel/CSV 批量导入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D89B3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19B57DDE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B0EC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04D8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智能订单匹配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A8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按订单商品明细中的专属商品 ID 归因；无法识别的订单进入人工匹配池，支持后台修正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78E66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3135D777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BAA4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主链路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D241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佣金结算管理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ABC9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按预设比例自动计算佣金；待结算、已结算、资金冻结、退款佣金扣回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EDAE5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E550D6A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AB5F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42AC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达人账号管理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40B4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达人账号启用、禁用、资料编辑及密码重置，不设置独立审核流程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1C12C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4ED49CF3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4857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80F2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销售数据统计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526C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订单量、总销售额、退款金额、净销售额；按日/周/月生成报表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E6DE8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68DD356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F466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24E6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达人前台看板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3810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达人仅查看自己的链接、订单、销售及结算数据；英文界面，暂不展示点击量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FD095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45CB7EC8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6FAA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4D40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后台全域管理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C87A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全域达人、商品、订单管理；销售排行榜及异常数据监控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B7557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284C70C8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054C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CB39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多角色权限控制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E6CD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超级管理员、运营、财务、达人角色；商务按运营角色分配，仅查看自己负责的达人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300EE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1DCA4B52"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8388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管理与统计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C8F2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全链路日志审计</w:t>
            </w:r>
          </w:p>
        </w:tc>
        <w:tc>
          <w:tcPr>
            <w:tcW w:w="51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B2D1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链接导入、订单匹配、人工修正、佣金结算、账号变更全部可追溯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0FCA3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</w:tbl>
    <w:p w14:paraId="646EA10E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  <w:color w:val="000000"/>
        </w:rPr>
        <w:t>（二）数据看板模块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5443"/>
        <w:gridCol w:w="1361"/>
      </w:tblGrid>
      <w:tr w14:paraId="49A8758A">
        <w:trPr>
          <w:cantSplit/>
          <w:tblHeader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F79F0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68A10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C658B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本次报价拟交付内容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9E182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是否有待确认项目</w:t>
            </w:r>
          </w:p>
        </w:tc>
      </w:tr>
      <w:tr w14:paraId="42EA9620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B35E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FFC7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微店总店看板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9C79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订单及销售指标、今日/本月/累计切换、趋势图、明细表；全店 UV、PV、下单人数及转化率的来源和口径待确认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13CA6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3CCA16F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BF30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092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达人端个人看板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E177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订单数、净销售额、客单价、退款及佣金；趋势图、明细列表；英文界面，不含点击量和导出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F4476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6087D5B5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47A8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5B3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商务端看板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3912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团队汇总卡片、达人排行榜（订单数、净销售额、客单价）、搜索、筛选、导出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E63E7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0E403CC2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FF63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P0 必做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56EA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4BD8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筛选条件区、排行榜主表、4 个汇总卡、导出 Excel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22689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6AB2F044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749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重要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64CF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全部看板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9800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自定义日期区间、下钻明细、环比变化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12EB2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  <w:tr w14:paraId="448BECFB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FD0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重要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3256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71FC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排名变化、TOP10 横向柱状图、订单数与退款订单数对比图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909C7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  <w:tr w14:paraId="63867032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F70F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P1 重要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AB20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01BB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商品下钻详情（达人带货排行、近 30 日趋势、订单明细）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3FFA9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</w:t>
            </w:r>
          </w:p>
        </w:tc>
      </w:tr>
      <w:tr w14:paraId="4C36A584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8787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P2 优化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CC82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商务端看板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87BD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散点图（客单价 vs 订单数），识别高价值达人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D22B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308C3D52">
        <w:trPr>
          <w:cantSplit/>
        </w:trPr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9F0E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P2 优化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1039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商品运营看板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8644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四象限散点图、系统内高退预警、环比趋势标识</w:t>
            </w:r>
          </w:p>
        </w:tc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3BF42">
            <w:pPr>
              <w:keepNext w:val="0"/>
              <w:spacing w:before="40" w:after="40" w:line="269" w:lineRule="auto"/>
              <w:jc w:val="center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</w:tbl>
    <w:p w14:paraId="5989D951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不在本期范围内</w:t>
      </w:r>
    </w:p>
    <w:p w14:paraId="571B13E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外部机器人通知（系统内高退预警包含在内）</w:t>
      </w:r>
    </w:p>
    <w:p w14:paraId="18E7389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超过 3 个微店店铺或更换订单数据来源</w:t>
      </w:r>
    </w:p>
    <w:p w14:paraId="481523FA">
      <w:pPr>
        <w:pStyle w:val="3"/>
        <w:keepNext/>
      </w:pPr>
      <w:r>
        <w:rPr>
          <w:rFonts w:ascii="Arial" w:hAnsi="Arial" w:eastAsia="微软雅黑" w:cs="Arial"/>
          <w:color w:val="000000"/>
        </w:rPr>
        <w:t>2.2 可选增值项（另行计费）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4541"/>
        <w:gridCol w:w="1040"/>
        <w:gridCol w:w="2417"/>
      </w:tblGrid>
      <w:tr w14:paraId="231E4A2E">
        <w:trPr>
          <w:cantSplit/>
          <w:tblHeader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456A9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增值项</w:t>
            </w:r>
          </w:p>
        </w:tc>
        <w:tc>
          <w:tcPr>
            <w:tcW w:w="45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CB1F5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解决的问题</w:t>
            </w:r>
          </w:p>
        </w:tc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57C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开发费用</w:t>
            </w:r>
          </w:p>
        </w:tc>
        <w:tc>
          <w:tcPr>
            <w:tcW w:w="2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9C69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增加的运行成本</w:t>
            </w:r>
          </w:p>
        </w:tc>
      </w:tr>
      <w:tr w14:paraId="5712AC69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5D7F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双机热备</w:t>
            </w:r>
          </w:p>
        </w:tc>
        <w:tc>
          <w:tcPr>
            <w:tcW w:w="45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7B50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增加备用服务器、数据库主从同步及故障切换，降低单机故障影响；切换可能短暂中断，不能替代备份</w:t>
            </w:r>
          </w:p>
        </w:tc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B7E9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¥3,000</w:t>
            </w:r>
          </w:p>
        </w:tc>
        <w:tc>
          <w:tcPr>
            <w:tcW w:w="2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C27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¥290～350/月（同配置备用服务器 + Cloudflare 负载均衡约 US$5/月）</w:t>
            </w:r>
          </w:p>
        </w:tc>
      </w:tr>
      <w:tr w14:paraId="02E4D71A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5E64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分钟级数据恢复</w:t>
            </w:r>
          </w:p>
        </w:tc>
        <w:tc>
          <w:tcPr>
            <w:tcW w:w="45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0C6F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在每日备份基础上增加日志归档，支持按时间点恢复；目标最多丢失 5 分钟数据，以恢复演练结果为准</w:t>
            </w:r>
          </w:p>
        </w:tc>
        <w:tc>
          <w:tcPr>
            <w:tcW w:w="10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309F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¥1,000</w:t>
            </w:r>
          </w:p>
        </w:tc>
        <w:tc>
          <w:tcPr>
            <w:tcW w:w="2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AA40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¥0～10/月（归档存储）</w:t>
            </w:r>
          </w:p>
        </w:tc>
      </w:tr>
    </w:tbl>
    <w:p w14:paraId="02495B53">
      <w:pPr>
        <w:pStyle w:val="2"/>
        <w:keepNext/>
      </w:pPr>
      <w:r>
        <w:rPr>
          <w:rFonts w:ascii="Arial" w:hAnsi="Arial" w:eastAsia="微软雅黑" w:cs="Arial"/>
          <w:color w:val="000000"/>
        </w:rPr>
        <w:t>三、技术方案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461"/>
        <w:gridCol w:w="3737"/>
      </w:tblGrid>
      <w:tr w14:paraId="5BFE1CA0">
        <w:trPr>
          <w:cantSplit/>
          <w:tblHeader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8C5F4">
            <w:pPr>
              <w:keepNext/>
              <w:spacing w:before="40" w:after="40" w:line="269" w:lineRule="auto"/>
              <w:jc w:val="left"/>
            </w:pP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D3C98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方案 A：国内大厂云（推荐）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C11E5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方案 B：海外大厂云</w:t>
            </w:r>
          </w:p>
        </w:tc>
      </w:tr>
      <w:tr w14:paraId="7AC04851">
        <w:trPr>
          <w:cantSplit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D6F4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服务商与配置</w:t>
            </w: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915A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腾讯云轻量应用服务器，美国硅谷机房，4 核 8G、180GB SSD、35Mbps 带宽、每月 5TB 流量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CAF6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AWS Lightsail，美国俄勒冈机房，2 核 8G、160GB SSD、每月 5TB 流量</w:t>
            </w:r>
          </w:p>
        </w:tc>
      </w:tr>
      <w:tr w14:paraId="15CBB778">
        <w:trPr>
          <w:cantSplit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0C97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优势</w:t>
            </w: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2D5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通过腾讯云国内站开通：中文控制台和客服；支持支付宝、微信付款，可开国内发票；快照、防火墙、监控集中在一个控制台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7A76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美国本土云平台，配套服务齐全（负载均衡、托管数据库、邮件服务等）；不需要中国实名认证</w:t>
            </w:r>
          </w:p>
        </w:tc>
      </w:tr>
      <w:tr w14:paraId="001EDE74">
        <w:trPr>
          <w:cantSplit/>
        </w:trPr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6934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劣势</w:t>
            </w:r>
          </w:p>
        </w:tc>
        <w:tc>
          <w:tcPr>
            <w:tcW w:w="44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013F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需要中国大陆实名认证；海外机房可选配置比国内少；下单前需确认续费价格</w:t>
            </w:r>
          </w:p>
        </w:tc>
        <w:tc>
          <w:tcPr>
            <w:tcW w:w="3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C6B9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控制台和客服以英文为主；需要国际信用卡付款，无国内发票</w:t>
            </w:r>
          </w:p>
        </w:tc>
      </w:tr>
    </w:tbl>
    <w:p w14:paraId="3F304265">
      <w:pPr>
        <w:pStyle w:val="2"/>
        <w:keepNext/>
      </w:pPr>
      <w:r>
        <w:rPr>
          <w:rFonts w:ascii="Arial" w:hAnsi="Arial" w:eastAsia="微软雅黑" w:cs="Arial"/>
          <w:color w:val="000000"/>
        </w:rPr>
        <w:t>四、排期与里程碑</w:t>
      </w:r>
    </w:p>
    <w:p w14:paraId="2460AE5C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预计开发周期为 39 个连续自然日（含周末），自双方约定的启动日起计算。下表为相对排期；若 2026-10-02 启动，参考上线日期为 2026-11-09。实际启动及上线日期在签约时确认。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2044"/>
        <w:gridCol w:w="640"/>
        <w:gridCol w:w="2798"/>
        <w:gridCol w:w="2270"/>
      </w:tblGrid>
      <w:tr w14:paraId="3C59A51A">
        <w:trPr>
          <w:cantSplit/>
          <w:tblHeader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32973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里程碑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6D34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时间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3B60E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天数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06071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工作内容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6089E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交付物</w:t>
            </w:r>
          </w:p>
        </w:tc>
      </w:tr>
      <w:tr w14:paraId="129B910F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7B2D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M0 需求确认与技术验证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F37C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1～4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18153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4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EDA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确认业务规则、指标口径及验收标准；完成接口和真实订单链路实测，形成已验证项与未完成项结论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D063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《需求确认书》（功能清单与指标口径定稿）、技术验证结论</w:t>
            </w:r>
          </w:p>
        </w:tc>
      </w:tr>
      <w:tr w14:paraId="6E75389A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5712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M1 基础平台与链接跳转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2465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5～10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4918F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6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B68F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权限与角色、达人录入与导入、商品链接库及对应关系、中转跳转与点击采集；部署测试环境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E594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测试环境地址；演示"录入达人 → 生成专属链接 → 点击跳转并计数"</w:t>
            </w:r>
          </w:p>
        </w:tc>
      </w:tr>
      <w:tr w14:paraId="6389F384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890B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M2 主流程打通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873C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11～17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3CCE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7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98F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推广表格自动创建与链接更新；微店订单同步（已开通接口或 Excel/CSV 导入）；按商品明细归因；人工匹配池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8A14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演示"自动建表 → 点击 → 下单 → 订单归属到达人"全流程</w:t>
            </w:r>
          </w:p>
        </w:tc>
      </w:tr>
      <w:tr w14:paraId="43CDC501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003A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M3 结算与看板（P0）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AE70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18～27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6044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10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DDC7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佣金结算、日志审计、账号管理及后台管理；四个看板的 P0 功能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ACB6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测试环境版本，演示佣金结算和四个看板</w:t>
            </w:r>
          </w:p>
        </w:tc>
      </w:tr>
      <w:tr w14:paraId="45ED7879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B841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M4 看板完善（P1、P2）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4EDC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28～32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6B00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5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1CAB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自定义日期区间、下钻明细、环比变化、商品下钻详情、排名变化与对比图、散点图、高退预警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C2E3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测试环境完整版本，开放给贵方试用</w:t>
            </w:r>
          </w:p>
        </w:tc>
      </w:tr>
      <w:tr w14:paraId="5A256024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FB8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M5 验收上线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351C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第 33～39 天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654E8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7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F312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贵方验收、问题修改、生产环境部署、达人数据与表格初始化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D9C2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生产系统、源代码、部署文档、操作说明</w:t>
            </w:r>
          </w:p>
        </w:tc>
      </w:tr>
      <w:tr w14:paraId="3356A270">
        <w:trPr>
          <w:cantSplit/>
        </w:trPr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CFF3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质保期</w:t>
            </w:r>
          </w:p>
        </w:tc>
        <w:tc>
          <w:tcPr>
            <w:tcW w:w="2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34D2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验收签认后 1 个月</w:t>
            </w:r>
          </w:p>
        </w:tc>
        <w:tc>
          <w:tcPr>
            <w:tcW w:w="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82026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—</w:t>
            </w:r>
          </w:p>
        </w:tc>
        <w:tc>
          <w:tcPr>
            <w:tcW w:w="2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950F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免费修复系统缺陷</w:t>
            </w:r>
          </w:p>
        </w:tc>
        <w:tc>
          <w:tcPr>
            <w:tcW w:w="22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7410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—</w:t>
            </w:r>
          </w:p>
        </w:tc>
      </w:tr>
    </w:tbl>
    <w:p w14:paraId="0FA1FB8D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说明</w:t>
      </w:r>
      <w:r>
        <w:rPr>
          <w:rFonts w:ascii="Arial" w:hAnsi="Arial" w:eastAsia="微软雅黑" w:cs="Arial"/>
        </w:rPr>
        <w:t>：</w:t>
      </w:r>
    </w:p>
    <w:p w14:paraId="17EE6C3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排期以按时完成业务确认、权限开通及运营配合为前提；受影响的里程碑经双方确认后顺延，其他可并行工作继续进行。</w:t>
      </w:r>
    </w:p>
    <w:p w14:paraId="17DA1C3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上线时初始化已完成专属商品复制及对应关系整理的达人，其余达人在准备完成后由运营导入。</w:t>
      </w:r>
    </w:p>
    <w:p w14:paraId="2958BD80">
      <w:pPr>
        <w:pStyle w:val="2"/>
        <w:keepNext/>
      </w:pPr>
      <w:r>
        <w:rPr>
          <w:rFonts w:ascii="Arial" w:hAnsi="Arial" w:eastAsia="微软雅黑" w:cs="Arial"/>
          <w:color w:val="000000"/>
        </w:rPr>
        <w:t>五、报价明细</w:t>
      </w:r>
    </w:p>
    <w:p w14:paraId="7C06F8C1">
      <w:pPr>
        <w:pStyle w:val="3"/>
        <w:keepNext/>
      </w:pPr>
      <w:r>
        <w:rPr>
          <w:rFonts w:ascii="Arial" w:hAnsi="Arial" w:eastAsia="微软雅黑" w:cs="Arial"/>
          <w:color w:val="000000"/>
        </w:rPr>
        <w:t>5.1 开发费用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8"/>
        <w:gridCol w:w="940"/>
      </w:tblGrid>
      <w:tr w14:paraId="2421484F">
        <w:trPr>
          <w:cantSplit/>
          <w:tblHeader/>
        </w:trPr>
        <w:tc>
          <w:tcPr>
            <w:tcW w:w="86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EB1AF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9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AD61D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金额</w:t>
            </w:r>
          </w:p>
        </w:tc>
      </w:tr>
      <w:tr w14:paraId="7D5A53E3">
        <w:trPr>
          <w:cantSplit/>
        </w:trPr>
        <w:tc>
          <w:tcPr>
            <w:tcW w:w="86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68DA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开发费用（一次性，含 2.1 全部功能、部署上线、源代码及文档）</w:t>
            </w:r>
          </w:p>
        </w:tc>
        <w:tc>
          <w:tcPr>
            <w:tcW w:w="9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6996E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¥30,000</w:t>
            </w:r>
          </w:p>
        </w:tc>
      </w:tr>
    </w:tbl>
    <w:p w14:paraId="67B2F2F4">
      <w:pPr>
        <w:spacing w:after="160"/>
      </w:pPr>
      <w:r>
        <w:t>报价说明：本次开发报价 ¥30,000 基于 2.1 所列内容及上述规模假设，不含税。签约前双方书面确认报价对应的交付范围及核心前提，M0 阶段细化业务规则和验收标准。若新增或变更需求，或已披露的核心前提未满足而需改变方案，我方将在评估工作量及排期影响后提出调整建议，经双方书面确认后执行；正常细化已约定范围内的验收标准不另行调价。</w:t>
      </w:r>
    </w:p>
    <w:p w14:paraId="3E7095F5">
      <w:pPr>
        <w:spacing w:after="120" w:line="340" w:lineRule="auto"/>
      </w:pPr>
      <w:r>
        <w:rPr>
          <w:rFonts w:ascii="Arial" w:hAnsi="Arial" w:eastAsia="微软雅黑" w:cs="Arial"/>
        </w:rPr>
        <w:t>付款节点：签约时支付 50%（¥15,000），验收签认后支付 50%（¥15,000）。</w:t>
      </w:r>
    </w:p>
    <w:p w14:paraId="67FA3153">
      <w:pPr>
        <w:pStyle w:val="3"/>
        <w:keepNext/>
      </w:pPr>
      <w:r>
        <w:rPr>
          <w:rFonts w:ascii="Arial" w:hAnsi="Arial" w:eastAsia="微软雅黑" w:cs="Arial"/>
          <w:color w:val="000000"/>
        </w:rPr>
        <w:t>5.2 运行成本（贵方直接支付给服务商）</w:t>
      </w:r>
    </w:p>
    <w:p w14:paraId="2B8ED794">
      <w:pPr>
        <w:keepNext/>
        <w:spacing w:after="120" w:line="340" w:lineRule="auto"/>
      </w:pPr>
      <w:r>
        <w:rPr>
          <w:rFonts w:ascii="Arial" w:hAnsi="Arial" w:eastAsia="微软雅黑" w:cs="Arial"/>
        </w:rPr>
        <w:t>以下费用由贵方以自己的名义开通，直接支付给服务商，我方不加价。汇率按 1 美元 ≈ 7.1 元估算，以实际账单为准。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835"/>
        <w:gridCol w:w="2891"/>
      </w:tblGrid>
      <w:tr w14:paraId="7007EFC0">
        <w:trPr>
          <w:cantSplit/>
          <w:tblHeader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A26A3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服务器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07C5F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月费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33A6E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年费</w:t>
            </w:r>
          </w:p>
        </w:tc>
      </w:tr>
      <w:tr w14:paraId="576DA4B2"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21F9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腾讯云（美国硅谷）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233F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¥256（参考价 US$36，以腾讯云国内站下单价为准）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C6F2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¥3,072（按月费估算）</w:t>
            </w:r>
          </w:p>
        </w:tc>
      </w:tr>
      <w:tr w14:paraId="5D8267EA">
        <w:trPr>
          <w:cantSplit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E972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AWS Lightsail（美国俄勒冈）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E9B3D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¥312（US$44）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ECF1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¥3,744（按月费估算）</w:t>
            </w:r>
          </w:p>
        </w:tc>
      </w:tr>
    </w:tbl>
    <w:p w14:paraId="07367FA2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其他费用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418"/>
        <w:gridCol w:w="1140"/>
        <w:gridCol w:w="1240"/>
      </w:tblGrid>
      <w:tr w14:paraId="531FE67A">
        <w:trPr>
          <w:cantSplit/>
          <w:tblHeader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33A34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6008E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ED9B6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月费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7FB60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年费</w:t>
            </w:r>
          </w:p>
        </w:tc>
      </w:tr>
      <w:tr w14:paraId="6FE480B9">
        <w:trPr>
          <w:cantSplit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D8B4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域名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946C4">
            <w:pPr>
              <w:keepNext w:val="0"/>
              <w:spacing w:before="40" w:after="40" w:line="269" w:lineRule="auto"/>
              <w:jc w:val="left"/>
            </w:pPr>
            <w:r>
              <w:rPr>
                <w:rFonts w:ascii="Consolas" w:hAnsi="Consolas" w:eastAsia="微软雅黑" w:cs="Arial"/>
                <w:sz w:val="19"/>
                <w:szCs w:val="19"/>
              </w:rPr>
              <w:t>.com</w:t>
            </w:r>
            <w:r>
              <w:rPr>
                <w:rFonts w:ascii="Arial" w:hAnsi="Arial" w:eastAsia="微软雅黑" w:cs="Arial"/>
                <w:sz w:val="19"/>
                <w:szCs w:val="19"/>
              </w:rPr>
              <w:t xml:space="preserve"> 域名，Cloudflare 注册（约 US$10～11/年，以结账价为准）；如贵方已有域名，可直接使用子域名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D9129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¥6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EBEB6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¥75</w:t>
            </w:r>
          </w:p>
        </w:tc>
      </w:tr>
      <w:tr w14:paraId="5BEF9CB3">
        <w:trPr>
          <w:cantSplit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CED8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Workspace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E365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Business Starter，1 个账号，年付（US$7/月），用于创建和持有 100 份达人表格（推荐方式；也可评估使用贵方现有 Google 账号授权，M0 实测）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B4C76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¥50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51B5F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¥596</w:t>
            </w:r>
          </w:p>
        </w:tc>
      </w:tr>
      <w:tr w14:paraId="4DC62215">
        <w:trPr>
          <w:cantSplit/>
        </w:trPr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E7CF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异地备份存储</w:t>
            </w:r>
          </w:p>
        </w:tc>
        <w:tc>
          <w:tcPr>
            <w:tcW w:w="54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501A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Cloudflare R2，10GB 以内免费，超出部分按量计费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BE1D3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¥0～10</w:t>
            </w:r>
          </w:p>
        </w:tc>
        <w:tc>
          <w:tcPr>
            <w:tcW w:w="1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C293A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 ¥0～120</w:t>
            </w:r>
          </w:p>
        </w:tc>
      </w:tr>
    </w:tbl>
    <w:p w14:paraId="4887E90D">
      <w:pPr>
        <w:spacing w:after="120" w:line="340" w:lineRule="auto"/>
      </w:pPr>
      <w:r>
        <w:rPr>
          <w:rFonts w:ascii="Arial" w:hAnsi="Arial" w:eastAsia="微软雅黑" w:cs="Arial"/>
        </w:rPr>
        <w:t>以下情况会产生额外费用：达人数量或访问量大幅增长，超出邮件发送等免费额度（邮件服务付费版约 US$20/月）；为跳转链接另购短域名（每年约 ¥70～150）；选择 2.2 的增值项。</w:t>
      </w:r>
    </w:p>
    <w:p w14:paraId="7E563796">
      <w:pPr>
        <w:spacing w:after="120" w:line="340" w:lineRule="auto"/>
      </w:pPr>
      <w:r>
        <w:rPr>
          <w:rFonts w:ascii="Arial" w:hAnsi="Arial" w:eastAsia="微软雅黑" w:cs="Arial"/>
        </w:rPr>
        <w:t>运行成本包含服务器、域名、Google Workspace 和备份存储；以上均为估算，以服务商实际账单为准。</w:t>
      </w:r>
    </w:p>
    <w:p w14:paraId="1195CDC5">
      <w:pPr>
        <w:pStyle w:val="3"/>
        <w:keepNext/>
      </w:pPr>
      <w:r>
        <w:rPr>
          <w:rFonts w:ascii="Arial" w:hAnsi="Arial" w:eastAsia="微软雅黑" w:cs="Arial"/>
          <w:color w:val="000000"/>
        </w:rPr>
        <w:t>5.3 质保与可选运维服务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1340"/>
        <w:gridCol w:w="5866"/>
      </w:tblGrid>
      <w:tr w14:paraId="6C5FBC3B">
        <w:trPr>
          <w:cantSplit/>
          <w:tblHeader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7D6F6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316E6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金额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F5485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说明</w:t>
            </w:r>
          </w:p>
        </w:tc>
      </w:tr>
      <w:tr w14:paraId="055670EB">
        <w:trPr>
          <w:cantSplit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0D80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质保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6BE7F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免费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CE20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验收签认后 1 个月</w:t>
            </w:r>
          </w:p>
        </w:tc>
      </w:tr>
      <w:tr w14:paraId="697860D7">
        <w:trPr>
          <w:cantSplit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9DBE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运维服务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7E54C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¥1,500/月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161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可选，质保期满后按需开通，按月或按季度支付</w:t>
            </w:r>
          </w:p>
        </w:tc>
      </w:tr>
      <w:tr w14:paraId="55DB8739">
        <w:trPr>
          <w:cantSplit/>
        </w:trPr>
        <w:tc>
          <w:tcPr>
            <w:tcW w:w="2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8EE4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需求变更 / 新功能开发</w:t>
            </w:r>
          </w:p>
        </w:tc>
        <w:tc>
          <w:tcPr>
            <w:tcW w:w="1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59157">
            <w:pPr>
              <w:keepNext w:val="0"/>
              <w:spacing w:before="40" w:after="40" w:line="269" w:lineRule="auto"/>
              <w:jc w:val="right"/>
            </w:pPr>
            <w:r>
              <w:rPr>
                <w:rFonts w:ascii="Arial" w:hAnsi="Arial" w:eastAsia="微软雅黑" w:cs="Arial"/>
                <w:sz w:val="19"/>
                <w:szCs w:val="19"/>
              </w:rPr>
              <w:t>¥1,000/人天</w:t>
            </w:r>
          </w:p>
        </w:tc>
        <w:tc>
          <w:tcPr>
            <w:tcW w:w="5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B710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评估工作量及排期影响后，双方书面确认执行</w:t>
            </w:r>
          </w:p>
        </w:tc>
      </w:tr>
    </w:tbl>
    <w:p w14:paraId="3DBD110A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质保期内：免费修复本期交付功能与双方确认标准不符、报错及数据计算错误等系统缺陷。质保期满后的缺陷维护可通过运维服务或按次委托处理；原合同中约定的未完成整改仍按原约定执行。</w:t>
      </w:r>
    </w:p>
    <w:p w14:paraId="2BA94FB7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运维期内，服务包含：</w:t>
      </w:r>
      <w:bookmarkStart w:id="0" w:name="_GoBack"/>
      <w:bookmarkEnd w:id="0"/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998"/>
      </w:tblGrid>
      <w:tr w14:paraId="46BE0F61">
        <w:trPr>
          <w:cantSplit/>
          <w:tblHeader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9F33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AEC87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内容</w:t>
            </w:r>
          </w:p>
        </w:tc>
      </w:tr>
      <w:tr w14:paraId="0DE806D2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2447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监控与故障处理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098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7×24 自动宕机监控告警；故障排查与恢复</w:t>
            </w:r>
          </w:p>
        </w:tc>
      </w:tr>
      <w:tr w14:paraId="32CF1948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21AB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数据安全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0BFF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每周检查备份是否成功；每月做一次备份恢复演练</w:t>
            </w:r>
          </w:p>
        </w:tc>
      </w:tr>
      <w:tr w14:paraId="30DBAC70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5529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系统维护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7FE9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服务器安全更新；磁盘、性能检查；域名、证书、微店授权到期提醒</w:t>
            </w:r>
          </w:p>
        </w:tc>
      </w:tr>
      <w:tr w14:paraId="0FA150D6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930C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缺陷修复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6EAC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运维期内原交付功能的缺陷修复包含在运维费中</w:t>
            </w:r>
          </w:p>
        </w:tc>
      </w:tr>
      <w:tr w14:paraId="1B5B0EE0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74DB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日常支持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8ED2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批量任务失败排查与重跑、运营操作答疑；每月最多 1 人天（8 小时）的小调整，额度当月有效、不累计</w:t>
            </w:r>
          </w:p>
        </w:tc>
      </w:tr>
      <w:tr w14:paraId="7DD0CBEE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DC7A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报告</w:t>
            </w:r>
          </w:p>
        </w:tc>
        <w:tc>
          <w:tcPr>
            <w:tcW w:w="79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B27A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每月一份运维简报</w:t>
            </w:r>
          </w:p>
        </w:tc>
      </w:tr>
    </w:tbl>
    <w:p w14:paraId="5F43D263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小调整与新需求的区别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5"/>
        <w:gridCol w:w="5163"/>
      </w:tblGrid>
      <w:tr w14:paraId="6D92D18F">
        <w:trPr>
          <w:cantSplit/>
          <w:tblHeader/>
        </w:trPr>
        <w:tc>
          <w:tcPr>
            <w:tcW w:w="44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53988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属于小调整（含在运维费内）</w:t>
            </w:r>
          </w:p>
        </w:tc>
        <w:tc>
          <w:tcPr>
            <w:tcW w:w="5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DC219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属于新需求（按 ¥1,000/人天另计）</w:t>
            </w:r>
          </w:p>
        </w:tc>
      </w:tr>
      <w:tr w14:paraId="347EA48C">
        <w:trPr>
          <w:cantSplit/>
        </w:trPr>
        <w:tc>
          <w:tcPr>
            <w:tcW w:w="44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3C04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修改文案、字段名称或显示顺序；已有导出增加列；已有筛选条件微调</w:t>
            </w:r>
          </w:p>
        </w:tc>
        <w:tc>
          <w:tcPr>
            <w:tcW w:w="51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D21C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新页面、新报表、新接口对接；佣金规则或归因规则变化；新增微店店铺或数据来源</w:t>
            </w:r>
          </w:p>
        </w:tc>
      </w:tr>
    </w:tbl>
    <w:p w14:paraId="37231679">
      <w:pPr>
        <w:spacing w:after="120" w:line="340" w:lineRule="auto"/>
      </w:pPr>
      <w:r>
        <w:rPr>
          <w:rFonts w:ascii="Arial" w:hAnsi="Arial" w:eastAsia="微软雅黑" w:cs="Arial"/>
          <w:b/>
          <w:bCs/>
        </w:rPr>
        <w:t>服务时间与响应</w:t>
      </w:r>
      <w:r>
        <w:rPr>
          <w:rFonts w:ascii="Arial" w:hAnsi="Arial" w:eastAsia="微软雅黑" w:cs="Arial"/>
        </w:rPr>
        <w:t>（质保期和运维期相同）</w:t>
      </w:r>
    </w:p>
    <w:p w14:paraId="48BB5C7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人工服务时间：北京时间每天 9:00～22:00；法定节假日只处理严重问题。</w:t>
      </w:r>
    </w:p>
    <w:p w14:paraId="6080FC0C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严重问题（系统无法访问、推广链接无法跳转、订单无法同步）：服务时间内 2 小时内开始处理，力争当天恢复；服务时间外发生的，于次日服务时间开始时处理。</w:t>
      </w:r>
    </w:p>
    <w:p w14:paraId="157F9CC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一般问题：1 个工作日内答复并安排处理。</w:t>
      </w:r>
    </w:p>
    <w:p w14:paraId="55240E2A">
      <w:pPr>
        <w:keepNext/>
        <w:spacing w:after="120" w:line="340" w:lineRule="auto"/>
      </w:pPr>
      <w:r>
        <w:rPr>
          <w:rFonts w:ascii="Arial" w:hAnsi="Arial" w:eastAsia="微软雅黑" w:cs="Arial"/>
          <w:b/>
          <w:bCs/>
        </w:rPr>
        <w:t>不包含</w:t>
      </w:r>
    </w:p>
    <w:p w14:paraId="37A1EF2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新需求及超出每月额度的小调整另行计费，标准见上表。</w:t>
      </w:r>
    </w:p>
    <w:p w14:paraId="44E67F66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微店、Google、云服务商等第三方平台故障本身（我方负责协助排查和恢复）</w:t>
      </w:r>
    </w:p>
    <w:p w14:paraId="01C1699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因贵方误操作导致的数据恢复（按次评估）</w:t>
      </w:r>
    </w:p>
    <w:p w14:paraId="7C137E86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Arial" w:hAnsi="Arial" w:eastAsia="微软雅黑" w:cs="Arial"/>
        </w:rPr>
        <w:t>第三方服务费用（见 5.2）</w:t>
      </w:r>
    </w:p>
    <w:p w14:paraId="182D7ACE">
      <w:pPr>
        <w:pStyle w:val="2"/>
        <w:keepNext/>
      </w:pPr>
      <w:r>
        <w:rPr>
          <w:rFonts w:ascii="Arial" w:hAnsi="Arial" w:eastAsia="微软雅黑" w:cs="Arial"/>
          <w:color w:val="000000"/>
        </w:rPr>
        <w:t>六、设计落地待确认事项</w:t>
      </w:r>
    </w:p>
    <w:p w14:paraId="672F2433">
      <w:pPr>
        <w:spacing w:after="120" w:line="340" w:lineRule="auto"/>
      </w:pPr>
      <w:r>
        <w:rPr>
          <w:rFonts w:ascii="Arial" w:hAnsi="Arial" w:eastAsia="微软雅黑" w:cs="Arial"/>
        </w:rPr>
        <w:t>以下表格列明需与贵方确认的实现方向。涉及合作决策的专属商品方案、订单归因及表格分享方式应在签约前确认；其余业务细节在 M0 阶段写入《需求确认书》。未经双方书面确认，不视为甲方已同意对原需求作出调整。</w:t>
      </w:r>
    </w:p>
    <w:p w14:paraId="2B837CE4">
      <w:pPr>
        <w:pStyle w:val="3"/>
        <w:keepNext/>
      </w:pPr>
      <w:r>
        <w:rPr>
          <w:color w:val="000000"/>
        </w:rPr>
        <w:t>6.1 CRM 主体待确认事项</w:t>
      </w:r>
    </w:p>
    <w:tbl>
      <w:tblPr>
        <w:tblStyle w:val="1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7427"/>
      </w:tblGrid>
      <w:tr w14:paraId="379C6944">
        <w:trPr>
          <w:cantSplit/>
          <w:tblHeader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CDCE7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 / 功能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4BA8F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待确认事项及拟调整方案</w:t>
            </w:r>
          </w:p>
        </w:tc>
      </w:tr>
      <w:tr w14:paraId="6F7C5D33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CAC8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达人注册管理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BE319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拟采用运营/商务录入代替达人自主注册，支持批量导入；需确认账号建立及交付达人使用的方式</w:t>
            </w:r>
          </w:p>
        </w:tc>
      </w:tr>
      <w:tr w14:paraId="0EDD8B05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44C6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商品链接管理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B617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贵方负责微店专属商品复制，以及副本价格、库存和上下架维护；系统负责链接记录及表格更新。需确认商品变更时的运营配合方式</w:t>
            </w:r>
          </w:p>
        </w:tc>
      </w:tr>
      <w:tr w14:paraId="4C775F7D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11D0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专属链接生成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3229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签约前确认专属商品复制方案及运营投入；M0 确定“专属商品 → 达人 + 原商品”的标识及导入规则。中转链接参数用于点击采集，不等同于微店订单可保留的归因字段</w:t>
            </w:r>
          </w:p>
        </w:tc>
      </w:tr>
      <w:tr w14:paraId="791656D4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C702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Google Sheet 自动分发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EAB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需确认表格的内容范围与访问权限，备选方案见 6.3。</w:t>
            </w:r>
          </w:p>
        </w:tc>
      </w:tr>
      <w:tr w14:paraId="139B8DA4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3E8EA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微店订单同步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7391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最多 3 个贵方自有店铺；签约前确认现有接口权限及申请条件，未开通时需确认可接受 Excel/CSV 导入过渡</w:t>
            </w:r>
          </w:p>
        </w:tc>
      </w:tr>
      <w:tr w14:paraId="4BCB500D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F1E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智能订单匹配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D1B3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拟按订单商品明细中的专属商品 ID 归因，一笔订单可按明细归属多位达人；拟不采用优惠码归因。签约前需确认该方向及无法自动识别时的人工处理方式。时间窗口模糊匹配不纳入本期</w:t>
            </w:r>
          </w:p>
        </w:tc>
      </w:tr>
      <w:tr w14:paraId="59F81638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2682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佣金结算管理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45D5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需确认计佣基数、下单时佣金比例记录、退款扣回及比例变更是否追溯等规则</w:t>
            </w:r>
          </w:p>
        </w:tc>
      </w:tr>
      <w:tr w14:paraId="335838C5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7497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达人账号管理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857D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拟取消独立审核环节，保留账号管理；需确认与甲方实际业务流程是否一致</w:t>
            </w:r>
          </w:p>
        </w:tc>
      </w:tr>
      <w:tr w14:paraId="68506878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57DF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多角色权限控制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B936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需确认商务与达人对应关系及数据可见范围</w:t>
            </w:r>
          </w:p>
        </w:tc>
      </w:tr>
    </w:tbl>
    <w:p w14:paraId="26D3DC28">
      <w:pPr>
        <w:pStyle w:val="3"/>
        <w:keepNext/>
      </w:pPr>
      <w:r>
        <w:rPr>
          <w:color w:val="000000"/>
        </w:rPr>
        <w:t>6.2 数据看板待确认事项</w:t>
      </w:r>
    </w:p>
    <w:tbl>
      <w:tblPr>
        <w:tblStyle w:val="1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7427"/>
      </w:tblGrid>
      <w:tr w14:paraId="5838B59A">
        <w:trPr>
          <w:cantSplit/>
          <w:tblHeader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B06B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 / 功能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4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D0323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待确认事项及拟调整方案</w:t>
            </w:r>
          </w:p>
        </w:tc>
      </w:tr>
      <w:tr w14:paraId="71E4174C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CE43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微店总店看板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F9FB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确认全店 UV、PV 的可用数据来源及下单人数、客单价、转化率口径。优先获取全店数据；无法获取时，拟展示推广链接 UV、PV，并取消转化率，需双方确认</w:t>
            </w:r>
          </w:p>
        </w:tc>
      </w:tr>
      <w:tr w14:paraId="1753C591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F2BE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达人端个人看板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DF51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需确认英文界面及指标口径；本次报价按不展示点击量、不提供导出估算</w:t>
            </w:r>
          </w:p>
        </w:tc>
      </w:tr>
      <w:tr w14:paraId="4DBB02B3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7A35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商务端看板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8FC3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确认商务仅能查看自己负责的达人，以及达人分配规则</w:t>
            </w:r>
          </w:p>
        </w:tc>
      </w:tr>
      <w:tr w14:paraId="18A7DC57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D610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商品运营看板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3883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确认将各达人的专属商品副本合并到原商品统计的对应规则</w:t>
            </w:r>
          </w:p>
        </w:tc>
      </w:tr>
      <w:tr w14:paraId="3AE6F0C0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2C51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商务端看板（散点图）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D201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已纳入本期报价，需确认指标口径</w:t>
            </w:r>
          </w:p>
        </w:tc>
      </w:tr>
      <w:tr w14:paraId="3BF87890">
        <w:trPr>
          <w:cantSplit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40A3C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商品运营看板（四象限与高退预警）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669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9"/>
                <w:szCs w:val="19"/>
              </w:rPr>
              <w:t>已纳入本期报价，预警在系统内通知；需确认象限划分及预警阈值</w:t>
            </w:r>
          </w:p>
        </w:tc>
      </w:tr>
    </w:tbl>
    <w:p w14:paraId="6ACD8A21">
      <w:pPr>
        <w:spacing w:after="120" w:line="340" w:lineRule="auto"/>
      </w:pPr>
      <w:r>
        <w:rPr>
          <w:rFonts w:ascii="Arial" w:hAnsi="Arial" w:eastAsia="微软雅黑" w:cs="Arial"/>
        </w:rPr>
        <w:t>指标的统计口径（时区、按下单还是支付时间统计、退款归属日期、环比规则等）在 M0 阶段写入《需求确认书》，作为验收依据。</w:t>
      </w:r>
    </w:p>
    <w:p w14:paraId="3943F9DD">
      <w:pPr>
        <w:pStyle w:val="3"/>
        <w:keepNext/>
        <w:spacing w:after="120" w:line="340" w:lineRule="auto"/>
      </w:pPr>
      <w:r>
        <w:rPr>
          <w:rFonts w:ascii="Arial" w:hAnsi="Arial" w:eastAsia="微软雅黑" w:cs="Arial"/>
          <w:b/>
          <w:bCs/>
          <w:color w:val="000000"/>
        </w:rPr>
        <w:t>6.3 Google 表格内容范围</w:t>
      </w:r>
    </w:p>
    <w:p w14:paraId="0CC47A2A">
      <w:pPr>
        <w:keepNext/>
        <w:spacing w:after="120" w:line="340" w:lineRule="auto"/>
      </w:pPr>
      <w:r>
        <w:rPr>
          <w:rFonts w:ascii="Arial" w:hAnsi="Arial" w:eastAsia="微软雅黑" w:cs="Arial"/>
        </w:rPr>
        <w:t>本次报价以方案一为推荐交付方式，签约前需确认是否满足贵方的推广及查看数据需求。公开表格的隐藏页签不能隔离订单、佣金等数据，因此不建议在同一份公开表格中放置个人业务信息。方案三可替代方案一；若同时需要公开及私有两份表格，按方案二另行评估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6158"/>
        <w:gridCol w:w="1840"/>
      </w:tblGrid>
      <w:tr w14:paraId="0162284D">
        <w:trPr>
          <w:cantSplit/>
          <w:tblHeader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66780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75204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1B69A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是否在本期报价内</w:t>
            </w:r>
          </w:p>
        </w:tc>
      </w:tr>
      <w:tr w14:paraId="4BAE5800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409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方案一（推荐）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F146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公开表格只放商品链接；订单、佣金、结算只在系统达人端查看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E909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  <w:tr w14:paraId="7CD59272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81D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方案二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49DA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公开表格放商品链接；另为每位达人建一份仅本人可见的私有表格，放订单和佣金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A2F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否，需另行评估</w:t>
            </w:r>
          </w:p>
        </w:tc>
      </w:tr>
      <w:tr w14:paraId="77F3294F">
        <w:trPr>
          <w:cantSplit/>
        </w:trPr>
        <w:tc>
          <w:tcPr>
            <w:tcW w:w="16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018C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方案三</w:t>
            </w:r>
          </w:p>
        </w:tc>
        <w:tc>
          <w:tcPr>
            <w:tcW w:w="61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DBC3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只建私有表格（含全部页签），不作为公开推广页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A373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是</w:t>
            </w:r>
          </w:p>
        </w:tc>
      </w:tr>
    </w:tbl>
    <w:p w14:paraId="30D4740C">
      <w:pPr>
        <w:pStyle w:val="3"/>
        <w:keepNext/>
      </w:pPr>
      <w:r>
        <w:rPr>
          <w:color w:val="000000"/>
        </w:rPr>
        <w:t>6.4 增值项实施边界</w:t>
      </w:r>
    </w:p>
    <w:p w14:paraId="4D892884">
      <w:pPr>
        <w:spacing w:after="120"/>
      </w:pPr>
      <w:r>
        <w:t>双机热备的故障覆盖范围和恢复时间以上线前演练结果为准，主从同步不能防止误删。分钟级恢复需归档数据库变更日志；数据库回退不会同步回退 Google 表格及已线下支付的佣金，需人工核对。两项均为可选增值服务，未计入 ¥30,000 开发报价。</w:t>
      </w:r>
    </w:p>
    <w:p w14:paraId="385296D1">
      <w:pPr>
        <w:pStyle w:val="2"/>
        <w:keepNext/>
      </w:pPr>
      <w:r>
        <w:rPr>
          <w:rFonts w:ascii="Arial" w:hAnsi="Arial" w:eastAsia="微软雅黑" w:cs="Arial"/>
          <w:color w:val="000000"/>
        </w:rPr>
        <w:t>七、技术风险点与验证事项</w:t>
      </w:r>
    </w:p>
    <w:p w14:paraId="1AA64AA6">
      <w:pPr>
        <w:keepNext/>
        <w:spacing w:after="120" w:line="340" w:lineRule="auto"/>
      </w:pPr>
      <w:r>
        <w:rPr>
          <w:rFonts w:ascii="Arial" w:hAnsi="Arial" w:eastAsia="微软雅黑" w:cs="Arial"/>
        </w:rPr>
        <w:t>下表区分签约前需核实的核心前提与 M0 阶段的技术验证事项。签约前无法完成验证的关键条件，应书面明确可接受的备选方案及对范围、费用、排期的影响后再决定合作。M0 记录“通过、待验证、不通过”及后续安排；第三方审批时间不作固定承诺。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3436"/>
        <w:gridCol w:w="4107"/>
      </w:tblGrid>
      <w:tr w14:paraId="4E8432B1">
        <w:trPr>
          <w:cantSplit/>
          <w:tblHeader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AD89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风险点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CE23C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影响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D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EBC47">
            <w:pPr>
              <w:keepNext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应对措施</w:t>
            </w:r>
          </w:p>
        </w:tc>
      </w:tr>
      <w:tr w14:paraId="64C16C35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629E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专属商品 ID 在真实订单中是否保留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7995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代购平台可能转换商品链接，或采购时改用原商品，导致订单无法自动归因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71CE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签约前优先用完整测试订单核对最终商品 ID；只对保留专属商品 ID 的订单自动归因。无法提前验证时，需确认人工导入或匹配方案及其业务可接受性</w:t>
            </w:r>
          </w:p>
        </w:tc>
      </w:tr>
      <w:tr w14:paraId="753D320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10B0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达人专属商品的标识规则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11D9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系统需要知道每个专属商品属于哪位达人、对应哪个原商品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ABFC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约定标识规则（按达人编号建商品分类，或商家编码写成"原商品编码-达人编号"），在接口或导出文件确实返回该标识时，系统自动读取；否则由运营导出对应关系 Excel 后导入</w:t>
            </w:r>
          </w:p>
        </w:tc>
      </w:tr>
      <w:tr w14:paraId="36AE1EC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2B810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微店订单接口权限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5B3C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订单接口的申请条件、字段权限和审批周期需向微店确认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2B85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签约前核实已有权限及申请条件；确认合作后提交申请。开通前采用 Excel/CSV 导入，并展示最近同步时间；接口未获批时的交付安排须提前约定</w:t>
            </w:r>
          </w:p>
        </w:tc>
      </w:tr>
      <w:tr w14:paraId="57E08E2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563B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专属商品的数量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910E2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100 位达人 × 2 万个商品 = 200 万个微店商品副本，可能超过微店单店上限，或被判定为重复铺货；复制与校验需要大量运营投入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943A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签约前向微店确认容量与重复铺货规则，测试复制效率及运营投入；如采用分店铺或分批上线，需确认范围和排期，本期最多 3 个店铺</w:t>
            </w:r>
          </w:p>
        </w:tc>
      </w:tr>
      <w:tr w14:paraId="6368F710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FEA5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账号与存储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FD6A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服务账号没有 Google 云端存储空间，不能直接持有表格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6FB4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可使用 Google Workspace 共享云端硬盘；签约前确认账号开通方式，M0 实测建表与公开只读分享权限</w:t>
            </w:r>
          </w:p>
        </w:tc>
      </w:tr>
      <w:tr w14:paraId="4F19ABEA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232A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Google 内容审核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0CE4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表格有被 Google 限制访问的可能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8C63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全部链接和数据以系统数据库为准，可重新生成表格。重建不能保证解除平台限制；新表格的地址会变化，需要通知达人更新社媒中的链接</w:t>
            </w:r>
          </w:p>
        </w:tc>
      </w:tr>
      <w:tr w14:paraId="2419B5CD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BE891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"商品不存在"报错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78ECE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部分链接直接打开时报错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598B5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M0 阶段复现，区分链接格式、商品下架、权限、地区限制等原因；系统可控制的问题在中转跳转中处理，商品下架等情况给出明确提示，不承诺绕过平台限制</w:t>
            </w:r>
          </w:p>
        </w:tc>
      </w:tr>
      <w:tr w14:paraId="59FD8731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35DE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微店全店 UV、PV 数据来源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E5E4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全店访客及浏览量是否可通过当前账号权限和接口取得，尚需验证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B0118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M0 阶段向微店确认；无接口时，从微店后台导出后导入（需确认后台可导出）；仍无法获取时，改为"推广链接 UV、PV"，不展示转化率</w:t>
            </w:r>
          </w:p>
        </w:tc>
      </w:tr>
      <w:tr w14:paraId="5BA86B2F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69FA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代购下单时的"下单人数"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BF10B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若代购使用少量采购账号，买家去重数不能代表实际消费者人数，以其作为分母的指标可能失真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42ADD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M0 确认实际可取得的字段，明确标注人数口径；客单价优先按销售额÷有效订单数计算，并与甲方统一指标名称</w:t>
            </w:r>
          </w:p>
        </w:tc>
      </w:tr>
      <w:tr w14:paraId="7A387BDE">
        <w:trPr>
          <w:cantSplit/>
        </w:trPr>
        <w:tc>
          <w:tcPr>
            <w:tcW w:w="20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FA517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看板刷新频率</w:t>
            </w:r>
          </w:p>
        </w:tc>
        <w:tc>
          <w:tcPr>
            <w:tcW w:w="3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C616F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需求要求每 5 分钟刷新</w:t>
            </w:r>
          </w:p>
        </w:tc>
        <w:tc>
          <w:tcPr>
            <w:tcW w:w="41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8F086">
            <w:pPr>
              <w:keepNext w:val="0"/>
              <w:spacing w:before="40" w:after="40" w:line="269" w:lineRule="auto"/>
              <w:jc w:val="left"/>
            </w:pPr>
            <w:r>
              <w:rPr>
                <w:rFonts w:ascii="Arial" w:hAnsi="Arial" w:eastAsia="微软雅黑" w:cs="Arial"/>
                <w:sz w:val="19"/>
                <w:szCs w:val="19"/>
              </w:rPr>
              <w:t>接口开通后每 5 分钟增量同步并更新统计；导入模式按实际导入时间更新。退款或人工归属调整时重算受影响的日期</w:t>
            </w:r>
          </w:p>
        </w:tc>
      </w:tr>
    </w:tbl>
    <w:p w14:paraId="531C6707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00C4A">
    <w:pPr>
      <w:jc w:val="center"/>
    </w:pPr>
    <w:r>
      <w:rPr>
        <w:rFonts w:ascii="Arial" w:hAnsi="Arial" w:eastAsia="微软雅黑" w:cs="Arial"/>
        <w:color w:val="5A6474"/>
        <w:sz w:val="16"/>
        <w:szCs w:val="16"/>
      </w:rPr>
      <w:t xml:space="preserve">第 </w:t>
    </w:r>
    <w:r>
      <w:rPr>
        <w:rFonts w:ascii="Arial" w:hAnsi="Arial" w:eastAsia="微软雅黑" w:cs="Arial"/>
        <w:color w:val="5A6474"/>
        <w:sz w:val="16"/>
        <w:szCs w:val="16"/>
      </w:rPr>
      <w:fldChar w:fldCharType="begin"/>
    </w:r>
    <w:r>
      <w:rPr>
        <w:rFonts w:ascii="Arial" w:hAnsi="Arial" w:eastAsia="微软雅黑" w:cs="Arial"/>
        <w:color w:val="5A6474"/>
        <w:sz w:val="16"/>
        <w:szCs w:val="16"/>
      </w:rPr>
      <w:instrText xml:space="preserve">PAGE</w:instrText>
    </w:r>
    <w:r>
      <w:rPr>
        <w:rFonts w:ascii="Arial" w:hAnsi="Arial" w:eastAsia="微软雅黑" w:cs="Arial"/>
        <w:color w:val="5A6474"/>
        <w:sz w:val="16"/>
        <w:szCs w:val="16"/>
      </w:rPr>
      <w:fldChar w:fldCharType="separate"/>
    </w:r>
    <w:r>
      <w:rPr>
        <w:rFonts w:ascii="Arial" w:hAnsi="Arial" w:eastAsia="微软雅黑" w:cs="Arial"/>
        <w:color w:val="5A6474"/>
        <w:sz w:val="16"/>
        <w:szCs w:val="16"/>
      </w:rPr>
      <w:fldChar w:fldCharType="end"/>
    </w:r>
    <w:r>
      <w:rPr>
        <w:rFonts w:ascii="Arial" w:hAnsi="Arial" w:eastAsia="微软雅黑" w:cs="Arial"/>
        <w:color w:val="5A6474"/>
        <w:sz w:val="16"/>
        <w:szCs w:val="16"/>
      </w:rPr>
      <w:t xml:space="preserve"> 页 / 共 </w:t>
    </w:r>
    <w:r>
      <w:rPr>
        <w:rFonts w:ascii="Arial" w:hAnsi="Arial" w:eastAsia="微软雅黑" w:cs="Arial"/>
        <w:color w:val="5A6474"/>
        <w:sz w:val="16"/>
        <w:szCs w:val="16"/>
      </w:rPr>
      <w:fldChar w:fldCharType="begin"/>
    </w:r>
    <w:r>
      <w:rPr>
        <w:rFonts w:ascii="Arial" w:hAnsi="Arial" w:eastAsia="微软雅黑" w:cs="Arial"/>
        <w:color w:val="5A6474"/>
        <w:sz w:val="16"/>
        <w:szCs w:val="16"/>
      </w:rPr>
      <w:instrText xml:space="preserve">NUMPAGES</w:instrText>
    </w:r>
    <w:r>
      <w:rPr>
        <w:rFonts w:ascii="Arial" w:hAnsi="Arial" w:eastAsia="微软雅黑" w:cs="Arial"/>
        <w:color w:val="5A6474"/>
        <w:sz w:val="16"/>
        <w:szCs w:val="16"/>
      </w:rPr>
      <w:fldChar w:fldCharType="separate"/>
    </w:r>
    <w:r>
      <w:rPr>
        <w:rFonts w:ascii="Arial" w:hAnsi="Arial" w:eastAsia="微软雅黑" w:cs="Arial"/>
        <w:color w:val="5A6474"/>
        <w:sz w:val="16"/>
        <w:szCs w:val="16"/>
      </w:rPr>
      <w:fldChar w:fldCharType="end"/>
    </w:r>
    <w:r>
      <w:rPr>
        <w:rFonts w:ascii="Arial" w:hAnsi="Arial" w:eastAsia="微软雅黑" w:cs="Arial"/>
        <w:color w:val="5A6474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668B5">
    <w:pPr>
      <w:jc w:val="right"/>
    </w:pPr>
    <w:r>
      <w:rPr>
        <w:rFonts w:ascii="Arial" w:hAnsi="Arial" w:eastAsia="微软雅黑" w:cs="Arial"/>
        <w:color w:val="5A6474"/>
        <w:sz w:val="16"/>
        <w:szCs w:val="16"/>
      </w:rPr>
      <w:t>海外达人分销 CRM 系统 · 项目报价与排期方案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BE1B45"/>
    <w:multiLevelType w:val="singleLevel"/>
    <w:tmpl w:val="6ABE1B45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775C2B"/>
    <w:rsid w:val="FEEB23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="Arial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160"/>
      <w:outlineLvl w:val="0"/>
    </w:pPr>
    <w:rPr>
      <w:rFonts w:ascii="Arial" w:hAnsi="Arial" w:eastAsia="微软雅黑" w:cs="Arial"/>
      <w:b/>
      <w:bCs/>
      <w:color w:val="000000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Arial" w:hAnsi="Arial" w:eastAsia="微软雅黑" w:cs="Arial"/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000000"/>
    </w:rPr>
  </w:style>
  <w:style w:type="paragraph" w:styleId="6">
    <w:name w:val="heading 5"/>
    <w:basedOn w:val="1"/>
    <w:next w:val="1"/>
    <w:qFormat/>
    <w:uiPriority w:val="0"/>
    <w:rPr>
      <w:color w:val="000000"/>
    </w:rPr>
  </w:style>
  <w:style w:type="paragraph" w:styleId="7">
    <w:name w:val="heading 6"/>
    <w:basedOn w:val="1"/>
    <w:next w:val="1"/>
    <w:qFormat/>
    <w:uiPriority w:val="0"/>
    <w:rPr>
      <w:color w:val="00000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9"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8"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color w:val="000000"/>
      <w:sz w:val="56"/>
      <w:szCs w:val="56"/>
    </w:rPr>
  </w:style>
  <w:style w:type="character" w:styleId="13">
    <w:name w:val="endnote reference"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unhideWhenUsed/>
    <w:uiPriority w:val="99"/>
    <w:rPr>
      <w:vertAlign w:val="superscript"/>
    </w:rPr>
  </w:style>
  <w:style w:type="paragraph" w:customStyle="1" w:styleId="16">
    <w:name w:val="要点1"/>
    <w:basedOn w:val="1"/>
    <w:next w:val="1"/>
    <w:qFormat/>
    <w:uiPriority w:val="0"/>
    <w:rPr>
      <w:b/>
      <w:bCs/>
    </w:rPr>
  </w:style>
  <w:style w:type="paragraph" w:customStyle="1" w:styleId="17">
    <w:name w:val="List Paragraph"/>
    <w:basedOn w:val="1"/>
    <w:qFormat/>
    <w:uiPriority w:val="0"/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2026-10-01T16:51:37Z</dcterms:created>
  <dc:creator>Un-named</dc:creator>
  <cp:lastModifiedBy>OAOA</cp:lastModifiedBy>
  <dcterms:modified xsi:type="dcterms:W3CDTF">2026-10-01T16:53:36Z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98185257562E3821881DBE6AC10EB545_43</vt:lpwstr>
  </property>
  <property fmtid="{D5CDD505-2E9C-101B-9397-08002B2CF9AE}" pid="3" name="KSOProductBuildVer">
    <vt:lpwstr>2052-12.1.29166.29166</vt:lpwstr>
  </property>
</Properties>
</file>