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智能纪要：达人推广系统相关功能讨论 2026年10月17日</w:t>
      </w:r>
    </w:p>
    <w:p>
      <w:pPr>
        <w:spacing w:before="120" w:after="120" w:line="288" w:lineRule="auto"/>
        <w:ind w:left="0"/>
        <w:jc w:val="left"/>
      </w:pPr>
      <w:r>
        <w:rPr>
          <w:rFonts w:eastAsia="等线" w:ascii="Arial" w:cs="Arial" w:hAnsi="Arial"/>
          <w:sz w:val="22"/>
        </w:rPr>
        <w:t>录音时间：2026-10-17 18:08 - 2026-10-17 18:55</w:t>
        <w:br/>
        <w:t>头趣·可洗头疗养发(富颐华庭店)</w:t>
      </w: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990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990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音频对齐达人推广管理系统的功能规则、对接逻辑、交付节点等核心事项，明确落地细节，内容如下：</w:t>
      </w:r>
    </w:p>
    <w:p>
      <w:pPr>
        <w:numPr>
          <w:numId w:val="1"/>
        </w:numPr>
        <w:spacing w:before="120" w:after="120" w:line="288" w:lineRule="auto"/>
        <w:ind w:left="0"/>
        <w:jc w:val="left"/>
      </w:pPr>
      <w:r>
        <w:rPr>
          <w:rFonts w:eastAsia="等线" w:ascii="Arial" w:cs="Arial" w:hAnsi="Arial"/>
          <w:b w:val="true"/>
          <w:sz w:val="22"/>
        </w:rPr>
        <w:t>达人账号与状态管理规则</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885"/>
        <w:gridCol w:w="3394"/>
      </w:tblGrid>
      <w:tr>
        <w:tc>
          <w:tcPr>
            <w:tcW w:w="4885"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达人绑定规则</w:t>
            </w:r>
          </w:p>
          <w:p>
            <w:pPr>
              <w:numPr>
                <w:numId w:val="3"/>
              </w:numPr>
              <w:spacing w:before="120" w:after="120" w:line="288" w:lineRule="auto"/>
              <w:ind w:left="453"/>
              <w:jc w:val="left"/>
            </w:pPr>
            <w:r>
              <w:rPr>
                <w:rFonts w:eastAsia="等线" w:ascii="Arial" w:cs="Arial" w:hAnsi="Arial"/>
                <w:sz w:val="22"/>
              </w:rPr>
              <w:t>绑定要求：每位达人必须绑定在职商务，未绑定在职商务的达人状态标记为待更新，待更新期间业绩归管理员账号所有</w:t>
            </w:r>
          </w:p>
          <w:p>
            <w:pPr>
              <w:numPr>
                <w:numId w:val="4"/>
              </w:numPr>
              <w:spacing w:before="120" w:after="120" w:line="288" w:lineRule="auto"/>
              <w:ind w:left="453"/>
              <w:jc w:val="left"/>
            </w:pPr>
            <w:r>
              <w:rPr>
                <w:rFonts w:eastAsia="等线" w:ascii="Arial" w:cs="Arial" w:hAnsi="Arial"/>
                <w:sz w:val="22"/>
              </w:rPr>
              <w:t>绑定流程：商务通过系统生成邀请码链接发送给达人，达人填写身份信息后自动归入对应商务的达人池，完成绑定</w:t>
            </w:r>
          </w:p>
          <w:p>
            <w:pPr>
              <w:numPr>
                <w:numId w:val="5"/>
              </w:numPr>
              <w:spacing w:before="120" w:after="120" w:line="288" w:lineRule="auto"/>
              <w:ind w:left="453"/>
              <w:jc w:val="left"/>
            </w:pPr>
            <w:r>
              <w:rPr>
                <w:rFonts w:eastAsia="等线" w:ascii="Arial" w:cs="Arial" w:hAnsi="Arial"/>
                <w:sz w:val="22"/>
              </w:rPr>
              <w:t>归属分配：待更新状态的达人归属商务分配权限归管理员所有，相关细分规则后续再补充完善</w:t>
            </w:r>
          </w:p>
        </w:tc>
        <w:tc>
          <w:tcPr>
            <w:tcW w:w="3394" w:type="dxa"/>
            <w:tcMar>
              <w:top w:type="dxa" w:w="60"/>
              <w:left w:type="dxa" w:w="120"/>
              <w:bottom w:type="dxa" w:w="30"/>
              <w:right w:type="dxa" w:w="120"/>
            </w:tcMar>
          </w:tcPr>
          <w:p>
            <w:pPr>
              <w:spacing w:before="120" w:after="120" w:line="288" w:lineRule="auto"/>
              <w:ind w:left="0"/>
              <w:jc w:val="center"/>
            </w:pPr>
            <w:r>
              <w:drawing>
                <wp:inline distT="0" distR="0" distB="0" distL="0">
                  <wp:extent cx="2000250" cy="8001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000250" cy="8001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达人各状态规则对比</w:t>
              <w:br/>
            </w:r>
          </w:p>
        </w:tc>
      </w:tr>
    </w:tbl>
    <w:p>
      <w:pPr>
        <w:numPr>
          <w:numId w:val="6"/>
        </w:numPr>
        <w:spacing w:before="120" w:after="120" w:line="288" w:lineRule="auto"/>
        <w:ind w:left="453"/>
        <w:jc w:val="left"/>
      </w:pPr>
      <w:r>
        <w:rPr>
          <w:rFonts w:eastAsia="等线" w:ascii="Arial" w:cs="Arial" w:hAnsi="Arial"/>
          <w:b w:val="true"/>
          <w:sz w:val="22"/>
        </w:rPr>
        <w:t>功能排期安排</w:t>
      </w:r>
    </w:p>
    <w:p>
      <w:pPr>
        <w:numPr>
          <w:numId w:val="7"/>
        </w:numPr>
        <w:spacing w:before="120" w:after="120" w:line="288" w:lineRule="auto"/>
        <w:ind w:left="907"/>
        <w:jc w:val="left"/>
      </w:pPr>
      <w:r>
        <w:rPr>
          <w:rFonts w:eastAsia="等线" w:ascii="Arial" w:cs="Arial" w:hAnsi="Arial"/>
          <w:sz w:val="22"/>
        </w:rPr>
        <w:t>离职适配功能：达人离职后的归属调整功能放在第二期完善，不纳入 31 号交付的第一版功能范围</w:t>
      </w:r>
    </w:p>
    <w:p>
      <w:pPr>
        <w:numPr>
          <w:numId w:val="8"/>
        </w:numPr>
        <w:spacing w:before="120" w:after="120" w:line="288" w:lineRule="auto"/>
        <w:ind w:left="907"/>
        <w:jc w:val="left"/>
      </w:pPr>
      <w:r>
        <w:rPr>
          <w:rFonts w:eastAsia="等线" w:ascii="Arial" w:cs="Arial" w:hAnsi="Arial"/>
          <w:sz w:val="22"/>
        </w:rPr>
        <w:t>交付影响：该功能延后开发不影响第一版系统的正常使用，不会拖慢整体交付进度</w:t>
      </w:r>
    </w:p>
    <w:p>
      <w:pPr>
        <w:numPr>
          <w:numId w:val="9"/>
        </w:numPr>
        <w:spacing w:before="120" w:after="120" w:line="288" w:lineRule="auto"/>
        <w:ind w:left="0"/>
        <w:jc w:val="left"/>
      </w:pPr>
      <w:r>
        <w:rPr>
          <w:rFonts w:eastAsia="等线" w:ascii="Arial" w:cs="Arial" w:hAnsi="Arial"/>
          <w:b w:val="true"/>
          <w:sz w:val="22"/>
        </w:rPr>
        <w:t>推广配置与表格生成规则</w:t>
      </w:r>
    </w:p>
    <w:p>
      <w:pPr>
        <w:numPr>
          <w:numId w:val="10"/>
        </w:numPr>
        <w:spacing w:before="120" w:after="120" w:line="288" w:lineRule="auto"/>
        <w:ind w:left="453"/>
        <w:jc w:val="left"/>
      </w:pPr>
      <w:r>
        <w:rPr>
          <w:rFonts w:eastAsia="等线" w:ascii="Arial" w:cs="Arial" w:hAnsi="Arial"/>
          <w:b w:val="true"/>
          <w:sz w:val="22"/>
        </w:rPr>
        <w:t>待推广状态必填项</w:t>
      </w:r>
    </w:p>
    <w:p>
      <w:pPr>
        <w:numPr>
          <w:numId w:val="11"/>
        </w:numPr>
        <w:spacing w:before="120" w:after="120" w:line="288" w:lineRule="auto"/>
        <w:ind w:left="907"/>
        <w:jc w:val="left"/>
      </w:pPr>
      <w:r>
        <w:rPr>
          <w:rFonts w:eastAsia="等线" w:ascii="Arial" w:cs="Arial" w:hAnsi="Arial"/>
          <w:sz w:val="22"/>
        </w:rPr>
        <w:t>字段要求：商务需在达人开启推广前填写 4 项内容：佣金比例、代购平台、落地页地址、达人专属邀请码</w:t>
      </w:r>
    </w:p>
    <w:p>
      <w:pPr>
        <w:numPr>
          <w:numId w:val="12"/>
        </w:numPr>
        <w:spacing w:before="120" w:after="120" w:line="288" w:lineRule="auto"/>
        <w:ind w:left="907"/>
        <w:jc w:val="left"/>
      </w:pPr>
      <w:r>
        <w:rPr>
          <w:rFonts w:eastAsia="等线" w:ascii="Arial" w:cs="Arial" w:hAnsi="Arial"/>
          <w:sz w:val="22"/>
        </w:rPr>
        <w:t>平台配置：代购平台支持多选，平台清单后续提供，系统支持后续灵活新增、删除平台配置项</w:t>
      </w:r>
    </w:p>
    <w:p>
      <w:pPr>
        <w:numPr>
          <w:numId w:val="13"/>
        </w:numPr>
        <w:spacing w:before="120" w:after="120" w:line="288" w:lineRule="auto"/>
        <w:ind w:left="907"/>
        <w:jc w:val="left"/>
      </w:pPr>
      <w:r>
        <w:rPr>
          <w:rFonts w:eastAsia="等线" w:ascii="Arial" w:cs="Arial" w:hAnsi="Arial"/>
          <w:sz w:val="22"/>
        </w:rPr>
        <w:t>记录留存：所有填写内容及后续修改记录由系统自动留存，同时支持商务添加备注记录特殊需求</w:t>
      </w:r>
    </w:p>
    <w:p>
      <w:pPr>
        <w:numPr>
          <w:numId w:val="14"/>
        </w:numPr>
        <w:spacing w:before="120" w:after="120" w:line="288" w:lineRule="auto"/>
        <w:ind w:left="453"/>
        <w:jc w:val="left"/>
      </w:pPr>
      <w:r>
        <w:rPr>
          <w:rFonts w:eastAsia="等线" w:ascii="Arial" w:cs="Arial" w:hAnsi="Arial"/>
          <w:b w:val="true"/>
          <w:sz w:val="22"/>
        </w:rPr>
        <w:t>推广表格生成逻辑</w:t>
      </w:r>
    </w:p>
    <w:p>
      <w:pPr>
        <w:numPr>
          <w:numId w:val="15"/>
        </w:numPr>
        <w:spacing w:before="120" w:after="120" w:line="288" w:lineRule="auto"/>
        <w:ind w:left="907"/>
        <w:jc w:val="left"/>
      </w:pPr>
      <w:r>
        <w:rPr>
          <w:rFonts w:eastAsia="等线" w:ascii="Arial" w:cs="Arial" w:hAnsi="Arial"/>
          <w:sz w:val="22"/>
        </w:rPr>
        <w:t>操作方式：当前由商务手动在谷歌表格通过已部署脚本完成链接替换、多平台转换、转微店链接操作</w:t>
      </w:r>
    </w:p>
    <w:p>
      <w:pPr>
        <w:numPr>
          <w:numId w:val="16"/>
        </w:numPr>
        <w:spacing w:before="120" w:after="120" w:line="288" w:lineRule="auto"/>
        <w:ind w:left="907"/>
        <w:jc w:val="left"/>
      </w:pPr>
      <w:r>
        <w:rPr>
          <w:rFonts w:eastAsia="等线" w:ascii="Arial" w:cs="Arial" w:hAnsi="Arial"/>
          <w:sz w:val="22"/>
        </w:rPr>
        <w:t>功能排期：暂不开发系统自动对接谷歌接口生成表格的功能，后续根据实际使用情况再评估</w:t>
      </w:r>
    </w:p>
    <w:p>
      <w:pPr>
        <w:numPr>
          <w:numId w:val="17"/>
        </w:numPr>
        <w:spacing w:before="120" w:after="120" w:line="288" w:lineRule="auto"/>
        <w:ind w:left="453"/>
        <w:jc w:val="left"/>
      </w:pPr>
      <w:r>
        <w:rPr>
          <w:rFonts w:eastAsia="等线" w:ascii="Arial" w:cs="Arial" w:hAnsi="Arial"/>
          <w:b w:val="true"/>
          <w:sz w:val="22"/>
        </w:rPr>
        <w:t>推广表需求调整</w:t>
      </w:r>
    </w:p>
    <w:p>
      <w:pPr>
        <w:numPr>
          <w:numId w:val="18"/>
        </w:numPr>
        <w:spacing w:before="120" w:after="120" w:line="288" w:lineRule="auto"/>
        <w:ind w:left="907"/>
        <w:jc w:val="left"/>
      </w:pPr>
      <w:r>
        <w:rPr>
          <w:rFonts w:eastAsia="等线" w:ascii="Arial" w:cs="Arial" w:hAnsi="Arial"/>
          <w:sz w:val="22"/>
        </w:rPr>
        <w:t>内容简化：原需求中达人推广表的 4 个 sheet 无需保留，所有商品、订单、成交数据直接在系统内展示</w:t>
      </w:r>
    </w:p>
    <w:p>
      <w:pPr>
        <w:numPr>
          <w:numId w:val="19"/>
        </w:numPr>
        <w:spacing w:before="120" w:after="120" w:line="288" w:lineRule="auto"/>
        <w:ind w:left="907"/>
        <w:jc w:val="left"/>
      </w:pPr>
      <w:r>
        <w:rPr>
          <w:rFonts w:eastAsia="等线" w:ascii="Arial" w:cs="Arial" w:hAnsi="Arial"/>
          <w:sz w:val="22"/>
        </w:rPr>
        <w:t>操作优化：减少商务手动整理表格的工作量，同时方便达人直接在系统内查看自身运营数据</w:t>
      </w:r>
    </w:p>
    <w:p>
      <w:pPr>
        <w:numPr>
          <w:numId w:val="20"/>
        </w:numPr>
        <w:spacing w:before="120" w:after="120" w:line="288" w:lineRule="auto"/>
        <w:ind w:left="0"/>
        <w:jc w:val="left"/>
      </w:pPr>
      <w:r>
        <w:rPr>
          <w:rFonts w:eastAsia="等线" w:ascii="Arial" w:cs="Arial" w:hAnsi="Arial"/>
          <w:b w:val="true"/>
          <w:sz w:val="22"/>
        </w:rPr>
        <w:t>销售追踪与佣金结算规则</w:t>
      </w:r>
    </w:p>
    <w:p>
      <w:pPr>
        <w:numPr>
          <w:numId w:val="21"/>
        </w:numPr>
        <w:spacing w:before="120" w:after="120" w:line="288" w:lineRule="auto"/>
        <w:ind w:left="453"/>
        <w:jc w:val="left"/>
      </w:pPr>
      <w:r>
        <w:rPr>
          <w:rFonts w:eastAsia="等线" w:ascii="Arial" w:cs="Arial" w:hAnsi="Arial"/>
          <w:b w:val="true"/>
          <w:sz w:val="22"/>
        </w:rPr>
        <w:t>销售数据追踪逻辑</w:t>
      </w:r>
    </w:p>
    <w:p>
      <w:pPr>
        <w:numPr>
          <w:numId w:val="22"/>
        </w:numPr>
        <w:spacing w:before="120" w:after="120" w:line="288" w:lineRule="auto"/>
        <w:ind w:left="907"/>
        <w:jc w:val="left"/>
      </w:pPr>
      <w:r>
        <w:rPr>
          <w:rFonts w:eastAsia="等线" w:ascii="Arial" w:cs="Arial" w:hAnsi="Arial"/>
          <w:sz w:val="22"/>
        </w:rPr>
        <w:t>关联规则：系统通过达人对应的微店 token 关联其生成的所有微店商品 ID，后续通过商品 ID 匹配对应达人</w:t>
      </w:r>
    </w:p>
    <w:p>
      <w:pPr>
        <w:numPr>
          <w:numId w:val="23"/>
        </w:numPr>
        <w:spacing w:before="120" w:after="120" w:line="288" w:lineRule="auto"/>
        <w:ind w:left="907"/>
        <w:jc w:val="left"/>
      </w:pPr>
      <w:r>
        <w:rPr>
          <w:rFonts w:eastAsia="等线" w:ascii="Arial" w:cs="Arial" w:hAnsi="Arial"/>
          <w:sz w:val="22"/>
        </w:rPr>
        <w:t>数据来源：所有销售数据直接从微店 API 拉取，无需额外在链接中嵌入系统内的达人唯一编码</w:t>
      </w:r>
    </w:p>
    <w:p>
      <w:pPr>
        <w:numPr>
          <w:numId w:val="24"/>
        </w:numPr>
        <w:spacing w:before="120" w:after="120" w:line="288" w:lineRule="auto"/>
        <w:ind w:left="453"/>
        <w:jc w:val="left"/>
      </w:pPr>
      <w:r>
        <w:rPr>
          <w:rFonts w:eastAsia="等线" w:ascii="Arial" w:cs="Arial" w:hAnsi="Arial"/>
          <w:b w:val="true"/>
          <w:sz w:val="22"/>
        </w:rPr>
        <w:t>佣金结算规则</w:t>
      </w:r>
    </w:p>
    <w:p>
      <w:pPr>
        <w:numPr>
          <w:numId w:val="25"/>
        </w:numPr>
        <w:spacing w:before="120" w:after="120" w:line="288" w:lineRule="auto"/>
        <w:ind w:left="907"/>
        <w:jc w:val="left"/>
      </w:pPr>
      <w:r>
        <w:rPr>
          <w:rFonts w:eastAsia="等线" w:ascii="Arial" w:cs="Arial" w:hAnsi="Arial"/>
          <w:sz w:val="22"/>
        </w:rPr>
        <w:t>计算逻辑：优先以微店回传的可提现金额乘以对应达人的佣金比例，计算达人可结算佣金金额</w:t>
      </w:r>
    </w:p>
    <w:p>
      <w:pPr>
        <w:numPr>
          <w:numId w:val="26"/>
        </w:numPr>
        <w:spacing w:before="120" w:after="120" w:line="288" w:lineRule="auto"/>
        <w:ind w:left="907"/>
        <w:jc w:val="left"/>
      </w:pPr>
      <w:r>
        <w:rPr>
          <w:rFonts w:eastAsia="等线" w:ascii="Arial" w:cs="Arial" w:hAnsi="Arial"/>
          <w:sz w:val="22"/>
        </w:rPr>
        <w:t>规则适配：暂不自行设置固定结算周期，后续对齐微店的待结算、可提现字段规则后再调整</w:t>
      </w:r>
    </w:p>
    <w:p>
      <w:pPr>
        <w:numPr>
          <w:numId w:val="27"/>
        </w:numPr>
        <w:spacing w:before="120" w:after="120" w:line="288" w:lineRule="auto"/>
        <w:ind w:left="453"/>
        <w:jc w:val="left"/>
      </w:pPr>
      <w:r>
        <w:rPr>
          <w:rFonts w:eastAsia="等线" w:ascii="Arial" w:cs="Arial" w:hAnsi="Arial"/>
          <w:b w:val="true"/>
          <w:sz w:val="22"/>
        </w:rPr>
        <w:t>提现规则</w:t>
      </w:r>
    </w:p>
    <w:p>
      <w:pPr>
        <w:numPr>
          <w:numId w:val="28"/>
        </w:numPr>
        <w:spacing w:before="120" w:after="120" w:line="288" w:lineRule="auto"/>
        <w:ind w:left="907"/>
        <w:jc w:val="left"/>
      </w:pPr>
      <w:r>
        <w:rPr>
          <w:rFonts w:eastAsia="等线" w:ascii="Arial" w:cs="Arial" w:hAnsi="Arial"/>
          <w:sz w:val="22"/>
        </w:rPr>
        <w:t>门槛设置：设置达人最低提现额，支持后台自定义配置，优先保障达人、商务的操作便捷性</w:t>
      </w:r>
    </w:p>
    <w:p>
      <w:pPr>
        <w:numPr>
          <w:numId w:val="29"/>
        </w:numPr>
        <w:spacing w:before="120" w:after="120" w:line="288" w:lineRule="auto"/>
        <w:ind w:left="907"/>
        <w:jc w:val="left"/>
      </w:pPr>
      <w:r>
        <w:rPr>
          <w:rFonts w:eastAsia="等线" w:ascii="Arial" w:cs="Arial" w:hAnsi="Arial"/>
          <w:sz w:val="22"/>
        </w:rPr>
        <w:t>优先级：功能开发优先向达人、商务侧倾斜，职能部门相关流程后续再适配业务需求</w:t>
      </w:r>
    </w:p>
    <w:p>
      <w:pPr>
        <w:numPr>
          <w:numId w:val="30"/>
        </w:numPr>
        <w:spacing w:before="120" w:after="120" w:line="288" w:lineRule="auto"/>
        <w:ind w:left="0"/>
        <w:jc w:val="left"/>
      </w:pPr>
      <w:r>
        <w:rPr>
          <w:rFonts w:eastAsia="等线" w:ascii="Arial" w:cs="Arial" w:hAnsi="Arial"/>
          <w:b w:val="true"/>
          <w:sz w:val="22"/>
        </w:rPr>
        <w:t>项目进度安排</w:t>
      </w:r>
    </w:p>
    <w:p>
      <w:pPr>
        <w:numPr>
          <w:numId w:val="31"/>
        </w:numPr>
        <w:spacing w:before="120" w:after="120" w:line="288" w:lineRule="auto"/>
        <w:ind w:left="453"/>
        <w:jc w:val="left"/>
      </w:pPr>
      <w:r>
        <w:rPr>
          <w:rFonts w:eastAsia="等线" w:ascii="Arial" w:cs="Arial" w:hAnsi="Arial"/>
          <w:b w:val="true"/>
          <w:sz w:val="22"/>
        </w:rPr>
        <w:t>交付节点</w:t>
      </w:r>
      <w:r>
        <w:rPr>
          <w:rFonts w:eastAsia="等线" w:ascii="Arial" w:cs="Arial" w:hAnsi="Arial"/>
          <w:sz w:val="22"/>
        </w:rPr>
        <w:t>：系统第一版最晚 31 号完成开发交付，提前开展首轮测试，争取提前上线</w:t>
      </w:r>
    </w:p>
    <w:p>
      <w:pPr>
        <w:numPr>
          <w:numId w:val="32"/>
        </w:numPr>
        <w:spacing w:before="120" w:after="120" w:line="288" w:lineRule="auto"/>
        <w:ind w:left="453"/>
        <w:jc w:val="left"/>
      </w:pPr>
      <w:r>
        <w:rPr>
          <w:rFonts w:eastAsia="等线" w:ascii="Arial" w:cs="Arial" w:hAnsi="Arial"/>
          <w:b w:val="true"/>
          <w:sz w:val="22"/>
        </w:rPr>
        <w:t>进度同步</w:t>
      </w:r>
      <w:r>
        <w:rPr>
          <w:rFonts w:eastAsia="等线" w:ascii="Arial" w:cs="Arial" w:hAnsi="Arial"/>
          <w:sz w:val="22"/>
        </w:rPr>
        <w:t>：会后将本次会议对齐的所有调整内容更新到需求表与进度表，同步到项目群</w:t>
      </w:r>
    </w:p>
    <w:p>
      <w:pPr>
        <w:numPr>
          <w:numId w:val="33"/>
        </w:numPr>
        <w:spacing w:before="120" w:after="120" w:line="288" w:lineRule="auto"/>
        <w:ind w:left="453"/>
        <w:jc w:val="left"/>
      </w:pPr>
      <w:r>
        <w:rPr>
          <w:rFonts w:eastAsia="等线" w:ascii="Arial" w:cs="Arial" w:hAnsi="Arial"/>
          <w:b w:val="true"/>
          <w:sz w:val="22"/>
        </w:rPr>
        <w:t>后续更新</w:t>
      </w:r>
      <w:r>
        <w:rPr>
          <w:rFonts w:eastAsia="等线" w:ascii="Arial" w:cs="Arial" w:hAnsi="Arial"/>
          <w:sz w:val="22"/>
        </w:rPr>
        <w:t>：后续所有项目进度更新统一在项目群内同步，无特殊事项无需单独组织会议对齐</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r>
        <w:rPr>
          <w:rFonts w:eastAsia="等线" w:ascii="Arial" w:cs="Arial" w:hAnsi="Arial"/>
          <w:sz w:val="22"/>
        </w:rPr>
        <w:t>00:09</w:t>
      </w:r>
      <w:r>
        <w:rPr>
          <w:rFonts w:eastAsia="等线" w:ascii="Arial" w:cs="Arial" w:hAnsi="Arial"/>
          <w:b w:val="true"/>
          <w:sz w:val="22"/>
        </w:rPr>
        <w:t xml:space="preserve">  达人绑定商务相关规则及状态设定讨论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达人账号的四类状态相关规则，待绑定状态下商务可通过系统生成邀请链接发给达人，达人提交信息后自动归入对应商务池，新增限定要求达人必须绑定在职商务，未绑定则状态变为待更新，期间产生的业绩归管理员所有，后续将细化达人归属分配的相关规则。</w:t>
            </w:r>
          </w:p>
        </w:tc>
      </w:tr>
    </w:tbl>
    <w:p>
      <w:pPr>
        <w:spacing w:before="120" w:after="120" w:line="288" w:lineRule="auto"/>
        <w:ind w:left="0"/>
        <w:jc w:val="left"/>
      </w:pPr>
      <w:r>
        <w:rPr>
          <w:rFonts w:eastAsia="等线" w:ascii="Arial" w:cs="Arial" w:hAnsi="Arial"/>
          <w:sz w:val="22"/>
        </w:rPr>
        <w:t>02:17</w:t>
      </w:r>
      <w:r>
        <w:rPr>
          <w:rFonts w:eastAsia="等线" w:ascii="Arial" w:cs="Arial" w:hAnsi="Arial"/>
          <w:b w:val="true"/>
          <w:sz w:val="22"/>
        </w:rPr>
        <w:t xml:space="preserve">  讨论达人推广前商务需填写的佣金相关配置项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达人推广前商务需在待推广状态下填写佣金比例、达人专属落地页地址、达人邀请码、代购平台（下拉多选，后续可灵活维护）及对应网址，还可加备注，需留存填写与修改记录，相关离职关联功能放在二期完善。</w:t>
            </w:r>
          </w:p>
        </w:tc>
      </w:tr>
    </w:tbl>
    <w:p>
      <w:pPr>
        <w:spacing w:before="120" w:after="120" w:line="288" w:lineRule="auto"/>
        <w:ind w:left="0"/>
        <w:jc w:val="left"/>
      </w:pPr>
      <w:r>
        <w:rPr>
          <w:rFonts w:eastAsia="等线" w:ascii="Arial" w:cs="Arial" w:hAnsi="Arial"/>
          <w:sz w:val="22"/>
        </w:rPr>
        <w:t>06:46</w:t>
      </w:r>
      <w:r>
        <w:rPr>
          <w:rFonts w:eastAsia="等线" w:ascii="Arial" w:cs="Arial" w:hAnsi="Arial"/>
          <w:b w:val="true"/>
          <w:sz w:val="22"/>
        </w:rPr>
        <w:t xml:space="preserve">  讨论推广表生成方案及相关协作安排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达人推广表生成方案展开，提及商务填完达人信息、佣金、平台等信息后可生成推广表，当前正测试系统对接谷歌接口自动生成推广表的可行性，后续将通过飞书会议演示现有操作流程，同步推进相关测试链接、脚本及GitHub仓库内容的对齐，同时明确达人需凭邀请码注册。</w:t>
            </w:r>
          </w:p>
        </w:tc>
      </w:tr>
    </w:tbl>
    <w:p>
      <w:pPr>
        <w:spacing w:before="120" w:after="120" w:line="288" w:lineRule="auto"/>
        <w:ind w:left="0"/>
        <w:jc w:val="left"/>
      </w:pPr>
      <w:r>
        <w:rPr>
          <w:rFonts w:eastAsia="等线" w:ascii="Arial" w:cs="Arial" w:hAnsi="Arial"/>
          <w:sz w:val="22"/>
        </w:rPr>
        <w:t>13:00</w:t>
      </w:r>
      <w:r>
        <w:rPr>
          <w:rFonts w:eastAsia="等线" w:ascii="Arial" w:cs="Arial" w:hAnsi="Arial"/>
          <w:b w:val="true"/>
          <w:sz w:val="22"/>
        </w:rPr>
        <w:t xml:space="preserve">  讲解达人数据表复制的业务场景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说话人2准备演示相关功能的主要作用，先介绍对应的业务场景：原本有一张原生生成的达人A的表格，对应达人A的落地页，后续需要为另一位达人制作新落地页时，会直接从达人A的这张表复制出达人B的新表格，过程中会生成相关的链接。</w:t>
            </w:r>
          </w:p>
        </w:tc>
      </w:tr>
    </w:tbl>
    <w:p>
      <w:pPr>
        <w:spacing w:before="120" w:after="120" w:line="288" w:lineRule="auto"/>
        <w:ind w:left="0"/>
        <w:jc w:val="left"/>
      </w:pPr>
      <w:r>
        <w:rPr>
          <w:rFonts w:eastAsia="等线" w:ascii="Arial" w:cs="Arial" w:hAnsi="Arial"/>
          <w:sz w:val="22"/>
        </w:rPr>
        <w:t>14:06</w:t>
      </w:r>
      <w:r>
        <w:rPr>
          <w:rFonts w:eastAsia="等线" w:ascii="Arial" w:cs="Arial" w:hAnsi="Arial"/>
          <w:b w:val="true"/>
          <w:sz w:val="22"/>
        </w:rPr>
        <w:t xml:space="preserve">  达人专属链接生成方案及相关系统对接讨论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用于区分不同达人订单归属的3M系统展开，讲解其通过微店API生成专属token、替换生成达人专属追踪链接的运行逻辑，当前相关操作由商务手动完成，各方共识最优是系统接谷歌接口自动生成含达人专属链接的新表格，需先测试谷歌接口可用性。</w:t>
            </w:r>
          </w:p>
        </w:tc>
      </w:tr>
    </w:tbl>
    <w:p>
      <w:pPr>
        <w:spacing w:before="120" w:after="120" w:line="288" w:lineRule="auto"/>
        <w:ind w:left="0"/>
        <w:jc w:val="left"/>
      </w:pPr>
      <w:r>
        <w:rPr>
          <w:rFonts w:eastAsia="等线" w:ascii="Arial" w:cs="Arial" w:hAnsi="Arial"/>
          <w:sz w:val="22"/>
        </w:rPr>
        <w:t>19:24</w:t>
      </w:r>
      <w:r>
        <w:rPr>
          <w:rFonts w:eastAsia="等线" w:ascii="Arial" w:cs="Arial" w:hAnsi="Arial"/>
          <w:b w:val="true"/>
          <w:sz w:val="22"/>
        </w:rPr>
        <w:t xml:space="preserve">  达人多平台互转工具功能相关说明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本章节主要围绕两款相关工具展开说明，提及达人可跨多平台操作，支持不同主体间的互转，每类主体对应生成全新邀请码，选定目标区域后系统可自动完成转换，从对应列自动输出新的链接供使用。</w:t>
            </w:r>
          </w:p>
        </w:tc>
      </w:tr>
    </w:tbl>
    <w:p>
      <w:pPr>
        <w:spacing w:before="120" w:after="120" w:line="288" w:lineRule="auto"/>
        <w:ind w:left="0"/>
        <w:jc w:val="left"/>
      </w:pPr>
      <w:r>
        <w:rPr>
          <w:rFonts w:eastAsia="等线" w:ascii="Arial" w:cs="Arial" w:hAnsi="Arial"/>
          <w:sz w:val="22"/>
        </w:rPr>
        <w:t>20:17</w:t>
      </w:r>
      <w:r>
        <w:rPr>
          <w:rFonts w:eastAsia="等线" w:ascii="Arial" w:cs="Arial" w:hAnsi="Arial"/>
          <w:b w:val="true"/>
          <w:sz w:val="22"/>
        </w:rPr>
        <w:t xml:space="preserve">  达人专属链接打标及相关功能实现方案讨论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新增达人脱“拜”获取带自身追踪码的纯微店链接的功能，当前相关链接生成操作暂在谷歌表格完成，现有脚本已嵌入平台侧达人码用于交易统计与提成结算，但未嵌入我方系统码，各方讨论后倾向尽可能减少商务操作，暂未敲定是修改脚本还是由商务上传链接至我方系统打标的落地方案。</w:t>
            </w:r>
          </w:p>
        </w:tc>
      </w:tr>
    </w:tbl>
    <w:p>
      <w:pPr>
        <w:spacing w:before="120" w:after="120" w:line="288" w:lineRule="auto"/>
        <w:ind w:left="0"/>
        <w:jc w:val="left"/>
      </w:pPr>
      <w:r>
        <w:rPr>
          <w:rFonts w:eastAsia="等线" w:ascii="Arial" w:cs="Arial" w:hAnsi="Arial"/>
          <w:sz w:val="22"/>
        </w:rPr>
        <w:t>23:33</w:t>
      </w:r>
      <w:r>
        <w:rPr>
          <w:rFonts w:eastAsia="等线" w:ascii="Arial" w:cs="Arial" w:hAnsi="Arial"/>
          <w:b w:val="true"/>
          <w:sz w:val="22"/>
        </w:rPr>
        <w:t xml:space="preserve">  达人与微店商品关联打标及销售追踪方案讨论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梳理了商务邀请达人的操作流程，明确需在达人列表后补充记录对应邀请码、地址等信息，敲定通过将达人ID与微店商品ID关联打标的方式，实现达人销售数据的追踪统计，参会各方均表示理解该业务逻辑，可落地实现。</w:t>
            </w:r>
          </w:p>
        </w:tc>
      </w:tr>
    </w:tbl>
    <w:p>
      <w:pPr>
        <w:spacing w:before="120" w:after="120" w:line="288" w:lineRule="auto"/>
        <w:ind w:left="0"/>
        <w:jc w:val="left"/>
      </w:pPr>
      <w:r>
        <w:rPr>
          <w:rFonts w:eastAsia="等线" w:ascii="Arial" w:cs="Arial" w:hAnsi="Arial"/>
          <w:sz w:val="22"/>
        </w:rPr>
        <w:t>30:27</w:t>
      </w:r>
      <w:r>
        <w:rPr>
          <w:rFonts w:eastAsia="等线" w:ascii="Arial" w:cs="Arial" w:hAnsi="Arial"/>
          <w:b w:val="true"/>
          <w:sz w:val="22"/>
        </w:rPr>
        <w:t xml:space="preserve">  对接微店API实现达人销售数据回传统计</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当前仅需完成微店API对接，无需调用谷歌相关接口，由商务负责复制商品相关工作，达人ID与微店商品链接一对一匹配，用微店商品链接ID回传销售数据，可通过从微店拉取的token调用微店API查询对应达人关联商品的销售情况，完成对接后相关功能可快速落地。</w:t>
            </w:r>
          </w:p>
        </w:tc>
      </w:tr>
    </w:tbl>
    <w:p>
      <w:pPr>
        <w:spacing w:before="120" w:after="120" w:line="288" w:lineRule="auto"/>
        <w:ind w:left="0"/>
        <w:jc w:val="left"/>
      </w:pPr>
      <w:r>
        <w:rPr>
          <w:rFonts w:eastAsia="等线" w:ascii="Arial" w:cs="Arial" w:hAnsi="Arial"/>
          <w:sz w:val="22"/>
        </w:rPr>
        <w:t>35:00</w:t>
      </w:r>
      <w:r>
        <w:rPr>
          <w:rFonts w:eastAsia="等线" w:ascii="Arial" w:cs="Arial" w:hAnsi="Arial"/>
          <w:b w:val="true"/>
          <w:sz w:val="22"/>
        </w:rPr>
        <w:t xml:space="preserve">  讨论简化达人推广表及微店对接相关事项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核心讨论两项相关事项，一是确认无需给链接打标，依托token即可完成微店与己方系统的对应关联，对接测试后有望提前交付第一版。二是确认达人推广表原本设置的4个sheet里的商品、成交等订单数据，因达人可直接登录系统查看，无需再放到推广表中。</w:t>
            </w:r>
          </w:p>
        </w:tc>
      </w:tr>
    </w:tbl>
    <w:p>
      <w:pPr>
        <w:spacing w:before="120" w:after="120" w:line="288" w:lineRule="auto"/>
        <w:ind w:left="0"/>
        <w:jc w:val="left"/>
      </w:pPr>
      <w:r>
        <w:rPr>
          <w:rFonts w:eastAsia="等线" w:ascii="Arial" w:cs="Arial" w:hAnsi="Arial"/>
          <w:sz w:val="22"/>
        </w:rPr>
        <w:t>39:27</w:t>
      </w:r>
      <w:r>
        <w:rPr>
          <w:rFonts w:eastAsia="等线" w:ascii="Arial" w:cs="Arial" w:hAnsi="Arial"/>
          <w:b w:val="true"/>
          <w:sz w:val="22"/>
        </w:rPr>
        <w:t xml:space="preserve">  微店达人佣金结算规则及项目进度沟通</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达人佣金结算规则，暂定以微店回传的待提现、可提现状态数据为核心依据，以可提现金额乘对应比例计算达人佣金，售后退款风险极低，设置200元的最低提现额，优先保障达人及商务使用便捷，项目力争31号前交付，后续将同步更新进度到群内。</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34"/>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：达人管理系统最终采用对接微店 API、由商务手动完成谷歌表格链接生成后上传系统的方案，31 号前完成交付，优先保障达人与商务的操作便捷性。</w:t>
      </w:r>
    </w:p>
    <w:p>
      <w:pPr>
        <w:numPr>
          <w:numId w:val="35"/>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：需确定达人管理系统的推广链接生成、销售数据追踪、佣金结算的实现方案，以及交付排期。</w:t>
      </w:r>
    </w:p>
    <w:p>
      <w:pPr>
        <w:numPr>
          <w:numId w:val="36"/>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37"/>
        </w:numPr>
        <w:spacing w:before="120" w:after="120" w:line="288" w:lineRule="auto"/>
        <w:ind w:left="907"/>
        <w:jc w:val="left"/>
      </w:pPr>
      <w:r>
        <w:rPr>
          <w:rFonts w:eastAsia="等线" w:ascii="Arial" w:cs="Arial" w:hAnsi="Arial"/>
          <w:sz w:val="22"/>
        </w:rPr>
        <w:t>说话人 1 提出可测试谷歌接口实现系统自动生成推广表格，若对接失败则由商务手动操作，初期可先按淘宝结算规则开发佣金功能。</w:t>
      </w:r>
    </w:p>
    <w:p>
      <w:pPr>
        <w:numPr>
          <w:numId w:val="38"/>
        </w:numPr>
        <w:spacing w:before="120" w:after="120" w:line="288" w:lineRule="auto"/>
        <w:ind w:left="907"/>
        <w:jc w:val="left"/>
      </w:pPr>
      <w:r>
        <w:rPr>
          <w:rFonts w:eastAsia="等线" w:ascii="Arial" w:cs="Arial" w:hAnsi="Arial"/>
          <w:sz w:val="22"/>
        </w:rPr>
        <w:t>说话人 2 表示当前暂无法确认谷歌接口能否对接成功，建议直接对接微店 API，佣金结算以微店返回的待结算、可提现状态为准，设置最低提现额降低打款成本。</w:t>
      </w:r>
    </w:p>
    <w:p>
      <w:pPr>
        <w:numPr>
          <w:numId w:val="39"/>
        </w:numPr>
        <w:spacing w:before="120" w:after="120" w:line="288" w:lineRule="auto"/>
        <w:ind w:left="907"/>
        <w:jc w:val="left"/>
      </w:pPr>
      <w:r>
        <w:rPr>
          <w:rFonts w:eastAsia="等线" w:ascii="Arial" w:cs="Arial" w:hAnsi="Arial"/>
          <w:sz w:val="22"/>
        </w:rPr>
        <w:t>说话人 3 提出可通过微店商品 ID 与达人 ID 做关联映射实现销售数据追踪，所有数据以微店回传结果为准。</w:t>
      </w:r>
    </w:p>
    <w:p>
      <w:pPr>
        <w:numPr>
          <w:numId w:val="40"/>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：谷歌接口对接可行性不明确，对接微店 API 可直接获取订单、结算状态数据，实现逻辑更简单稳定，且能优先保障商务与达人的操作便捷性。</w:t>
      </w:r>
    </w:p>
    <w:p>
      <w:pPr>
        <w:pBdr>
          <w:bottom w:val="single" w:color="dee0e3"/>
          <w:between w:val="single" w:color="dee0e3"/>
        </w:pBdr>
        <w:spacing w:before="120" w:after="120" w:line="288" w:lineRule="auto"/>
        <w:ind w:left="0"/>
      </w:pPr>
    </w:p>
    <w:p>
      <w:pPr>
        <w:numPr>
          <w:numId w:val="41"/>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42"/>
        </w:numPr>
        <w:spacing w:before="120" w:after="120" w:line="288" w:lineRule="auto"/>
        <w:ind w:left="453"/>
        <w:jc w:val="left"/>
      </w:pPr>
      <w:r>
        <w:rPr>
          <w:rFonts w:eastAsia="等线" w:ascii="Arial" w:cs="Arial" w:hAnsi="Arial"/>
          <w:sz w:val="22"/>
        </w:rPr>
        <w:t>达人离职相关的商务绑定状态功能放在第二期完善，不纳入 31 号交付范围。</w:t>
      </w:r>
    </w:p>
    <w:p>
      <w:pPr>
        <w:numPr>
          <w:numId w:val="43"/>
        </w:numPr>
        <w:spacing w:before="120" w:after="120" w:line="288" w:lineRule="auto"/>
        <w:ind w:left="453"/>
        <w:jc w:val="left"/>
      </w:pPr>
      <w:r>
        <w:rPr>
          <w:rFonts w:eastAsia="等线" w:ascii="Arial" w:cs="Arial" w:hAnsi="Arial"/>
          <w:sz w:val="22"/>
        </w:rPr>
        <w:t>原需求中推广表的 4 个 sheet 相关信息全部放在系统内，无需在表格中呈现。</w:t>
      </w:r>
    </w:p>
    <w:p>
      <w:pPr>
        <w:numPr>
          <w:numId w:val="44"/>
        </w:numPr>
        <w:spacing w:before="120" w:after="120" w:line="288" w:lineRule="auto"/>
        <w:ind w:left="453"/>
        <w:jc w:val="left"/>
      </w:pPr>
      <w:r>
        <w:rPr>
          <w:rFonts w:eastAsia="等线" w:ascii="Arial" w:cs="Arial" w:hAnsi="Arial"/>
          <w:sz w:val="22"/>
        </w:rPr>
        <w:t>佣金最低提现额支持后台开放式配置，初期可设置为 200 人民币。</w:t>
      </w:r>
    </w:p>
    <w:p>
      <w:pPr>
        <w:numPr>
          <w:numId w:val="45"/>
        </w:numPr>
        <w:spacing w:before="120" w:after="120" w:line="288" w:lineRule="auto"/>
        <w:ind w:left="453"/>
        <w:jc w:val="left"/>
      </w:pPr>
      <w:r>
        <w:rPr>
          <w:rFonts w:eastAsia="等线" w:ascii="Arial" w:cs="Arial" w:hAnsi="Arial"/>
          <w:sz w:val="22"/>
        </w:rPr>
        <w:t>说话人 1 会后调整项目进度并更新后发至群内同步各方。</w:t>
      </w:r>
    </w:p>
    <w:p>
      <w:pPr>
        <w:numPr>
          <w:numId w:val="46"/>
        </w:numPr>
        <w:spacing w:before="120" w:after="120" w:line="288" w:lineRule="auto"/>
        <w:ind w:left="453"/>
        <w:jc w:val="left"/>
      </w:pPr>
      <w:r>
        <w:rPr>
          <w:rFonts w:eastAsia="等线" w:ascii="Arial" w:cs="Arial" w:hAnsi="Arial"/>
          <w:sz w:val="22"/>
        </w:rPr>
        <w:t>后续待微店账号开通后再确认最终的佣金结算细节。</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「优先是要把所有的功能做给达人和商务方便。」</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明确了产品功能设计的核心优先级，为后续所有方案选择提供了核心判断标准。</w:t>
      </w:r>
    </w:p>
    <w:p>
      <w:pPr>
        <w:spacing w:before="120" w:after="120" w:line="288" w:lineRule="auto"/>
        <w:ind w:left="0"/>
        <w:jc w:val="left"/>
      </w:pPr>
    </w:p>
    <w:p>
      <w:pPr>
        <w:spacing w:before="120" w:after="120" w:line="288" w:lineRule="auto"/>
        <w:ind w:left="0"/>
        <w:jc w:val="left"/>
      </w:pPr>
      <w:r>
        <w:rPr>
          <w:rFonts w:eastAsia="等线" w:ascii="Arial" w:cs="Arial" w:hAnsi="Arial"/>
          <w:sz w:val="22"/>
        </w:rPr>
        <w:t>「剩下的职能部门都是，就他们是创造利润的。」</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清晰点明了业务端角色与职能端角色的价值定位，辅助理解功能倾斜的逻辑。</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「那就没啥问题了，我们大概 31 号前交，最晚 31 号能把这个东西做出来，但我们尽量提前去做首轮的测试吧。」</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明确了项目的最终交付时间节点，是本次会议核心的落地排期结论。</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34423">
    <w:lvl>
      <w:numFmt w:val="bullet"/>
      <w:suff w:val="tab"/>
      <w:lvlText w:val="•"/>
      <w:rPr>
        <w:color w:val="3370ff"/>
      </w:rPr>
    </w:lvl>
  </w:abstractNum>
  <w:abstractNum w:abstractNumId="634424">
    <w:lvl>
      <w:numFmt w:val="bullet"/>
      <w:suff w:val="tab"/>
      <w:lvlText w:val="•"/>
      <w:rPr>
        <w:color w:val="3370ff"/>
      </w:rPr>
    </w:lvl>
  </w:abstractNum>
  <w:abstractNum w:abstractNumId="634425">
    <w:lvl>
      <w:numFmt w:val="bullet"/>
      <w:suff w:val="tab"/>
      <w:lvlText w:val="￮"/>
      <w:rPr>
        <w:color w:val="3370ff"/>
      </w:rPr>
    </w:lvl>
  </w:abstractNum>
  <w:abstractNum w:abstractNumId="634426">
    <w:lvl>
      <w:numFmt w:val="bullet"/>
      <w:suff w:val="tab"/>
      <w:lvlText w:val="￮"/>
      <w:rPr>
        <w:color w:val="3370ff"/>
      </w:rPr>
    </w:lvl>
  </w:abstractNum>
  <w:abstractNum w:abstractNumId="634427">
    <w:lvl>
      <w:numFmt w:val="bullet"/>
      <w:suff w:val="tab"/>
      <w:lvlText w:val="￮"/>
      <w:rPr>
        <w:color w:val="3370ff"/>
      </w:rPr>
    </w:lvl>
  </w:abstractNum>
  <w:abstractNum w:abstractNumId="634428">
    <w:lvl>
      <w:numFmt w:val="bullet"/>
      <w:suff w:val="tab"/>
      <w:lvlText w:val="￮"/>
      <w:rPr>
        <w:color w:val="3370ff"/>
      </w:rPr>
    </w:lvl>
  </w:abstractNum>
  <w:abstractNum w:abstractNumId="634429">
    <w:lvl>
      <w:numFmt w:val="bullet"/>
      <w:suff w:val="tab"/>
      <w:lvlText w:val="▪"/>
      <w:rPr>
        <w:color w:val="3370ff"/>
        <w:sz w:val="11"/>
      </w:rPr>
    </w:lvl>
  </w:abstractNum>
  <w:abstractNum w:abstractNumId="634430">
    <w:lvl>
      <w:numFmt w:val="bullet"/>
      <w:suff w:val="tab"/>
      <w:lvlText w:val="▪"/>
      <w:rPr>
        <w:color w:val="3370ff"/>
        <w:sz w:val="11"/>
      </w:rPr>
    </w:lvl>
  </w:abstractNum>
  <w:abstractNum w:abstractNumId="634431">
    <w:lvl>
      <w:numFmt w:val="bullet"/>
      <w:suff w:val="tab"/>
      <w:lvlText w:val="•"/>
      <w:rPr>
        <w:color w:val="3370ff"/>
      </w:rPr>
    </w:lvl>
  </w:abstractNum>
  <w:abstractNum w:abstractNumId="634432">
    <w:lvl>
      <w:numFmt w:val="bullet"/>
      <w:suff w:val="tab"/>
      <w:lvlText w:val="￮"/>
      <w:rPr>
        <w:color w:val="3370ff"/>
      </w:rPr>
    </w:lvl>
  </w:abstractNum>
  <w:abstractNum w:abstractNumId="634433">
    <w:lvl>
      <w:numFmt w:val="bullet"/>
      <w:suff w:val="tab"/>
      <w:lvlText w:val="▪"/>
      <w:rPr>
        <w:color w:val="3370ff"/>
        <w:sz w:val="11"/>
      </w:rPr>
    </w:lvl>
  </w:abstractNum>
  <w:abstractNum w:abstractNumId="634434">
    <w:lvl>
      <w:numFmt w:val="bullet"/>
      <w:suff w:val="tab"/>
      <w:lvlText w:val="▪"/>
      <w:rPr>
        <w:color w:val="3370ff"/>
        <w:sz w:val="11"/>
      </w:rPr>
    </w:lvl>
  </w:abstractNum>
  <w:abstractNum w:abstractNumId="634435">
    <w:lvl>
      <w:numFmt w:val="bullet"/>
      <w:suff w:val="tab"/>
      <w:lvlText w:val="▪"/>
      <w:rPr>
        <w:color w:val="3370ff"/>
        <w:sz w:val="11"/>
      </w:rPr>
    </w:lvl>
  </w:abstractNum>
  <w:abstractNum w:abstractNumId="634436">
    <w:lvl>
      <w:numFmt w:val="bullet"/>
      <w:suff w:val="tab"/>
      <w:lvlText w:val="￮"/>
      <w:rPr>
        <w:color w:val="3370ff"/>
      </w:rPr>
    </w:lvl>
  </w:abstractNum>
  <w:abstractNum w:abstractNumId="634437">
    <w:lvl>
      <w:numFmt w:val="bullet"/>
      <w:suff w:val="tab"/>
      <w:lvlText w:val="▪"/>
      <w:rPr>
        <w:color w:val="3370ff"/>
        <w:sz w:val="11"/>
      </w:rPr>
    </w:lvl>
  </w:abstractNum>
  <w:abstractNum w:abstractNumId="634438">
    <w:lvl>
      <w:numFmt w:val="bullet"/>
      <w:suff w:val="tab"/>
      <w:lvlText w:val="▪"/>
      <w:rPr>
        <w:color w:val="3370ff"/>
        <w:sz w:val="11"/>
      </w:rPr>
    </w:lvl>
  </w:abstractNum>
  <w:abstractNum w:abstractNumId="634439">
    <w:lvl>
      <w:numFmt w:val="bullet"/>
      <w:suff w:val="tab"/>
      <w:lvlText w:val="￮"/>
      <w:rPr>
        <w:color w:val="3370ff"/>
      </w:rPr>
    </w:lvl>
  </w:abstractNum>
  <w:abstractNum w:abstractNumId="634440">
    <w:lvl>
      <w:numFmt w:val="bullet"/>
      <w:suff w:val="tab"/>
      <w:lvlText w:val="▪"/>
      <w:rPr>
        <w:color w:val="3370ff"/>
        <w:sz w:val="11"/>
      </w:rPr>
    </w:lvl>
  </w:abstractNum>
  <w:abstractNum w:abstractNumId="634441">
    <w:lvl>
      <w:numFmt w:val="bullet"/>
      <w:suff w:val="tab"/>
      <w:lvlText w:val="▪"/>
      <w:rPr>
        <w:color w:val="3370ff"/>
        <w:sz w:val="11"/>
      </w:rPr>
    </w:lvl>
  </w:abstractNum>
  <w:abstractNum w:abstractNumId="634442">
    <w:lvl>
      <w:numFmt w:val="bullet"/>
      <w:suff w:val="tab"/>
      <w:lvlText w:val="•"/>
      <w:rPr>
        <w:color w:val="3370ff"/>
      </w:rPr>
    </w:lvl>
  </w:abstractNum>
  <w:abstractNum w:abstractNumId="634443">
    <w:lvl>
      <w:numFmt w:val="bullet"/>
      <w:suff w:val="tab"/>
      <w:lvlText w:val="￮"/>
      <w:rPr>
        <w:color w:val="3370ff"/>
      </w:rPr>
    </w:lvl>
  </w:abstractNum>
  <w:abstractNum w:abstractNumId="634444">
    <w:lvl>
      <w:numFmt w:val="bullet"/>
      <w:suff w:val="tab"/>
      <w:lvlText w:val="▪"/>
      <w:rPr>
        <w:color w:val="3370ff"/>
        <w:sz w:val="11"/>
      </w:rPr>
    </w:lvl>
  </w:abstractNum>
  <w:abstractNum w:abstractNumId="634445">
    <w:lvl>
      <w:numFmt w:val="bullet"/>
      <w:suff w:val="tab"/>
      <w:lvlText w:val="▪"/>
      <w:rPr>
        <w:color w:val="3370ff"/>
        <w:sz w:val="11"/>
      </w:rPr>
    </w:lvl>
  </w:abstractNum>
  <w:abstractNum w:abstractNumId="634446">
    <w:lvl>
      <w:numFmt w:val="bullet"/>
      <w:suff w:val="tab"/>
      <w:lvlText w:val="￮"/>
      <w:rPr>
        <w:color w:val="3370ff"/>
      </w:rPr>
    </w:lvl>
  </w:abstractNum>
  <w:abstractNum w:abstractNumId="634447">
    <w:lvl>
      <w:numFmt w:val="bullet"/>
      <w:suff w:val="tab"/>
      <w:lvlText w:val="▪"/>
      <w:rPr>
        <w:color w:val="3370ff"/>
        <w:sz w:val="11"/>
      </w:rPr>
    </w:lvl>
  </w:abstractNum>
  <w:abstractNum w:abstractNumId="634448">
    <w:lvl>
      <w:numFmt w:val="bullet"/>
      <w:suff w:val="tab"/>
      <w:lvlText w:val="▪"/>
      <w:rPr>
        <w:color w:val="3370ff"/>
        <w:sz w:val="11"/>
      </w:rPr>
    </w:lvl>
  </w:abstractNum>
  <w:abstractNum w:abstractNumId="634449">
    <w:lvl>
      <w:numFmt w:val="bullet"/>
      <w:suff w:val="tab"/>
      <w:lvlText w:val="￮"/>
      <w:rPr>
        <w:color w:val="3370ff"/>
      </w:rPr>
    </w:lvl>
  </w:abstractNum>
  <w:abstractNum w:abstractNumId="634450">
    <w:lvl>
      <w:numFmt w:val="bullet"/>
      <w:suff w:val="tab"/>
      <w:lvlText w:val="▪"/>
      <w:rPr>
        <w:color w:val="3370ff"/>
        <w:sz w:val="11"/>
      </w:rPr>
    </w:lvl>
  </w:abstractNum>
  <w:abstractNum w:abstractNumId="634451">
    <w:lvl>
      <w:numFmt w:val="bullet"/>
      <w:suff w:val="tab"/>
      <w:lvlText w:val="▪"/>
      <w:rPr>
        <w:color w:val="3370ff"/>
        <w:sz w:val="11"/>
      </w:rPr>
    </w:lvl>
  </w:abstractNum>
  <w:abstractNum w:abstractNumId="634452">
    <w:lvl>
      <w:numFmt w:val="bullet"/>
      <w:suff w:val="tab"/>
      <w:lvlText w:val="•"/>
      <w:rPr>
        <w:color w:val="3370ff"/>
      </w:rPr>
    </w:lvl>
  </w:abstractNum>
  <w:abstractNum w:abstractNumId="634453">
    <w:lvl>
      <w:numFmt w:val="bullet"/>
      <w:suff w:val="tab"/>
      <w:lvlText w:val="￮"/>
      <w:rPr>
        <w:color w:val="3370ff"/>
      </w:rPr>
    </w:lvl>
  </w:abstractNum>
  <w:abstractNum w:abstractNumId="634454">
    <w:lvl>
      <w:numFmt w:val="bullet"/>
      <w:suff w:val="tab"/>
      <w:lvlText w:val="￮"/>
      <w:rPr>
        <w:color w:val="3370ff"/>
      </w:rPr>
    </w:lvl>
  </w:abstractNum>
  <w:abstractNum w:abstractNumId="634455">
    <w:lvl>
      <w:numFmt w:val="bullet"/>
      <w:suff w:val="tab"/>
      <w:lvlText w:val="￮"/>
      <w:rPr>
        <w:color w:val="3370ff"/>
      </w:rPr>
    </w:lvl>
  </w:abstractNum>
  <w:abstractNum w:abstractNumId="634456">
    <w:lvl>
      <w:numFmt w:val="bullet"/>
      <w:suff w:val="tab"/>
      <w:lvlText w:val="•"/>
      <w:rPr>
        <w:color w:val="3370ff"/>
      </w:rPr>
    </w:lvl>
  </w:abstractNum>
  <w:abstractNum w:abstractNumId="634457">
    <w:lvl>
      <w:numFmt w:val="bullet"/>
      <w:suff w:val="tab"/>
      <w:lvlText w:val="￮"/>
      <w:rPr>
        <w:color w:val="3370ff"/>
      </w:rPr>
    </w:lvl>
  </w:abstractNum>
  <w:abstractNum w:abstractNumId="634458">
    <w:lvl>
      <w:numFmt w:val="bullet"/>
      <w:suff w:val="tab"/>
      <w:lvlText w:val="￮"/>
      <w:rPr>
        <w:color w:val="3370ff"/>
      </w:rPr>
    </w:lvl>
  </w:abstractNum>
  <w:abstractNum w:abstractNumId="634459">
    <w:lvl>
      <w:numFmt w:val="bullet"/>
      <w:suff w:val="tab"/>
      <w:lvlText w:val="▪"/>
      <w:rPr>
        <w:color w:val="3370ff"/>
        <w:sz w:val="11"/>
      </w:rPr>
    </w:lvl>
  </w:abstractNum>
  <w:abstractNum w:abstractNumId="634460">
    <w:lvl>
      <w:numFmt w:val="bullet"/>
      <w:suff w:val="tab"/>
      <w:lvlText w:val="▪"/>
      <w:rPr>
        <w:color w:val="3370ff"/>
        <w:sz w:val="11"/>
      </w:rPr>
    </w:lvl>
  </w:abstractNum>
  <w:abstractNum w:abstractNumId="634461">
    <w:lvl>
      <w:numFmt w:val="bullet"/>
      <w:suff w:val="tab"/>
      <w:lvlText w:val="▪"/>
      <w:rPr>
        <w:color w:val="3370ff"/>
        <w:sz w:val="11"/>
      </w:rPr>
    </w:lvl>
  </w:abstractNum>
  <w:abstractNum w:abstractNumId="634462">
    <w:lvl>
      <w:numFmt w:val="bullet"/>
      <w:suff w:val="tab"/>
      <w:lvlText w:val="￮"/>
      <w:rPr>
        <w:color w:val="3370ff"/>
      </w:rPr>
    </w:lvl>
  </w:abstractNum>
  <w:abstractNum w:abstractNumId="634463">
    <w:lvl>
      <w:numFmt w:val="bullet"/>
      <w:suff w:val="tab"/>
      <w:lvlText w:val="•"/>
      <w:rPr>
        <w:color w:val="3370ff"/>
      </w:rPr>
    </w:lvl>
  </w:abstractNum>
  <w:abstractNum w:abstractNumId="634464">
    <w:lvl>
      <w:start w:val="1"/>
      <w:numFmt w:val="lowerLetter"/>
      <w:suff w:val="tab"/>
      <w:lvlText w:val="%1."/>
      <w:rPr>
        <w:color w:val="3370ff"/>
      </w:rPr>
    </w:lvl>
  </w:abstractNum>
  <w:abstractNum w:abstractNumId="634465">
    <w:lvl>
      <w:start w:val="2"/>
      <w:numFmt w:val="lowerLetter"/>
      <w:suff w:val="tab"/>
      <w:lvlText w:val="%1."/>
      <w:rPr>
        <w:color w:val="3370ff"/>
      </w:rPr>
    </w:lvl>
  </w:abstractNum>
  <w:abstractNum w:abstractNumId="634466">
    <w:lvl>
      <w:start w:val="3"/>
      <w:numFmt w:val="lowerLetter"/>
      <w:suff w:val="tab"/>
      <w:lvlText w:val="%1."/>
      <w:rPr>
        <w:color w:val="3370ff"/>
      </w:rPr>
    </w:lvl>
  </w:abstractNum>
  <w:abstractNum w:abstractNumId="634467">
    <w:lvl>
      <w:start w:val="4"/>
      <w:numFmt w:val="lowerLetter"/>
      <w:suff w:val="tab"/>
      <w:lvlText w:val="%1."/>
      <w:rPr>
        <w:color w:val="3370ff"/>
      </w:rPr>
    </w:lvl>
  </w:abstractNum>
  <w:abstractNum w:abstractNumId="634468">
    <w:lvl>
      <w:start w:val="5"/>
      <w:numFmt w:val="lowerLetter"/>
      <w:suff w:val="tab"/>
      <w:lvlText w:val="%1."/>
      <w:rPr>
        <w:color w:val="3370ff"/>
      </w:rPr>
    </w:lvl>
  </w:abstractNum>
  <w:num w:numId="1">
    <w:abstractNumId w:val="634423"/>
  </w:num>
  <w:num w:numId="2">
    <w:abstractNumId w:val="634424"/>
  </w:num>
  <w:num w:numId="3">
    <w:abstractNumId w:val="634425"/>
  </w:num>
  <w:num w:numId="4">
    <w:abstractNumId w:val="634426"/>
  </w:num>
  <w:num w:numId="5">
    <w:abstractNumId w:val="634427"/>
  </w:num>
  <w:num w:numId="6">
    <w:abstractNumId w:val="634428"/>
  </w:num>
  <w:num w:numId="7">
    <w:abstractNumId w:val="634429"/>
  </w:num>
  <w:num w:numId="8">
    <w:abstractNumId w:val="634430"/>
  </w:num>
  <w:num w:numId="9">
    <w:abstractNumId w:val="634431"/>
  </w:num>
  <w:num w:numId="10">
    <w:abstractNumId w:val="634432"/>
  </w:num>
  <w:num w:numId="11">
    <w:abstractNumId w:val="634433"/>
  </w:num>
  <w:num w:numId="12">
    <w:abstractNumId w:val="634434"/>
  </w:num>
  <w:num w:numId="13">
    <w:abstractNumId w:val="634435"/>
  </w:num>
  <w:num w:numId="14">
    <w:abstractNumId w:val="634436"/>
  </w:num>
  <w:num w:numId="15">
    <w:abstractNumId w:val="634437"/>
  </w:num>
  <w:num w:numId="16">
    <w:abstractNumId w:val="634438"/>
  </w:num>
  <w:num w:numId="17">
    <w:abstractNumId w:val="634439"/>
  </w:num>
  <w:num w:numId="18">
    <w:abstractNumId w:val="634440"/>
  </w:num>
  <w:num w:numId="19">
    <w:abstractNumId w:val="634441"/>
  </w:num>
  <w:num w:numId="20">
    <w:abstractNumId w:val="634442"/>
  </w:num>
  <w:num w:numId="21">
    <w:abstractNumId w:val="634443"/>
  </w:num>
  <w:num w:numId="22">
    <w:abstractNumId w:val="634444"/>
  </w:num>
  <w:num w:numId="23">
    <w:abstractNumId w:val="634445"/>
  </w:num>
  <w:num w:numId="24">
    <w:abstractNumId w:val="634446"/>
  </w:num>
  <w:num w:numId="25">
    <w:abstractNumId w:val="634447"/>
  </w:num>
  <w:num w:numId="26">
    <w:abstractNumId w:val="634448"/>
  </w:num>
  <w:num w:numId="27">
    <w:abstractNumId w:val="634449"/>
  </w:num>
  <w:num w:numId="28">
    <w:abstractNumId w:val="634450"/>
  </w:num>
  <w:num w:numId="29">
    <w:abstractNumId w:val="634451"/>
  </w:num>
  <w:num w:numId="30">
    <w:abstractNumId w:val="634452"/>
  </w:num>
  <w:num w:numId="31">
    <w:abstractNumId w:val="634453"/>
  </w:num>
  <w:num w:numId="32">
    <w:abstractNumId w:val="634454"/>
  </w:num>
  <w:num w:numId="33">
    <w:abstractNumId w:val="634455"/>
  </w:num>
  <w:num w:numId="34">
    <w:abstractNumId w:val="634456"/>
  </w:num>
  <w:num w:numId="35">
    <w:abstractNumId w:val="634457"/>
  </w:num>
  <w:num w:numId="36">
    <w:abstractNumId w:val="634458"/>
  </w:num>
  <w:num w:numId="37">
    <w:abstractNumId w:val="634459"/>
  </w:num>
  <w:num w:numId="38">
    <w:abstractNumId w:val="634460"/>
  </w:num>
  <w:num w:numId="39">
    <w:abstractNumId w:val="634461"/>
  </w:num>
  <w:num w:numId="40">
    <w:abstractNumId w:val="634462"/>
  </w:num>
  <w:num w:numId="41">
    <w:abstractNumId w:val="634463"/>
  </w:num>
  <w:num w:numId="42">
    <w:abstractNumId w:val="634464"/>
  </w:num>
  <w:num w:numId="43">
    <w:abstractNumId w:val="634465"/>
  </w:num>
  <w:num w:numId="44">
    <w:abstractNumId w:val="634466"/>
  </w:num>
  <w:num w:numId="45">
    <w:abstractNumId w:val="634467"/>
  </w:num>
  <w:num w:numId="46">
    <w:abstractNumId w:val="6344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2026-10-17T10:59:43Z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{"Label":"1","ContentProducer":"001191110102MACQD9K64010000","ProduceID":"7697589721304615931","ReservedCode1":"","ContentPropagator":"","PropagateID":"","ReservedCode2":""}</vt:lpwstr>
  </property>
</Properties>
</file>