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26312" w14:textId="02986D28" w:rsidR="00066DE1" w:rsidRPr="00300113" w:rsidRDefault="00066DE1" w:rsidP="00300113">
      <w:pPr>
        <w:rPr>
          <w:rFonts w:cstheme="minorHAnsi"/>
          <w:b/>
          <w:sz w:val="24"/>
          <w:szCs w:val="24"/>
        </w:rPr>
      </w:pPr>
      <w:r w:rsidRPr="00300113">
        <w:rPr>
          <w:rFonts w:cstheme="minorHAnsi"/>
          <w:b/>
          <w:sz w:val="24"/>
          <w:szCs w:val="24"/>
        </w:rPr>
        <w:t>Portfolio Management with Principal Component Analysis</w:t>
      </w:r>
    </w:p>
    <w:p w14:paraId="6BE2C760" w14:textId="01DD8205" w:rsidR="00066DE1" w:rsidRPr="00066DE1" w:rsidRDefault="00066DE1" w:rsidP="00066DE1">
      <w:pPr>
        <w:jc w:val="both"/>
        <w:rPr>
          <w:rFonts w:cstheme="minorHAnsi"/>
          <w:sz w:val="24"/>
          <w:szCs w:val="24"/>
        </w:rPr>
      </w:pPr>
      <w:r w:rsidRPr="00066DE1">
        <w:rPr>
          <w:rFonts w:cstheme="minorHAnsi"/>
          <w:sz w:val="24"/>
          <w:szCs w:val="24"/>
        </w:rPr>
        <w:t>Th</w:t>
      </w:r>
      <w:r w:rsidR="00300113">
        <w:rPr>
          <w:rFonts w:cstheme="minorHAnsi"/>
          <w:sz w:val="24"/>
          <w:szCs w:val="24"/>
        </w:rPr>
        <w:t xml:space="preserve">is file explains the calculation done </w:t>
      </w:r>
      <w:r w:rsidRPr="00066DE1">
        <w:rPr>
          <w:rFonts w:cstheme="minorHAnsi"/>
          <w:sz w:val="24"/>
          <w:szCs w:val="24"/>
        </w:rPr>
        <w:t>with Excel</w:t>
      </w:r>
      <w:r w:rsidR="002736BE">
        <w:rPr>
          <w:rFonts w:cstheme="minorHAnsi"/>
          <w:sz w:val="24"/>
          <w:szCs w:val="24"/>
        </w:rPr>
        <w:t xml:space="preserve"> </w:t>
      </w:r>
      <w:r w:rsidR="00300113">
        <w:rPr>
          <w:rFonts w:cstheme="minorHAnsi"/>
          <w:sz w:val="24"/>
          <w:szCs w:val="24"/>
        </w:rPr>
        <w:t xml:space="preserve">in </w:t>
      </w:r>
      <w:r w:rsidR="002736BE">
        <w:rPr>
          <w:rFonts w:cstheme="minorHAnsi"/>
          <w:sz w:val="24"/>
          <w:szCs w:val="24"/>
        </w:rPr>
        <w:t xml:space="preserve">the file </w:t>
      </w:r>
      <w:r w:rsidR="00300113">
        <w:rPr>
          <w:rFonts w:cstheme="minorHAnsi"/>
          <w:sz w:val="24"/>
          <w:szCs w:val="24"/>
        </w:rPr>
        <w:t>P</w:t>
      </w:r>
      <w:r w:rsidR="002736BE">
        <w:rPr>
          <w:rFonts w:cstheme="minorHAnsi"/>
          <w:sz w:val="24"/>
          <w:szCs w:val="24"/>
        </w:rPr>
        <w:t>CA</w:t>
      </w:r>
      <w:r w:rsidR="00300113">
        <w:rPr>
          <w:rFonts w:cstheme="minorHAnsi"/>
          <w:sz w:val="24"/>
          <w:szCs w:val="24"/>
        </w:rPr>
        <w:t>_HSI</w:t>
      </w:r>
      <w:r w:rsidR="002736BE">
        <w:rPr>
          <w:rFonts w:cstheme="minorHAnsi"/>
          <w:sz w:val="24"/>
          <w:szCs w:val="24"/>
        </w:rPr>
        <w:t>.xlsm.</w:t>
      </w:r>
    </w:p>
    <w:p w14:paraId="7607A72E" w14:textId="50A8CA4F" w:rsidR="00066DE1" w:rsidRPr="00066DE1" w:rsidRDefault="00066DE1" w:rsidP="00066DE1">
      <w:pPr>
        <w:jc w:val="both"/>
        <w:rPr>
          <w:rFonts w:cstheme="minorHAnsi"/>
          <w:sz w:val="24"/>
          <w:szCs w:val="24"/>
        </w:rPr>
      </w:pPr>
      <w:r w:rsidRPr="00066DE1">
        <w:rPr>
          <w:rFonts w:cstheme="minorHAnsi"/>
          <w:sz w:val="24"/>
          <w:szCs w:val="24"/>
        </w:rPr>
        <w:t xml:space="preserve">(1) Download from Yahoo!Finance the daily closing price of the following </w:t>
      </w:r>
      <w:r w:rsidR="00AE50D9">
        <w:rPr>
          <w:rFonts w:cstheme="minorHAnsi"/>
          <w:sz w:val="24"/>
          <w:szCs w:val="24"/>
        </w:rPr>
        <w:t>co</w:t>
      </w:r>
      <w:r w:rsidR="006453A2">
        <w:rPr>
          <w:rFonts w:cstheme="minorHAnsi"/>
          <w:sz w:val="24"/>
          <w:szCs w:val="24"/>
        </w:rPr>
        <w:t xml:space="preserve">nstituents </w:t>
      </w:r>
      <w:r w:rsidR="00AE50D9">
        <w:rPr>
          <w:rFonts w:cstheme="minorHAnsi"/>
          <w:sz w:val="24"/>
          <w:szCs w:val="24"/>
        </w:rPr>
        <w:t xml:space="preserve">of </w:t>
      </w:r>
      <w:r w:rsidR="00CA188F">
        <w:rPr>
          <w:rFonts w:cstheme="minorHAnsi"/>
          <w:sz w:val="24"/>
          <w:szCs w:val="24"/>
        </w:rPr>
        <w:t>HSI</w:t>
      </w:r>
      <w:r w:rsidRPr="00066DE1">
        <w:rPr>
          <w:rFonts w:cstheme="minorHAnsi"/>
          <w:sz w:val="24"/>
          <w:szCs w:val="24"/>
        </w:rPr>
        <w:t>:</w:t>
      </w:r>
    </w:p>
    <w:p w14:paraId="52487D91" w14:textId="15361D13" w:rsidR="00AE50D9" w:rsidRDefault="008610FE" w:rsidP="00066DE1">
      <w:pPr>
        <w:jc w:val="both"/>
        <w:rPr>
          <w:rFonts w:cstheme="minorHAnsi"/>
          <w:sz w:val="24"/>
          <w:szCs w:val="24"/>
        </w:rPr>
      </w:pPr>
      <w:r>
        <w:rPr>
          <w:rFonts w:cstheme="minorHAnsi"/>
          <w:sz w:val="24"/>
          <w:szCs w:val="24"/>
        </w:rPr>
        <w:t>0001.</w:t>
      </w:r>
      <w:r w:rsidR="00CA188F">
        <w:rPr>
          <w:rFonts w:cstheme="minorHAnsi"/>
          <w:sz w:val="24"/>
          <w:szCs w:val="24"/>
        </w:rPr>
        <w:t xml:space="preserve">HK, </w:t>
      </w:r>
      <w:r>
        <w:rPr>
          <w:rFonts w:cstheme="minorHAnsi"/>
          <w:sz w:val="24"/>
          <w:szCs w:val="24"/>
        </w:rPr>
        <w:t>0002.</w:t>
      </w:r>
      <w:r w:rsidR="00CA188F">
        <w:rPr>
          <w:rFonts w:cstheme="minorHAnsi"/>
          <w:sz w:val="24"/>
          <w:szCs w:val="24"/>
        </w:rPr>
        <w:t xml:space="preserve">HK, </w:t>
      </w:r>
      <w:r>
        <w:rPr>
          <w:rFonts w:cstheme="minorHAnsi"/>
          <w:sz w:val="24"/>
          <w:szCs w:val="24"/>
        </w:rPr>
        <w:t>0003.</w:t>
      </w:r>
      <w:r w:rsidR="00CA188F">
        <w:rPr>
          <w:rFonts w:cstheme="minorHAnsi"/>
          <w:sz w:val="24"/>
          <w:szCs w:val="24"/>
        </w:rPr>
        <w:t xml:space="preserve">HK, </w:t>
      </w:r>
      <w:r>
        <w:rPr>
          <w:rFonts w:cstheme="minorHAnsi"/>
          <w:sz w:val="24"/>
          <w:szCs w:val="24"/>
        </w:rPr>
        <w:t>0005.</w:t>
      </w:r>
      <w:r w:rsidR="00CA188F">
        <w:rPr>
          <w:rFonts w:cstheme="minorHAnsi"/>
          <w:sz w:val="24"/>
          <w:szCs w:val="24"/>
        </w:rPr>
        <w:t xml:space="preserve">HK, </w:t>
      </w:r>
      <w:r>
        <w:rPr>
          <w:rFonts w:cstheme="minorHAnsi"/>
          <w:sz w:val="24"/>
          <w:szCs w:val="24"/>
        </w:rPr>
        <w:t>0006.</w:t>
      </w:r>
      <w:r w:rsidR="00CA188F">
        <w:rPr>
          <w:rFonts w:cstheme="minorHAnsi"/>
          <w:sz w:val="24"/>
          <w:szCs w:val="24"/>
        </w:rPr>
        <w:t xml:space="preserve">HK, </w:t>
      </w:r>
      <w:r>
        <w:rPr>
          <w:rFonts w:cstheme="minorHAnsi"/>
          <w:sz w:val="24"/>
          <w:szCs w:val="24"/>
        </w:rPr>
        <w:t>0011.</w:t>
      </w:r>
      <w:r w:rsidR="00CA188F">
        <w:rPr>
          <w:rFonts w:cstheme="minorHAnsi"/>
          <w:sz w:val="24"/>
          <w:szCs w:val="24"/>
        </w:rPr>
        <w:t xml:space="preserve">HK, </w:t>
      </w:r>
      <w:r>
        <w:rPr>
          <w:rFonts w:cstheme="minorHAnsi"/>
          <w:sz w:val="24"/>
          <w:szCs w:val="24"/>
        </w:rPr>
        <w:t>0012.</w:t>
      </w:r>
      <w:r w:rsidR="00CA188F">
        <w:rPr>
          <w:rFonts w:cstheme="minorHAnsi"/>
          <w:sz w:val="24"/>
          <w:szCs w:val="24"/>
        </w:rPr>
        <w:t xml:space="preserve">HK, </w:t>
      </w:r>
      <w:r>
        <w:rPr>
          <w:rFonts w:cstheme="minorHAnsi"/>
          <w:sz w:val="24"/>
          <w:szCs w:val="24"/>
        </w:rPr>
        <w:t>0016.</w:t>
      </w:r>
      <w:r w:rsidR="00CA188F">
        <w:rPr>
          <w:rFonts w:cstheme="minorHAnsi"/>
          <w:sz w:val="24"/>
          <w:szCs w:val="24"/>
        </w:rPr>
        <w:t xml:space="preserve">HK, </w:t>
      </w:r>
      <w:r>
        <w:rPr>
          <w:rFonts w:cstheme="minorHAnsi"/>
          <w:sz w:val="24"/>
          <w:szCs w:val="24"/>
        </w:rPr>
        <w:t>0017.</w:t>
      </w:r>
      <w:r w:rsidR="00CA188F">
        <w:rPr>
          <w:rFonts w:cstheme="minorHAnsi"/>
          <w:sz w:val="24"/>
          <w:szCs w:val="24"/>
        </w:rPr>
        <w:t xml:space="preserve">HK, </w:t>
      </w:r>
      <w:r>
        <w:rPr>
          <w:rFonts w:cstheme="minorHAnsi"/>
          <w:sz w:val="24"/>
          <w:szCs w:val="24"/>
        </w:rPr>
        <w:t>0019.</w:t>
      </w:r>
      <w:r w:rsidR="00CA188F">
        <w:rPr>
          <w:rFonts w:cstheme="minorHAnsi"/>
          <w:sz w:val="24"/>
          <w:szCs w:val="24"/>
        </w:rPr>
        <w:t>HK</w:t>
      </w:r>
    </w:p>
    <w:p w14:paraId="59E3F9FB" w14:textId="10A6FE62" w:rsidR="006453A2" w:rsidRDefault="006453A2" w:rsidP="00066DE1">
      <w:pPr>
        <w:jc w:val="both"/>
        <w:rPr>
          <w:rFonts w:cstheme="minorHAnsi"/>
          <w:sz w:val="24"/>
          <w:szCs w:val="24"/>
        </w:rPr>
      </w:pPr>
      <w:r>
        <w:rPr>
          <w:rFonts w:cstheme="minorHAnsi"/>
          <w:sz w:val="24"/>
          <w:szCs w:val="24"/>
        </w:rPr>
        <w:t xml:space="preserve">Also download the daily closing price of </w:t>
      </w:r>
      <w:r w:rsidR="00CA188F">
        <w:rPr>
          <w:rFonts w:cstheme="minorHAnsi"/>
          <w:sz w:val="24"/>
          <w:szCs w:val="24"/>
        </w:rPr>
        <w:t>H</w:t>
      </w:r>
      <w:r w:rsidR="0079105D">
        <w:rPr>
          <w:rFonts w:cstheme="minorHAnsi"/>
          <w:sz w:val="24"/>
          <w:szCs w:val="24"/>
        </w:rPr>
        <w:t>S</w:t>
      </w:r>
      <w:r w:rsidR="00CA188F">
        <w:rPr>
          <w:rFonts w:cstheme="minorHAnsi"/>
          <w:sz w:val="24"/>
          <w:szCs w:val="24"/>
        </w:rPr>
        <w:t>I</w:t>
      </w:r>
      <w:r>
        <w:rPr>
          <w:rFonts w:cstheme="minorHAnsi"/>
          <w:sz w:val="24"/>
          <w:szCs w:val="24"/>
        </w:rPr>
        <w:t xml:space="preserve"> (^</w:t>
      </w:r>
      <w:r w:rsidR="00CA188F">
        <w:rPr>
          <w:rFonts w:cstheme="minorHAnsi"/>
          <w:sz w:val="24"/>
          <w:szCs w:val="24"/>
        </w:rPr>
        <w:t>HSI</w:t>
      </w:r>
      <w:r>
        <w:rPr>
          <w:rFonts w:cstheme="minorHAnsi"/>
          <w:sz w:val="24"/>
          <w:szCs w:val="24"/>
        </w:rPr>
        <w:t>).</w:t>
      </w:r>
    </w:p>
    <w:p w14:paraId="5101D095" w14:textId="07597068" w:rsidR="00066DE1" w:rsidRPr="00066DE1" w:rsidRDefault="00066DE1" w:rsidP="00066DE1">
      <w:pPr>
        <w:jc w:val="both"/>
        <w:rPr>
          <w:rFonts w:cstheme="minorHAnsi"/>
          <w:sz w:val="24"/>
          <w:szCs w:val="24"/>
        </w:rPr>
      </w:pPr>
      <w:r w:rsidRPr="00066DE1">
        <w:rPr>
          <w:rFonts w:cstheme="minorHAnsi"/>
          <w:sz w:val="24"/>
          <w:szCs w:val="24"/>
        </w:rPr>
        <w:t xml:space="preserve">The period is from </w:t>
      </w:r>
      <w:r w:rsidR="00CA188F">
        <w:rPr>
          <w:rFonts w:cstheme="minorHAnsi"/>
          <w:sz w:val="24"/>
          <w:szCs w:val="24"/>
        </w:rPr>
        <w:t>3</w:t>
      </w:r>
      <w:r w:rsidR="00996CD3">
        <w:rPr>
          <w:rFonts w:cstheme="minorHAnsi"/>
          <w:sz w:val="24"/>
          <w:szCs w:val="24"/>
        </w:rPr>
        <w:t xml:space="preserve">0 November </w:t>
      </w:r>
      <w:r w:rsidRPr="00066DE1">
        <w:rPr>
          <w:rFonts w:cstheme="minorHAnsi"/>
          <w:sz w:val="24"/>
          <w:szCs w:val="24"/>
        </w:rPr>
        <w:t>20</w:t>
      </w:r>
      <w:r w:rsidR="00CA188F">
        <w:rPr>
          <w:rFonts w:cstheme="minorHAnsi"/>
          <w:sz w:val="24"/>
          <w:szCs w:val="24"/>
        </w:rPr>
        <w:t>18</w:t>
      </w:r>
      <w:r w:rsidRPr="00066DE1">
        <w:rPr>
          <w:rFonts w:cstheme="minorHAnsi"/>
          <w:sz w:val="24"/>
          <w:szCs w:val="24"/>
        </w:rPr>
        <w:t xml:space="preserve"> to </w:t>
      </w:r>
      <w:r w:rsidR="00CA188F">
        <w:rPr>
          <w:rFonts w:cstheme="minorHAnsi"/>
          <w:sz w:val="24"/>
          <w:szCs w:val="24"/>
        </w:rPr>
        <w:t>2</w:t>
      </w:r>
      <w:r w:rsidR="00996CD3">
        <w:rPr>
          <w:rFonts w:cstheme="minorHAnsi"/>
          <w:sz w:val="24"/>
          <w:szCs w:val="24"/>
        </w:rPr>
        <w:t>9</w:t>
      </w:r>
      <w:r w:rsidRPr="00066DE1">
        <w:rPr>
          <w:rFonts w:cstheme="minorHAnsi"/>
          <w:sz w:val="24"/>
          <w:szCs w:val="24"/>
        </w:rPr>
        <w:t xml:space="preserve"> November 20</w:t>
      </w:r>
      <w:r w:rsidR="00AE50D9">
        <w:rPr>
          <w:rFonts w:cstheme="minorHAnsi"/>
          <w:sz w:val="24"/>
          <w:szCs w:val="24"/>
        </w:rPr>
        <w:t>1</w:t>
      </w:r>
      <w:r w:rsidR="00CA188F">
        <w:rPr>
          <w:rFonts w:cstheme="minorHAnsi"/>
          <w:sz w:val="24"/>
          <w:szCs w:val="24"/>
        </w:rPr>
        <w:t>9</w:t>
      </w:r>
      <w:r w:rsidRPr="00066DE1">
        <w:rPr>
          <w:rFonts w:cstheme="minorHAnsi"/>
          <w:sz w:val="24"/>
          <w:szCs w:val="24"/>
        </w:rPr>
        <w:t xml:space="preserve">. </w:t>
      </w:r>
      <w:r w:rsidR="00FC3B32">
        <w:rPr>
          <w:rFonts w:cstheme="minorHAnsi"/>
          <w:sz w:val="24"/>
          <w:szCs w:val="24"/>
        </w:rPr>
        <w:t xml:space="preserve">(In Yahoo!Finance you need to type the end date as </w:t>
      </w:r>
      <w:r w:rsidR="00CA188F">
        <w:rPr>
          <w:rFonts w:cstheme="minorHAnsi"/>
          <w:sz w:val="24"/>
          <w:szCs w:val="24"/>
        </w:rPr>
        <w:t>3</w:t>
      </w:r>
      <w:r w:rsidR="00FC3B32">
        <w:rPr>
          <w:rFonts w:cstheme="minorHAnsi"/>
          <w:sz w:val="24"/>
          <w:szCs w:val="24"/>
        </w:rPr>
        <w:t>0/</w:t>
      </w:r>
      <w:r w:rsidR="00CA188F">
        <w:rPr>
          <w:rFonts w:cstheme="minorHAnsi"/>
          <w:sz w:val="24"/>
          <w:szCs w:val="24"/>
        </w:rPr>
        <w:t>11</w:t>
      </w:r>
      <w:r w:rsidR="00FC3B32">
        <w:rPr>
          <w:rFonts w:cstheme="minorHAnsi"/>
          <w:sz w:val="24"/>
          <w:szCs w:val="24"/>
        </w:rPr>
        <w:t>/201</w:t>
      </w:r>
      <w:r w:rsidR="00CA188F">
        <w:rPr>
          <w:rFonts w:cstheme="minorHAnsi"/>
          <w:sz w:val="24"/>
          <w:szCs w:val="24"/>
        </w:rPr>
        <w:t>9</w:t>
      </w:r>
      <w:r w:rsidR="00FC3B32">
        <w:rPr>
          <w:rFonts w:cstheme="minorHAnsi"/>
          <w:sz w:val="24"/>
          <w:szCs w:val="24"/>
        </w:rPr>
        <w:t xml:space="preserve">.) </w:t>
      </w:r>
      <w:r w:rsidRPr="00066DE1">
        <w:rPr>
          <w:rFonts w:cstheme="minorHAnsi"/>
          <w:sz w:val="24"/>
          <w:szCs w:val="24"/>
        </w:rPr>
        <w:t xml:space="preserve">Copy the prices to columns A to </w:t>
      </w:r>
      <w:r w:rsidR="006453A2">
        <w:rPr>
          <w:rFonts w:cstheme="minorHAnsi"/>
          <w:sz w:val="24"/>
          <w:szCs w:val="24"/>
        </w:rPr>
        <w:t>L</w:t>
      </w:r>
      <w:r w:rsidRPr="00066DE1">
        <w:rPr>
          <w:rFonts w:cstheme="minorHAnsi"/>
          <w:sz w:val="24"/>
          <w:szCs w:val="24"/>
        </w:rPr>
        <w:t xml:space="preserve">. In columns </w:t>
      </w:r>
      <w:r w:rsidR="006453A2">
        <w:rPr>
          <w:rFonts w:cstheme="minorHAnsi"/>
          <w:sz w:val="24"/>
          <w:szCs w:val="24"/>
        </w:rPr>
        <w:t>N</w:t>
      </w:r>
      <w:r w:rsidRPr="00066DE1">
        <w:rPr>
          <w:rFonts w:cstheme="minorHAnsi"/>
          <w:sz w:val="24"/>
          <w:szCs w:val="24"/>
        </w:rPr>
        <w:t xml:space="preserve"> to </w:t>
      </w:r>
      <w:r w:rsidR="006453A2">
        <w:rPr>
          <w:rFonts w:cstheme="minorHAnsi"/>
          <w:sz w:val="24"/>
          <w:szCs w:val="24"/>
        </w:rPr>
        <w:t>X</w:t>
      </w:r>
      <w:r w:rsidRPr="00066DE1">
        <w:rPr>
          <w:rFonts w:cstheme="minorHAnsi"/>
          <w:sz w:val="24"/>
          <w:szCs w:val="24"/>
        </w:rPr>
        <w:t xml:space="preserve">, calculate the return </w:t>
      </w:r>
      <m:oMath>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i</m:t>
            </m:r>
          </m:sub>
        </m:sSub>
        <m:d>
          <m:dPr>
            <m:ctrlPr>
              <w:rPr>
                <w:rFonts w:ascii="Cambria Math" w:hAnsi="Cambria Math" w:cstheme="minorHAnsi"/>
                <w:i/>
                <w:sz w:val="24"/>
                <w:szCs w:val="24"/>
              </w:rPr>
            </m:ctrlPr>
          </m:dPr>
          <m:e>
            <m:r>
              <w:rPr>
                <w:rFonts w:ascii="Cambria Math" w:hAnsi="Cambria Math" w:cstheme="minorHAnsi"/>
                <w:sz w:val="24"/>
                <w:szCs w:val="24"/>
              </w:rPr>
              <m:t>t</m:t>
            </m:r>
          </m:e>
        </m:d>
      </m:oMath>
      <w:r w:rsidRPr="00066DE1">
        <w:rPr>
          <w:rFonts w:cstheme="minorHAnsi"/>
          <w:sz w:val="24"/>
          <w:szCs w:val="24"/>
        </w:rPr>
        <w:t xml:space="preserve"> of the stock </w:t>
      </w:r>
      <m:oMath>
        <m:r>
          <w:rPr>
            <w:rFonts w:ascii="Cambria Math" w:hAnsi="Cambria Math" w:cstheme="minorHAnsi"/>
            <w:sz w:val="24"/>
            <w:szCs w:val="24"/>
          </w:rPr>
          <m:t>i</m:t>
        </m:r>
      </m:oMath>
      <w:r w:rsidRPr="00066DE1">
        <w:rPr>
          <w:rFonts w:cstheme="minorHAnsi"/>
          <w:sz w:val="24"/>
          <w:szCs w:val="24"/>
        </w:rPr>
        <w:t xml:space="preserve"> on day </w:t>
      </w:r>
      <m:oMath>
        <m:r>
          <w:rPr>
            <w:rFonts w:ascii="Cambria Math" w:hAnsi="Cambria Math" w:cstheme="minorHAnsi"/>
            <w:sz w:val="24"/>
            <w:szCs w:val="24"/>
          </w:rPr>
          <m:t>t</m:t>
        </m:r>
      </m:oMath>
      <w:r w:rsidRPr="00066DE1">
        <w:rPr>
          <w:rFonts w:cstheme="minorHAnsi"/>
          <w:sz w:val="24"/>
          <w:szCs w:val="24"/>
        </w:rPr>
        <w:t xml:space="preserve"> from </w:t>
      </w:r>
      <w:r w:rsidR="00CA188F">
        <w:rPr>
          <w:rFonts w:cstheme="minorHAnsi"/>
          <w:sz w:val="24"/>
          <w:szCs w:val="24"/>
        </w:rPr>
        <w:t>3</w:t>
      </w:r>
      <w:r w:rsidR="00996CD3">
        <w:rPr>
          <w:rFonts w:cstheme="minorHAnsi"/>
          <w:sz w:val="24"/>
          <w:szCs w:val="24"/>
        </w:rPr>
        <w:t>0</w:t>
      </w:r>
      <w:r w:rsidRPr="00066DE1">
        <w:rPr>
          <w:rFonts w:cstheme="minorHAnsi"/>
          <w:sz w:val="24"/>
          <w:szCs w:val="24"/>
        </w:rPr>
        <w:t xml:space="preserve"> </w:t>
      </w:r>
      <w:r w:rsidR="00996CD3">
        <w:rPr>
          <w:rFonts w:cstheme="minorHAnsi"/>
          <w:sz w:val="24"/>
          <w:szCs w:val="24"/>
        </w:rPr>
        <w:t>Nov</w:t>
      </w:r>
      <w:r w:rsidRPr="00066DE1">
        <w:rPr>
          <w:rFonts w:cstheme="minorHAnsi"/>
          <w:sz w:val="24"/>
          <w:szCs w:val="24"/>
        </w:rPr>
        <w:t>ember 20</w:t>
      </w:r>
      <w:r w:rsidR="00CA188F">
        <w:rPr>
          <w:rFonts w:cstheme="minorHAnsi"/>
          <w:sz w:val="24"/>
          <w:szCs w:val="24"/>
        </w:rPr>
        <w:t>18</w:t>
      </w:r>
      <w:r w:rsidRPr="00066DE1">
        <w:rPr>
          <w:rFonts w:cstheme="minorHAnsi"/>
          <w:sz w:val="24"/>
          <w:szCs w:val="24"/>
        </w:rPr>
        <w:t xml:space="preserve"> to </w:t>
      </w:r>
      <w:r w:rsidR="00CA188F">
        <w:rPr>
          <w:rFonts w:cstheme="minorHAnsi"/>
          <w:sz w:val="24"/>
          <w:szCs w:val="24"/>
        </w:rPr>
        <w:t>29</w:t>
      </w:r>
      <w:r w:rsidRPr="00066DE1">
        <w:rPr>
          <w:rFonts w:cstheme="minorHAnsi"/>
          <w:sz w:val="24"/>
          <w:szCs w:val="24"/>
        </w:rPr>
        <w:t xml:space="preserve"> November 20</w:t>
      </w:r>
      <w:r w:rsidR="00CA188F">
        <w:rPr>
          <w:rFonts w:cstheme="minorHAnsi"/>
          <w:sz w:val="24"/>
          <w:szCs w:val="24"/>
        </w:rPr>
        <w:t>19</w:t>
      </w:r>
      <w:r w:rsidRPr="00066DE1">
        <w:rPr>
          <w:rFonts w:cstheme="minorHAnsi"/>
          <w:sz w:val="24"/>
          <w:szCs w:val="24"/>
        </w:rPr>
        <w:t xml:space="preserve"> using the formula</w:t>
      </w:r>
    </w:p>
    <w:p w14:paraId="4DABB919" w14:textId="77777777" w:rsidR="00066DE1" w:rsidRPr="00066DE1" w:rsidRDefault="00000000" w:rsidP="00066DE1">
      <w:pPr>
        <w:jc w:val="both"/>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i</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hAnsi="Cambria Math" w:cstheme="minorHAnsi"/>
                  <w:sz w:val="24"/>
                  <w:szCs w:val="24"/>
                </w:rPr>
                <m:t>(t+1)</m:t>
              </m:r>
            </m:e>
          </m:func>
          <m:r>
            <w:rPr>
              <w:rFonts w:ascii="Cambria Math" w:hAnsi="Cambria Math" w:cstheme="minorHAnsi"/>
              <w:sz w:val="24"/>
              <w:szCs w:val="24"/>
            </w:rPr>
            <m:t>-</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hAnsi="Cambria Math" w:cstheme="minorHAnsi"/>
                  <w:sz w:val="24"/>
                  <w:szCs w:val="24"/>
                </w:rPr>
                <m:t>(t)</m:t>
              </m:r>
            </m:e>
          </m:func>
          <m:r>
            <w:rPr>
              <w:rFonts w:ascii="Cambria Math" w:hAnsi="Cambria Math" w:cstheme="minorHAnsi"/>
              <w:sz w:val="24"/>
              <w:szCs w:val="24"/>
            </w:rPr>
            <m:t>,</m:t>
          </m:r>
        </m:oMath>
      </m:oMathPara>
    </w:p>
    <w:p w14:paraId="4FE8CD2C" w14:textId="77777777" w:rsidR="00066DE1" w:rsidRPr="00066DE1" w:rsidRDefault="00066DE1" w:rsidP="00066DE1">
      <w:pPr>
        <w:jc w:val="both"/>
        <w:rPr>
          <w:rFonts w:cstheme="minorHAnsi"/>
          <w:sz w:val="24"/>
          <w:szCs w:val="24"/>
        </w:rPr>
      </w:pPr>
      <w:r w:rsidRPr="00066DE1">
        <w:rPr>
          <w:rFonts w:cstheme="minorHAnsi"/>
          <w:sz w:val="24"/>
          <w:szCs w:val="24"/>
        </w:rPr>
        <w:t xml:space="preserve">where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d>
          <m:dPr>
            <m:ctrlPr>
              <w:rPr>
                <w:rFonts w:ascii="Cambria Math" w:hAnsi="Cambria Math" w:cstheme="minorHAnsi"/>
                <w:i/>
                <w:sz w:val="24"/>
                <w:szCs w:val="24"/>
              </w:rPr>
            </m:ctrlPr>
          </m:dPr>
          <m:e>
            <m:r>
              <w:rPr>
                <w:rFonts w:ascii="Cambria Math" w:hAnsi="Cambria Math" w:cstheme="minorHAnsi"/>
                <w:sz w:val="24"/>
                <w:szCs w:val="24"/>
              </w:rPr>
              <m:t>t</m:t>
            </m:r>
          </m:e>
        </m:d>
      </m:oMath>
      <w:r w:rsidRPr="00066DE1">
        <w:rPr>
          <w:rFonts w:cstheme="minorHAnsi"/>
          <w:sz w:val="24"/>
          <w:szCs w:val="24"/>
        </w:rPr>
        <w:t xml:space="preserve"> is the stock price on day </w:t>
      </w:r>
      <m:oMath>
        <m:r>
          <w:rPr>
            <w:rFonts w:ascii="Cambria Math" w:hAnsi="Cambria Math" w:cstheme="minorHAnsi"/>
            <w:sz w:val="24"/>
            <w:szCs w:val="24"/>
          </w:rPr>
          <m:t>t.</m:t>
        </m:r>
      </m:oMath>
      <w:r w:rsidRPr="00066DE1">
        <w:rPr>
          <w:rFonts w:cstheme="minorHAnsi"/>
          <w:sz w:val="24"/>
          <w:szCs w:val="24"/>
        </w:rPr>
        <w:t xml:space="preserve"> </w:t>
      </w:r>
    </w:p>
    <w:p w14:paraId="3113E9B3" w14:textId="647D08D6" w:rsidR="00066DE1" w:rsidRPr="00066DE1" w:rsidRDefault="00066DE1" w:rsidP="00066DE1">
      <w:pPr>
        <w:jc w:val="both"/>
        <w:rPr>
          <w:rFonts w:cstheme="minorHAnsi"/>
          <w:sz w:val="24"/>
          <w:szCs w:val="24"/>
        </w:rPr>
      </w:pPr>
      <w:r w:rsidRPr="00066DE1">
        <w:rPr>
          <w:rFonts w:cstheme="minorHAnsi"/>
          <w:sz w:val="24"/>
          <w:szCs w:val="24"/>
        </w:rPr>
        <w:t xml:space="preserve">(2) In </w:t>
      </w:r>
      <w:r w:rsidR="006453A2">
        <w:rPr>
          <w:rFonts w:cstheme="minorHAnsi"/>
          <w:sz w:val="24"/>
          <w:szCs w:val="24"/>
        </w:rPr>
        <w:t>AA</w:t>
      </w:r>
      <w:r w:rsidRPr="00066DE1">
        <w:rPr>
          <w:rFonts w:cstheme="minorHAnsi"/>
          <w:sz w:val="24"/>
          <w:szCs w:val="24"/>
        </w:rPr>
        <w:t>3:A</w:t>
      </w:r>
      <w:r w:rsidR="005C7263">
        <w:rPr>
          <w:rFonts w:cstheme="minorHAnsi"/>
          <w:sz w:val="24"/>
          <w:szCs w:val="24"/>
        </w:rPr>
        <w:t>J</w:t>
      </w:r>
      <w:r w:rsidRPr="00066DE1">
        <w:rPr>
          <w:rFonts w:cstheme="minorHAnsi"/>
          <w:sz w:val="24"/>
          <w:szCs w:val="24"/>
        </w:rPr>
        <w:t>12, calculate the correlation matrix of the 10 stocks. The useful Excel command is CORREL with the following syntax:</w:t>
      </w:r>
    </w:p>
    <w:p w14:paraId="63F95443" w14:textId="77777777" w:rsidR="00066DE1" w:rsidRPr="00066DE1" w:rsidRDefault="00066DE1" w:rsidP="00066DE1">
      <w:pPr>
        <w:jc w:val="center"/>
        <w:rPr>
          <w:rFonts w:cstheme="minorHAnsi"/>
          <w:sz w:val="24"/>
          <w:szCs w:val="24"/>
        </w:rPr>
      </w:pPr>
      <w:r w:rsidRPr="00066DE1">
        <w:rPr>
          <w:rFonts w:cstheme="minorHAnsi"/>
          <w:sz w:val="24"/>
          <w:szCs w:val="24"/>
        </w:rPr>
        <w:t>CORREL(array1, array2),</w:t>
      </w:r>
    </w:p>
    <w:p w14:paraId="6F227F2E" w14:textId="77777777" w:rsidR="00066DE1" w:rsidRPr="00066DE1" w:rsidRDefault="00066DE1" w:rsidP="00066DE1">
      <w:pPr>
        <w:jc w:val="both"/>
        <w:rPr>
          <w:rFonts w:cstheme="minorHAnsi"/>
          <w:sz w:val="24"/>
          <w:szCs w:val="24"/>
        </w:rPr>
      </w:pPr>
      <w:r w:rsidRPr="00066DE1">
        <w:rPr>
          <w:rFonts w:cstheme="minorHAnsi"/>
          <w:sz w:val="24"/>
          <w:szCs w:val="24"/>
        </w:rPr>
        <w:t>where array1 and array2 are the price time series of stock 1 and stock 2, respectively.</w:t>
      </w:r>
    </w:p>
    <w:p w14:paraId="1975F6AF" w14:textId="77777777" w:rsidR="00066DE1" w:rsidRPr="00066DE1" w:rsidRDefault="00066DE1" w:rsidP="00066DE1">
      <w:pPr>
        <w:jc w:val="both"/>
        <w:rPr>
          <w:rFonts w:cstheme="minorHAnsi"/>
          <w:sz w:val="24"/>
          <w:szCs w:val="24"/>
        </w:rPr>
      </w:pPr>
      <w:r w:rsidRPr="00066DE1">
        <w:rPr>
          <w:rFonts w:cstheme="minorHAnsi"/>
          <w:sz w:val="24"/>
          <w:szCs w:val="24"/>
        </w:rPr>
        <w:t>To save effort in calculating the correlation functions repeatedly, array1 and array2 can be replaced by the INDEX command that returns the price time series. Its syntax is:</w:t>
      </w:r>
    </w:p>
    <w:p w14:paraId="5D854B80" w14:textId="77777777" w:rsidR="00066DE1" w:rsidRPr="00066DE1" w:rsidRDefault="00066DE1" w:rsidP="00066DE1">
      <w:pPr>
        <w:jc w:val="center"/>
        <w:rPr>
          <w:rFonts w:cstheme="minorHAnsi"/>
          <w:sz w:val="24"/>
          <w:szCs w:val="24"/>
        </w:rPr>
      </w:pPr>
      <w:r w:rsidRPr="00066DE1">
        <w:rPr>
          <w:rFonts w:cstheme="minorHAnsi"/>
          <w:sz w:val="24"/>
          <w:szCs w:val="24"/>
        </w:rPr>
        <w:t>INDEX(area, row number, column number),</w:t>
      </w:r>
    </w:p>
    <w:p w14:paraId="5DAE429E" w14:textId="77777777" w:rsidR="00066DE1" w:rsidRPr="00066DE1" w:rsidRDefault="00066DE1" w:rsidP="00066DE1">
      <w:pPr>
        <w:jc w:val="both"/>
        <w:rPr>
          <w:rFonts w:cstheme="minorHAnsi"/>
          <w:sz w:val="24"/>
          <w:szCs w:val="24"/>
        </w:rPr>
      </w:pPr>
      <w:r w:rsidRPr="00066DE1">
        <w:rPr>
          <w:rFonts w:cstheme="minorHAnsi"/>
          <w:sz w:val="24"/>
          <w:szCs w:val="24"/>
        </w:rPr>
        <w:t xml:space="preserve">where: </w:t>
      </w:r>
    </w:p>
    <w:p w14:paraId="013E8E6E" w14:textId="77777777" w:rsidR="00066DE1" w:rsidRPr="00066DE1" w:rsidRDefault="00066DE1" w:rsidP="00066DE1">
      <w:pPr>
        <w:jc w:val="both"/>
        <w:rPr>
          <w:rFonts w:cstheme="minorHAnsi"/>
          <w:sz w:val="24"/>
          <w:szCs w:val="24"/>
        </w:rPr>
      </w:pPr>
      <w:r w:rsidRPr="00066DE1">
        <w:rPr>
          <w:rFonts w:cstheme="minorHAnsi"/>
          <w:sz w:val="24"/>
          <w:szCs w:val="24"/>
        </w:rPr>
        <w:t xml:space="preserve">area is the array containing all the price time series. </w:t>
      </w:r>
    </w:p>
    <w:p w14:paraId="57EABC12" w14:textId="77777777" w:rsidR="00066DE1" w:rsidRPr="00066DE1" w:rsidRDefault="00066DE1" w:rsidP="00066DE1">
      <w:pPr>
        <w:jc w:val="both"/>
        <w:rPr>
          <w:rFonts w:cstheme="minorHAnsi"/>
          <w:sz w:val="24"/>
          <w:szCs w:val="24"/>
        </w:rPr>
      </w:pPr>
      <w:r w:rsidRPr="00066DE1">
        <w:rPr>
          <w:rFonts w:cstheme="minorHAnsi"/>
          <w:sz w:val="24"/>
          <w:szCs w:val="24"/>
        </w:rPr>
        <w:t xml:space="preserve">row number should be set to 0, which enables the command to return a column from area (if it is nonzero, it will only return a single element of that row number in the area). </w:t>
      </w:r>
    </w:p>
    <w:p w14:paraId="633DDB86" w14:textId="77777777" w:rsidR="00066DE1" w:rsidRPr="00066DE1" w:rsidRDefault="00066DE1" w:rsidP="00066DE1">
      <w:pPr>
        <w:jc w:val="both"/>
        <w:rPr>
          <w:rFonts w:cstheme="minorHAnsi"/>
          <w:sz w:val="24"/>
          <w:szCs w:val="24"/>
        </w:rPr>
      </w:pPr>
      <w:r w:rsidRPr="00066DE1">
        <w:rPr>
          <w:rFonts w:cstheme="minorHAnsi"/>
          <w:sz w:val="24"/>
          <w:szCs w:val="24"/>
        </w:rPr>
        <w:t>column number is the column number containing the price time series of a stock. It should be read from the row or column label of the correlation matrix, so that the matrix can be filled up by dragging the cells.</w:t>
      </w:r>
    </w:p>
    <w:p w14:paraId="571B98F1" w14:textId="4449A9EF" w:rsidR="00066DE1" w:rsidRPr="00066DE1" w:rsidRDefault="00066DE1" w:rsidP="00066DE1">
      <w:pPr>
        <w:jc w:val="both"/>
        <w:rPr>
          <w:rFonts w:cstheme="minorHAnsi"/>
          <w:sz w:val="24"/>
          <w:szCs w:val="24"/>
        </w:rPr>
      </w:pPr>
      <w:r w:rsidRPr="00066DE1">
        <w:rPr>
          <w:rFonts w:cstheme="minorHAnsi"/>
          <w:sz w:val="24"/>
          <w:szCs w:val="24"/>
        </w:rPr>
        <w:t xml:space="preserve">(3) In </w:t>
      </w:r>
      <w:r w:rsidR="005C7263">
        <w:rPr>
          <w:rFonts w:cstheme="minorHAnsi"/>
          <w:sz w:val="24"/>
          <w:szCs w:val="24"/>
        </w:rPr>
        <w:t>AA</w:t>
      </w:r>
      <w:r w:rsidRPr="00066DE1">
        <w:rPr>
          <w:rFonts w:cstheme="minorHAnsi"/>
          <w:sz w:val="24"/>
          <w:szCs w:val="24"/>
        </w:rPr>
        <w:t>16:A</w:t>
      </w:r>
      <w:r w:rsidR="005C7263">
        <w:rPr>
          <w:rFonts w:cstheme="minorHAnsi"/>
          <w:sz w:val="24"/>
          <w:szCs w:val="24"/>
        </w:rPr>
        <w:t>J</w:t>
      </w:r>
      <w:r w:rsidRPr="00066DE1">
        <w:rPr>
          <w:rFonts w:cstheme="minorHAnsi"/>
          <w:sz w:val="24"/>
          <w:szCs w:val="24"/>
        </w:rPr>
        <w:t xml:space="preserve">25 and </w:t>
      </w:r>
      <w:r w:rsidR="005C7263">
        <w:rPr>
          <w:rFonts w:cstheme="minorHAnsi"/>
          <w:sz w:val="24"/>
          <w:szCs w:val="24"/>
        </w:rPr>
        <w:t>AA</w:t>
      </w:r>
      <w:r w:rsidRPr="00066DE1">
        <w:rPr>
          <w:rFonts w:cstheme="minorHAnsi"/>
          <w:sz w:val="24"/>
          <w:szCs w:val="24"/>
        </w:rPr>
        <w:t>29:A</w:t>
      </w:r>
      <w:r w:rsidR="005C7263">
        <w:rPr>
          <w:rFonts w:cstheme="minorHAnsi"/>
          <w:sz w:val="24"/>
          <w:szCs w:val="24"/>
        </w:rPr>
        <w:t>J</w:t>
      </w:r>
      <w:r w:rsidRPr="00066DE1">
        <w:rPr>
          <w:rFonts w:cstheme="minorHAnsi"/>
          <w:sz w:val="24"/>
          <w:szCs w:val="24"/>
        </w:rPr>
        <w:t>38, calculate the eigenvalues and eigenvectors of the correlation matrix, respectively. The macro of this calculation can be downloaded from Google by typing:</w:t>
      </w:r>
    </w:p>
    <w:p w14:paraId="58C739A7" w14:textId="77777777" w:rsidR="00066DE1" w:rsidRPr="00066DE1" w:rsidRDefault="00066DE1" w:rsidP="00066DE1">
      <w:pPr>
        <w:jc w:val="both"/>
        <w:rPr>
          <w:rFonts w:cstheme="minorHAnsi"/>
          <w:sz w:val="24"/>
          <w:szCs w:val="24"/>
        </w:rPr>
      </w:pPr>
      <w:r w:rsidRPr="00066DE1">
        <w:rPr>
          <w:rFonts w:cstheme="minorHAnsi"/>
          <w:sz w:val="24"/>
          <w:szCs w:val="24"/>
        </w:rPr>
        <w:t>“Download worksheet for calculating eigenvectors and eigenvalues”.</w:t>
      </w:r>
    </w:p>
    <w:p w14:paraId="6DFBAF48" w14:textId="77777777" w:rsidR="00066DE1" w:rsidRPr="00066DE1" w:rsidRDefault="00066DE1" w:rsidP="00066DE1">
      <w:pPr>
        <w:jc w:val="both"/>
        <w:rPr>
          <w:rFonts w:cstheme="minorHAnsi"/>
          <w:sz w:val="24"/>
          <w:szCs w:val="24"/>
        </w:rPr>
      </w:pPr>
      <w:r w:rsidRPr="00066DE1">
        <w:rPr>
          <w:rFonts w:cstheme="minorHAnsi"/>
          <w:sz w:val="24"/>
          <w:szCs w:val="24"/>
        </w:rPr>
        <w:t>The method of calculation is explained in the worksheet “Eigencalcs”. Note that for matrix operations in Excel, one should type Ctrl-Shift-Enter after marking the area covered by the matrix.</w:t>
      </w:r>
    </w:p>
    <w:p w14:paraId="6B804168" w14:textId="29167D68" w:rsidR="00066DE1" w:rsidRPr="00066DE1" w:rsidRDefault="00066DE1" w:rsidP="00066DE1">
      <w:pPr>
        <w:jc w:val="both"/>
        <w:rPr>
          <w:rFonts w:cstheme="minorHAnsi"/>
          <w:sz w:val="24"/>
          <w:szCs w:val="24"/>
        </w:rPr>
      </w:pPr>
      <w:r w:rsidRPr="00066DE1">
        <w:rPr>
          <w:rFonts w:cstheme="minorHAnsi"/>
          <w:sz w:val="24"/>
          <w:szCs w:val="24"/>
        </w:rPr>
        <w:lastRenderedPageBreak/>
        <w:t xml:space="preserve">(4) Since the cells in the matrix area cannot be edited individually, copy the eigenvalues and eigenvectors into </w:t>
      </w:r>
      <w:r w:rsidR="005C7263">
        <w:rPr>
          <w:rFonts w:cstheme="minorHAnsi"/>
          <w:sz w:val="24"/>
          <w:szCs w:val="24"/>
        </w:rPr>
        <w:t>AA</w:t>
      </w:r>
      <w:r w:rsidRPr="00066DE1">
        <w:rPr>
          <w:rFonts w:cstheme="minorHAnsi"/>
          <w:sz w:val="24"/>
          <w:szCs w:val="24"/>
        </w:rPr>
        <w:t>42:A</w:t>
      </w:r>
      <w:r w:rsidR="005C7263">
        <w:rPr>
          <w:rFonts w:cstheme="minorHAnsi"/>
          <w:sz w:val="24"/>
          <w:szCs w:val="24"/>
        </w:rPr>
        <w:t>J</w:t>
      </w:r>
      <w:r w:rsidRPr="00066DE1">
        <w:rPr>
          <w:rFonts w:cstheme="minorHAnsi"/>
          <w:sz w:val="24"/>
          <w:szCs w:val="24"/>
        </w:rPr>
        <w:t xml:space="preserve">52. Use the Paste-Value command. Note that in the eigenvalue matrix </w:t>
      </w:r>
      <w:r w:rsidR="005C7263">
        <w:rPr>
          <w:rFonts w:cstheme="minorHAnsi"/>
          <w:sz w:val="24"/>
          <w:szCs w:val="24"/>
        </w:rPr>
        <w:t>AA</w:t>
      </w:r>
      <w:r w:rsidRPr="00066DE1">
        <w:rPr>
          <w:rFonts w:cstheme="minorHAnsi"/>
          <w:sz w:val="24"/>
          <w:szCs w:val="24"/>
        </w:rPr>
        <w:t>16:A</w:t>
      </w:r>
      <w:r w:rsidR="005C7263">
        <w:rPr>
          <w:rFonts w:cstheme="minorHAnsi"/>
          <w:sz w:val="24"/>
          <w:szCs w:val="24"/>
        </w:rPr>
        <w:t>J</w:t>
      </w:r>
      <w:r w:rsidRPr="00066DE1">
        <w:rPr>
          <w:rFonts w:cstheme="minorHAnsi"/>
          <w:sz w:val="24"/>
          <w:szCs w:val="24"/>
        </w:rPr>
        <w:t xml:space="preserve">25, all </w:t>
      </w:r>
      <w:r w:rsidR="00CA188F">
        <w:rPr>
          <w:rFonts w:cstheme="minorHAnsi"/>
          <w:sz w:val="24"/>
          <w:szCs w:val="24"/>
        </w:rPr>
        <w:t>off</w:t>
      </w:r>
      <w:r w:rsidRPr="00066DE1">
        <w:rPr>
          <w:rFonts w:cstheme="minorHAnsi"/>
          <w:sz w:val="24"/>
          <w:szCs w:val="24"/>
        </w:rPr>
        <w:t>-diagonal elements are zero, and so the most convenient way to copy the eigenvalues to a row is to sum the columns of the matrix.</w:t>
      </w:r>
    </w:p>
    <w:p w14:paraId="325A347C" w14:textId="65FDD62D" w:rsidR="00066DE1" w:rsidRPr="00066DE1" w:rsidRDefault="00066DE1" w:rsidP="00066DE1">
      <w:pPr>
        <w:jc w:val="both"/>
        <w:rPr>
          <w:rFonts w:cstheme="minorHAnsi"/>
          <w:sz w:val="24"/>
          <w:szCs w:val="24"/>
        </w:rPr>
      </w:pPr>
      <w:r w:rsidRPr="00066DE1">
        <w:rPr>
          <w:rFonts w:cstheme="minorHAnsi"/>
          <w:sz w:val="24"/>
          <w:szCs w:val="24"/>
        </w:rPr>
        <w:t xml:space="preserve">(5) In </w:t>
      </w:r>
      <w:r w:rsidR="005C7263">
        <w:rPr>
          <w:rFonts w:cstheme="minorHAnsi"/>
          <w:sz w:val="24"/>
          <w:szCs w:val="24"/>
        </w:rPr>
        <w:t>AA</w:t>
      </w:r>
      <w:r w:rsidRPr="00066DE1">
        <w:rPr>
          <w:rFonts w:cstheme="minorHAnsi"/>
          <w:sz w:val="24"/>
          <w:szCs w:val="24"/>
        </w:rPr>
        <w:t>56:A</w:t>
      </w:r>
      <w:r w:rsidR="005C7263">
        <w:rPr>
          <w:rFonts w:cstheme="minorHAnsi"/>
          <w:sz w:val="24"/>
          <w:szCs w:val="24"/>
        </w:rPr>
        <w:t>J</w:t>
      </w:r>
      <w:r w:rsidRPr="00066DE1">
        <w:rPr>
          <w:rFonts w:cstheme="minorHAnsi"/>
          <w:sz w:val="24"/>
          <w:szCs w:val="24"/>
        </w:rPr>
        <w:t>66, sort the eigenvalues and eigenvectors in descending magnitude of the eigenvalues. The “Sort left to right” option in Custom Sort should be useful.</w:t>
      </w:r>
    </w:p>
    <w:p w14:paraId="499C3CB5" w14:textId="77777777" w:rsidR="00066DE1" w:rsidRPr="00066DE1" w:rsidRDefault="00066DE1" w:rsidP="00066DE1">
      <w:pPr>
        <w:jc w:val="both"/>
        <w:rPr>
          <w:rFonts w:cstheme="minorHAnsi"/>
          <w:sz w:val="24"/>
          <w:szCs w:val="24"/>
        </w:rPr>
      </w:pPr>
      <w:r w:rsidRPr="00066DE1">
        <w:rPr>
          <w:rFonts w:cstheme="minorHAnsi"/>
          <w:sz w:val="24"/>
          <w:szCs w:val="24"/>
        </w:rPr>
        <w:t>(6) Plot the eigenvalues of the eigenmodes versus the eigenmode numbers. You may find that it is difficult to determine the number of principal portfolios to be included, probably due to the small number of stocks being studied. Hence, we will use a different criterion in the next part.</w:t>
      </w:r>
    </w:p>
    <w:p w14:paraId="09D1C66C" w14:textId="6C66AE7E" w:rsidR="00066DE1" w:rsidRPr="00066DE1" w:rsidRDefault="00066DE1" w:rsidP="00066DE1">
      <w:pPr>
        <w:jc w:val="both"/>
        <w:rPr>
          <w:rFonts w:cstheme="minorHAnsi"/>
          <w:sz w:val="24"/>
          <w:szCs w:val="24"/>
        </w:rPr>
      </w:pPr>
      <w:r w:rsidRPr="00066DE1">
        <w:rPr>
          <w:rFonts w:cstheme="minorHAnsi"/>
          <w:sz w:val="24"/>
          <w:szCs w:val="24"/>
        </w:rPr>
        <w:t xml:space="preserve">(7) In </w:t>
      </w:r>
      <w:r w:rsidR="005C7263">
        <w:rPr>
          <w:rFonts w:cstheme="minorHAnsi"/>
          <w:sz w:val="24"/>
          <w:szCs w:val="24"/>
        </w:rPr>
        <w:t>AA</w:t>
      </w:r>
      <w:r w:rsidR="00A3245F">
        <w:rPr>
          <w:rFonts w:cstheme="minorHAnsi"/>
          <w:sz w:val="24"/>
          <w:szCs w:val="24"/>
        </w:rPr>
        <w:t>6</w:t>
      </w:r>
      <w:r w:rsidRPr="00066DE1">
        <w:rPr>
          <w:rFonts w:cstheme="minorHAnsi"/>
          <w:sz w:val="24"/>
          <w:szCs w:val="24"/>
        </w:rPr>
        <w:t>9:A</w:t>
      </w:r>
      <w:r w:rsidR="005C7263">
        <w:rPr>
          <w:rFonts w:cstheme="minorHAnsi"/>
          <w:sz w:val="24"/>
          <w:szCs w:val="24"/>
        </w:rPr>
        <w:t>J</w:t>
      </w:r>
      <w:r w:rsidRPr="00066DE1">
        <w:rPr>
          <w:rFonts w:cstheme="minorHAnsi"/>
          <w:sz w:val="24"/>
          <w:szCs w:val="24"/>
        </w:rPr>
        <w:t xml:space="preserve">69, calculate the cumulative variance. Let </w:t>
      </w:r>
      <m:oMath>
        <m:r>
          <w:rPr>
            <w:rFonts w:ascii="Cambria Math" w:hAnsi="Cambria Math" w:cstheme="minorHAnsi"/>
            <w:sz w:val="24"/>
            <w:szCs w:val="24"/>
          </w:rPr>
          <m:t>N</m:t>
        </m:r>
      </m:oMath>
      <w:r w:rsidRPr="00066DE1">
        <w:rPr>
          <w:rFonts w:cstheme="minorHAnsi"/>
          <w:sz w:val="24"/>
          <w:szCs w:val="24"/>
        </w:rPr>
        <w:t xml:space="preserve"> be the number of first few principal portfolios whose cumulative variance corresponds to the 80% cutoff. Determine </w:t>
      </w:r>
      <m:oMath>
        <m:r>
          <w:rPr>
            <w:rFonts w:ascii="Cambria Math" w:hAnsi="Cambria Math" w:cstheme="minorHAnsi"/>
            <w:sz w:val="24"/>
            <w:szCs w:val="24"/>
          </w:rPr>
          <m:t>N</m:t>
        </m:r>
      </m:oMath>
      <w:r w:rsidRPr="00066DE1">
        <w:rPr>
          <w:rFonts w:cstheme="minorHAnsi"/>
          <w:sz w:val="24"/>
          <w:szCs w:val="24"/>
        </w:rPr>
        <w:t>.</w:t>
      </w:r>
    </w:p>
    <w:p w14:paraId="4FB5C878" w14:textId="77777777" w:rsidR="00066DE1" w:rsidRPr="00066DE1" w:rsidRDefault="00066DE1" w:rsidP="00066DE1">
      <w:pPr>
        <w:jc w:val="both"/>
        <w:rPr>
          <w:rFonts w:cstheme="minorHAnsi"/>
          <w:b/>
          <w:bCs/>
          <w:sz w:val="24"/>
          <w:szCs w:val="24"/>
        </w:rPr>
      </w:pPr>
      <w:r w:rsidRPr="00066DE1">
        <w:rPr>
          <w:rFonts w:cstheme="minorHAnsi"/>
          <w:b/>
          <w:bCs/>
          <w:sz w:val="24"/>
          <w:szCs w:val="24"/>
        </w:rPr>
        <w:t>Cluster Visualization</w:t>
      </w:r>
    </w:p>
    <w:p w14:paraId="0BD87605" w14:textId="77777777" w:rsidR="00066DE1" w:rsidRPr="00066DE1" w:rsidRDefault="00066DE1" w:rsidP="00066DE1">
      <w:pPr>
        <w:jc w:val="both"/>
        <w:rPr>
          <w:rFonts w:cstheme="minorHAnsi"/>
          <w:sz w:val="24"/>
          <w:szCs w:val="24"/>
        </w:rPr>
      </w:pPr>
      <w:r w:rsidRPr="00066DE1">
        <w:rPr>
          <w:rFonts w:cstheme="minorHAnsi"/>
          <w:sz w:val="24"/>
          <w:szCs w:val="24"/>
        </w:rPr>
        <w:t>(8) Plot the 10 stocks in the space of the 2</w:t>
      </w:r>
      <w:r w:rsidRPr="00066DE1">
        <w:rPr>
          <w:rFonts w:cstheme="minorHAnsi"/>
          <w:sz w:val="24"/>
          <w:szCs w:val="24"/>
          <w:vertAlign w:val="superscript"/>
        </w:rPr>
        <w:t>nd</w:t>
      </w:r>
      <w:r w:rsidRPr="00066DE1">
        <w:rPr>
          <w:rFonts w:cstheme="minorHAnsi"/>
          <w:sz w:val="24"/>
          <w:szCs w:val="24"/>
        </w:rPr>
        <w:t xml:space="preserve"> and 3</w:t>
      </w:r>
      <w:r w:rsidRPr="00066DE1">
        <w:rPr>
          <w:rFonts w:cstheme="minorHAnsi"/>
          <w:sz w:val="24"/>
          <w:szCs w:val="24"/>
          <w:vertAlign w:val="superscript"/>
        </w:rPr>
        <w:t>rd</w:t>
      </w:r>
      <w:r w:rsidRPr="00066DE1">
        <w:rPr>
          <w:rFonts w:cstheme="minorHAnsi"/>
          <w:sz w:val="24"/>
          <w:szCs w:val="24"/>
        </w:rPr>
        <w:t xml:space="preserve"> principal components. Comment on any clusters that you observe, and comment on the nature of the clusters.</w:t>
      </w:r>
    </w:p>
    <w:p w14:paraId="0A3449CE" w14:textId="77777777" w:rsidR="00066DE1" w:rsidRPr="00066DE1" w:rsidRDefault="00066DE1" w:rsidP="00066DE1">
      <w:pPr>
        <w:jc w:val="both"/>
        <w:rPr>
          <w:rFonts w:cstheme="minorHAnsi"/>
          <w:b/>
          <w:bCs/>
          <w:sz w:val="24"/>
          <w:szCs w:val="24"/>
        </w:rPr>
      </w:pPr>
      <w:r w:rsidRPr="00066DE1">
        <w:rPr>
          <w:rFonts w:cstheme="minorHAnsi"/>
          <w:b/>
          <w:bCs/>
          <w:sz w:val="24"/>
          <w:szCs w:val="24"/>
        </w:rPr>
        <w:t>Diversification Strategies</w:t>
      </w:r>
    </w:p>
    <w:p w14:paraId="130008DB" w14:textId="77777777" w:rsidR="00066DE1" w:rsidRPr="00066DE1" w:rsidRDefault="00066DE1" w:rsidP="00066DE1">
      <w:pPr>
        <w:jc w:val="both"/>
        <w:rPr>
          <w:rFonts w:cstheme="minorHAnsi"/>
          <w:sz w:val="24"/>
          <w:szCs w:val="24"/>
        </w:rPr>
      </w:pPr>
      <w:r w:rsidRPr="00066DE1">
        <w:rPr>
          <w:rFonts w:cstheme="minorHAnsi"/>
          <w:sz w:val="24"/>
          <w:szCs w:val="24"/>
        </w:rPr>
        <w:t>Below we investigate 4 diversification strategies.</w:t>
      </w:r>
    </w:p>
    <w:p w14:paraId="036062B3" w14:textId="77777777" w:rsidR="00066DE1" w:rsidRPr="00066DE1" w:rsidRDefault="00066DE1" w:rsidP="00066DE1">
      <w:pPr>
        <w:pStyle w:val="ListParagraph"/>
        <w:numPr>
          <w:ilvl w:val="0"/>
          <w:numId w:val="6"/>
        </w:numPr>
        <w:jc w:val="both"/>
        <w:rPr>
          <w:rFonts w:cstheme="minorHAnsi"/>
          <w:b/>
          <w:sz w:val="24"/>
          <w:szCs w:val="24"/>
        </w:rPr>
      </w:pPr>
      <w:r w:rsidRPr="00066DE1">
        <w:rPr>
          <w:rFonts w:cstheme="minorHAnsi"/>
          <w:b/>
          <w:sz w:val="24"/>
          <w:szCs w:val="24"/>
        </w:rPr>
        <w:t>Stock investment with equal weight</w:t>
      </w:r>
    </w:p>
    <w:p w14:paraId="23B715CA" w14:textId="1DC35098" w:rsidR="00066DE1" w:rsidRPr="00066DE1" w:rsidRDefault="00066DE1" w:rsidP="00066DE1">
      <w:pPr>
        <w:jc w:val="both"/>
        <w:rPr>
          <w:rFonts w:cstheme="minorHAnsi"/>
          <w:sz w:val="24"/>
          <w:szCs w:val="24"/>
        </w:rPr>
      </w:pPr>
      <w:r w:rsidRPr="00066DE1">
        <w:rPr>
          <w:rFonts w:cstheme="minorHAnsi"/>
          <w:sz w:val="24"/>
          <w:szCs w:val="24"/>
        </w:rPr>
        <w:t xml:space="preserve">(9) In this strategy, the capital allocated to each of the 10 stocks is the same. Considering the stock price, calculate the volume of stocks to be invested. Then calculate the value of the portfolio in column </w:t>
      </w:r>
      <w:r w:rsidR="005C7263">
        <w:rPr>
          <w:rFonts w:cstheme="minorHAnsi"/>
          <w:sz w:val="24"/>
          <w:szCs w:val="24"/>
        </w:rPr>
        <w:t>BB</w:t>
      </w:r>
      <w:r w:rsidRPr="00066DE1">
        <w:rPr>
          <w:rFonts w:cstheme="minorHAnsi"/>
          <w:sz w:val="24"/>
          <w:szCs w:val="24"/>
        </w:rPr>
        <w:t>. The Excel command SUMPRODUCT is useful here (and also in many other calculations below).</w:t>
      </w:r>
    </w:p>
    <w:p w14:paraId="41CBB907" w14:textId="77777777" w:rsidR="00066DE1" w:rsidRPr="00066DE1" w:rsidRDefault="00066DE1" w:rsidP="00066DE1">
      <w:pPr>
        <w:jc w:val="both"/>
        <w:rPr>
          <w:rFonts w:cstheme="minorHAnsi"/>
          <w:b/>
          <w:sz w:val="24"/>
          <w:szCs w:val="24"/>
        </w:rPr>
      </w:pPr>
      <w:r w:rsidRPr="00066DE1">
        <w:rPr>
          <w:rFonts w:cstheme="minorHAnsi"/>
          <w:b/>
          <w:sz w:val="24"/>
          <w:szCs w:val="24"/>
        </w:rPr>
        <w:t>(B) Risk Parity (or Equal Risk Contribution)</w:t>
      </w:r>
    </w:p>
    <w:p w14:paraId="3F8628CB" w14:textId="77777777" w:rsidR="00066DE1" w:rsidRPr="00066DE1" w:rsidRDefault="00066DE1" w:rsidP="00066DE1">
      <w:pPr>
        <w:jc w:val="both"/>
        <w:rPr>
          <w:rFonts w:cstheme="minorHAnsi"/>
          <w:sz w:val="24"/>
          <w:szCs w:val="24"/>
        </w:rPr>
      </w:pPr>
      <w:r w:rsidRPr="00066DE1">
        <w:rPr>
          <w:rFonts w:cstheme="minorHAnsi"/>
          <w:sz w:val="24"/>
          <w:szCs w:val="24"/>
        </w:rPr>
        <w:t xml:space="preserve">(10) In this strategy, the risk of stock </w:t>
      </w:r>
      <m:oMath>
        <m:r>
          <w:rPr>
            <w:rFonts w:ascii="Cambria Math" w:hAnsi="Cambria Math" w:cstheme="minorHAnsi"/>
            <w:sz w:val="24"/>
            <w:szCs w:val="24"/>
          </w:rPr>
          <m:t>i</m:t>
        </m:r>
      </m:oMath>
      <w:r w:rsidRPr="00066DE1">
        <w:rPr>
          <w:rFonts w:cstheme="minorHAnsi"/>
          <w:sz w:val="24"/>
          <w:szCs w:val="24"/>
        </w:rPr>
        <w:t xml:space="preserve"> per unit of capital is estimated by its standard deviation </w:t>
      </w:r>
      <m:oMath>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i</m:t>
            </m:r>
          </m:sub>
        </m:sSub>
      </m:oMath>
      <w:r w:rsidRPr="00066DE1">
        <w:rPr>
          <w:rFonts w:cstheme="minorHAnsi"/>
          <w:sz w:val="24"/>
          <w:szCs w:val="24"/>
        </w:rPr>
        <w:t xml:space="preserve"> (note that the risk correlations of the stocks are neglected). The capital allocated to each of the 10 stocks is such that the risk of each stock is the same. Hence the capital allocated to each stock is proportional to </w:t>
      </w:r>
      <m:oMath>
        <m:r>
          <w:rPr>
            <w:rFonts w:ascii="Cambria Math" w:hAnsi="Cambria Math" w:cstheme="minorHAnsi"/>
            <w:sz w:val="24"/>
            <w:szCs w:val="24"/>
          </w:rPr>
          <m:t>1/</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i</m:t>
            </m:r>
          </m:sub>
        </m:sSub>
        <m:r>
          <w:rPr>
            <w:rFonts w:ascii="Cambria Math" w:hAnsi="Cambria Math" w:cstheme="minorHAnsi"/>
            <w:sz w:val="24"/>
            <w:szCs w:val="24"/>
          </w:rPr>
          <m:t>.</m:t>
        </m:r>
      </m:oMath>
      <w:r w:rsidRPr="00066DE1">
        <w:rPr>
          <w:rFonts w:cstheme="minorHAnsi"/>
          <w:sz w:val="24"/>
          <w:szCs w:val="24"/>
        </w:rPr>
        <w:t xml:space="preserve"> Calculate the volume of stocks to be invested. Then calculate the value of the portfolio in column BA. The Excel command STDEV is useful for calculating the standard deviation.</w:t>
      </w:r>
    </w:p>
    <w:p w14:paraId="18D7D920" w14:textId="77777777" w:rsidR="00066DE1" w:rsidRPr="00066DE1" w:rsidRDefault="00066DE1" w:rsidP="00066DE1">
      <w:pPr>
        <w:jc w:val="both"/>
        <w:rPr>
          <w:rFonts w:cstheme="minorHAnsi"/>
          <w:b/>
          <w:sz w:val="24"/>
          <w:szCs w:val="24"/>
        </w:rPr>
      </w:pPr>
      <w:r w:rsidRPr="00066DE1">
        <w:rPr>
          <w:rFonts w:cstheme="minorHAnsi"/>
          <w:b/>
          <w:sz w:val="24"/>
          <w:szCs w:val="24"/>
        </w:rPr>
        <w:t>(C) Equal Weight Portfolio (or 1/N Strategy)</w:t>
      </w:r>
    </w:p>
    <w:p w14:paraId="2BB17140" w14:textId="77777777" w:rsidR="00066DE1" w:rsidRPr="00066DE1" w:rsidRDefault="00066DE1" w:rsidP="00066DE1">
      <w:pPr>
        <w:jc w:val="both"/>
        <w:rPr>
          <w:rFonts w:cstheme="minorHAnsi"/>
          <w:sz w:val="24"/>
          <w:szCs w:val="24"/>
        </w:rPr>
      </w:pPr>
      <w:r w:rsidRPr="00066DE1">
        <w:rPr>
          <w:rFonts w:cstheme="minorHAnsi"/>
          <w:sz w:val="24"/>
          <w:szCs w:val="24"/>
        </w:rPr>
        <w:t xml:space="preserve">(11) In this strategy, the first </w:t>
      </w:r>
      <m:oMath>
        <m:r>
          <w:rPr>
            <w:rFonts w:ascii="Cambria Math" w:hAnsi="Cambria Math" w:cstheme="minorHAnsi"/>
            <w:sz w:val="24"/>
            <w:szCs w:val="24"/>
          </w:rPr>
          <m:t>N</m:t>
        </m:r>
      </m:oMath>
      <w:r w:rsidRPr="00066DE1">
        <w:rPr>
          <w:rFonts w:cstheme="minorHAnsi"/>
          <w:sz w:val="24"/>
          <w:szCs w:val="24"/>
        </w:rPr>
        <w:t xml:space="preserve"> principal portfolios are selected, and equal weight is allocated to each of them. The first step is to determine the signs of the eigenvectors </w:t>
      </w:r>
      <m:oMath>
        <m:r>
          <w:rPr>
            <w:rFonts w:ascii="Cambria Math" w:hAnsi="Cambria Math" w:cstheme="minorHAnsi"/>
            <w:sz w:val="24"/>
            <w:szCs w:val="24"/>
          </w:rPr>
          <m:t>±</m:t>
        </m:r>
        <m:sSub>
          <m:sSubPr>
            <m:ctrlPr>
              <w:rPr>
                <w:rFonts w:ascii="Cambria Math" w:hAnsi="Cambria Math" w:cstheme="minorHAnsi"/>
                <w:i/>
                <w:sz w:val="24"/>
                <w:szCs w:val="24"/>
              </w:rPr>
            </m:ctrlPr>
          </m:sSubPr>
          <m:e>
            <m:r>
              <m:rPr>
                <m:sty m:val="b"/>
              </m:rPr>
              <w:rPr>
                <w:rFonts w:ascii="Cambria Math" w:hAnsi="Cambria Math" w:cstheme="minorHAnsi"/>
                <w:sz w:val="24"/>
                <w:szCs w:val="24"/>
              </w:rPr>
              <m:t>u</m:t>
            </m:r>
          </m:e>
          <m:sub>
            <m:r>
              <w:rPr>
                <w:rFonts w:ascii="Cambria Math" w:hAnsi="Cambria Math" w:cstheme="minorHAnsi"/>
                <w:sz w:val="24"/>
                <w:szCs w:val="24"/>
              </w:rPr>
              <m:t>a</m:t>
            </m:r>
          </m:sub>
        </m:sSub>
      </m:oMath>
      <w:r w:rsidRPr="00066DE1">
        <w:rPr>
          <w:rFonts w:cstheme="minorHAnsi"/>
          <w:sz w:val="24"/>
          <w:szCs w:val="24"/>
        </w:rPr>
        <w:t xml:space="preserve"> to be adopted. We will consider a portfolio with equal capital allocated to the 10 stocks, and require the projection of this portfolio to the principal eigenvectors to be positive. Calculate the projections.</w:t>
      </w:r>
    </w:p>
    <w:p w14:paraId="515268CF" w14:textId="77777777" w:rsidR="00066DE1" w:rsidRPr="00066DE1" w:rsidRDefault="00066DE1" w:rsidP="00066DE1">
      <w:pPr>
        <w:jc w:val="both"/>
        <w:rPr>
          <w:rFonts w:cstheme="minorHAnsi"/>
          <w:sz w:val="24"/>
          <w:szCs w:val="24"/>
        </w:rPr>
      </w:pPr>
      <w:r w:rsidRPr="00066DE1">
        <w:rPr>
          <w:rFonts w:cstheme="minorHAnsi"/>
          <w:sz w:val="24"/>
          <w:szCs w:val="24"/>
        </w:rPr>
        <w:lastRenderedPageBreak/>
        <w:t xml:space="preserve">(12) Calculate the sign-corrected eigenvectors. Then calculate the total weight of each stock contributed from the </w:t>
      </w:r>
      <m:oMath>
        <m:r>
          <w:rPr>
            <w:rFonts w:ascii="Cambria Math" w:hAnsi="Cambria Math" w:cstheme="minorHAnsi"/>
            <w:sz w:val="24"/>
            <w:szCs w:val="24"/>
          </w:rPr>
          <m:t>N</m:t>
        </m:r>
      </m:oMath>
      <w:r w:rsidRPr="00066DE1">
        <w:rPr>
          <w:rFonts w:cstheme="minorHAnsi"/>
          <w:sz w:val="24"/>
          <w:szCs w:val="24"/>
        </w:rPr>
        <w:t xml:space="preserve"> principal portfolios, and the volume of stocks to be invested.</w:t>
      </w:r>
    </w:p>
    <w:p w14:paraId="618BAEC1" w14:textId="31CC6CCA" w:rsidR="00066DE1" w:rsidRPr="00066DE1" w:rsidRDefault="00066DE1" w:rsidP="00066DE1">
      <w:pPr>
        <w:jc w:val="both"/>
        <w:rPr>
          <w:rFonts w:cstheme="minorHAnsi"/>
          <w:sz w:val="24"/>
          <w:szCs w:val="24"/>
        </w:rPr>
      </w:pPr>
      <w:r w:rsidRPr="00066DE1">
        <w:rPr>
          <w:rFonts w:cstheme="minorHAnsi"/>
          <w:sz w:val="24"/>
          <w:szCs w:val="24"/>
        </w:rPr>
        <w:t>(13) Which stocks in this strategy are in short positions? Calculate the value of the portfolio in column BB. Note that the initial value is no longer equal to 1 due to the short-positioned stocks.</w:t>
      </w:r>
      <w:r w:rsidR="003F3FF8">
        <w:rPr>
          <w:rFonts w:cstheme="minorHAnsi"/>
          <w:sz w:val="24"/>
          <w:szCs w:val="24"/>
        </w:rPr>
        <w:t xml:space="preserve"> </w:t>
      </w:r>
      <w:r w:rsidR="003F3FF8">
        <w:rPr>
          <w:rFonts w:cstheme="minorHAnsi"/>
          <w:sz w:val="24"/>
          <w:szCs w:val="24"/>
        </w:rPr>
        <w:t>You are required to normalize the initial value to 1.</w:t>
      </w:r>
    </w:p>
    <w:p w14:paraId="46BC0EFC" w14:textId="77777777" w:rsidR="00066DE1" w:rsidRPr="00066DE1" w:rsidRDefault="00066DE1" w:rsidP="00066DE1">
      <w:pPr>
        <w:jc w:val="both"/>
        <w:rPr>
          <w:rFonts w:cstheme="minorHAnsi"/>
          <w:b/>
          <w:sz w:val="24"/>
          <w:szCs w:val="24"/>
        </w:rPr>
      </w:pPr>
      <w:r w:rsidRPr="00066DE1">
        <w:rPr>
          <w:rFonts w:cstheme="minorHAnsi"/>
          <w:b/>
          <w:sz w:val="24"/>
          <w:szCs w:val="24"/>
        </w:rPr>
        <w:t>(D) Diversified Risk Parity</w:t>
      </w:r>
    </w:p>
    <w:p w14:paraId="3797B077" w14:textId="1BA16777" w:rsidR="00066DE1" w:rsidRPr="00066DE1" w:rsidRDefault="00066DE1" w:rsidP="00066DE1">
      <w:pPr>
        <w:jc w:val="both"/>
        <w:rPr>
          <w:rFonts w:cstheme="minorHAnsi"/>
          <w:sz w:val="24"/>
          <w:szCs w:val="24"/>
        </w:rPr>
      </w:pPr>
      <w:r w:rsidRPr="00066DE1">
        <w:rPr>
          <w:rFonts w:cstheme="minorHAnsi"/>
          <w:sz w:val="24"/>
          <w:szCs w:val="24"/>
        </w:rPr>
        <w:t xml:space="preserve">(14) In this strategy, the capital allocated to each of the </w:t>
      </w:r>
      <m:oMath>
        <m:r>
          <w:rPr>
            <w:rFonts w:ascii="Cambria Math" w:hAnsi="Cambria Math" w:cstheme="minorHAnsi"/>
            <w:sz w:val="24"/>
            <w:szCs w:val="24"/>
          </w:rPr>
          <m:t>N</m:t>
        </m:r>
      </m:oMath>
      <w:r w:rsidRPr="00066DE1">
        <w:rPr>
          <w:rFonts w:cstheme="minorHAnsi"/>
          <w:sz w:val="24"/>
          <w:szCs w:val="24"/>
        </w:rPr>
        <w:t xml:space="preserve"> principal portfolios are such that the risk of each portfolio is the same. Since the eigenvalue of each portfolio is the variance </w:t>
      </w:r>
      <m:oMath>
        <m:sSub>
          <m:sSubPr>
            <m:ctrlPr>
              <w:rPr>
                <w:rFonts w:ascii="Cambria Math" w:hAnsi="Cambria Math" w:cstheme="minorHAnsi"/>
                <w:i/>
                <w:sz w:val="24"/>
                <w:szCs w:val="24"/>
              </w:rPr>
            </m:ctrlPr>
          </m:sSubPr>
          <m:e>
            <m:r>
              <w:rPr>
                <w:rFonts w:ascii="Cambria Math" w:hAnsi="Cambria Math" w:cstheme="minorHAnsi"/>
                <w:sz w:val="24"/>
                <w:szCs w:val="24"/>
              </w:rPr>
              <m:t>λ</m:t>
            </m:r>
          </m:e>
          <m:sub>
            <m:r>
              <w:rPr>
                <w:rFonts w:ascii="Cambria Math" w:hAnsi="Cambria Math" w:cstheme="minorHAnsi"/>
                <w:sz w:val="24"/>
                <w:szCs w:val="24"/>
              </w:rPr>
              <m:t>a</m:t>
            </m:r>
          </m:sub>
        </m:sSub>
      </m:oMath>
      <w:r w:rsidRPr="00066DE1">
        <w:rPr>
          <w:rFonts w:cstheme="minorHAnsi"/>
          <w:sz w:val="24"/>
          <w:szCs w:val="24"/>
        </w:rPr>
        <w:t xml:space="preserve">, the capital allocated to each portfolio is proportional to </w:t>
      </w:r>
      <m:oMath>
        <m:r>
          <w:rPr>
            <w:rFonts w:ascii="Cambria Math" w:hAnsi="Cambria Math" w:cstheme="minorHAnsi"/>
            <w:sz w:val="24"/>
            <w:szCs w:val="24"/>
          </w:rPr>
          <m:t>1/</m:t>
        </m:r>
        <m:rad>
          <m:radPr>
            <m:degHide m:val="1"/>
            <m:ctrlPr>
              <w:rPr>
                <w:rFonts w:ascii="Cambria Math" w:hAnsi="Cambria Math" w:cstheme="minorHAnsi"/>
                <w:i/>
                <w:sz w:val="24"/>
                <w:szCs w:val="24"/>
              </w:rPr>
            </m:ctrlPr>
          </m:radPr>
          <m:deg/>
          <m:e>
            <m:sSub>
              <m:sSubPr>
                <m:ctrlPr>
                  <w:rPr>
                    <w:rFonts w:ascii="Cambria Math" w:hAnsi="Cambria Math" w:cstheme="minorHAnsi"/>
                    <w:i/>
                    <w:sz w:val="24"/>
                    <w:szCs w:val="24"/>
                  </w:rPr>
                </m:ctrlPr>
              </m:sSubPr>
              <m:e>
                <m:r>
                  <w:rPr>
                    <w:rFonts w:ascii="Cambria Math" w:hAnsi="Cambria Math" w:cstheme="minorHAnsi"/>
                    <w:sz w:val="24"/>
                    <w:szCs w:val="24"/>
                  </w:rPr>
                  <m:t>λ</m:t>
                </m:r>
              </m:e>
              <m:sub>
                <m:r>
                  <w:rPr>
                    <w:rFonts w:ascii="Cambria Math" w:hAnsi="Cambria Math" w:cstheme="minorHAnsi"/>
                    <w:sz w:val="24"/>
                    <w:szCs w:val="24"/>
                  </w:rPr>
                  <m:t>a</m:t>
                </m:r>
              </m:sub>
            </m:sSub>
          </m:e>
        </m:rad>
        <m:r>
          <w:rPr>
            <w:rFonts w:ascii="Cambria Math" w:hAnsi="Cambria Math" w:cstheme="minorHAnsi"/>
            <w:sz w:val="24"/>
            <w:szCs w:val="24"/>
          </w:rPr>
          <m:t>.</m:t>
        </m:r>
      </m:oMath>
      <w:r w:rsidRPr="00066DE1">
        <w:rPr>
          <w:rFonts w:cstheme="minorHAnsi"/>
          <w:sz w:val="24"/>
          <w:szCs w:val="24"/>
        </w:rPr>
        <w:t xml:space="preserve"> Calculate the volume of stocks to be acquired. Which stocks in this strategy are in short positions? Then calculate the value of the strategy in column BC.</w:t>
      </w:r>
      <w:r w:rsidR="003F3FF8">
        <w:rPr>
          <w:rFonts w:cstheme="minorHAnsi"/>
          <w:sz w:val="24"/>
          <w:szCs w:val="24"/>
        </w:rPr>
        <w:t xml:space="preserve"> </w:t>
      </w:r>
      <w:r w:rsidR="003F3FF8">
        <w:rPr>
          <w:rFonts w:cstheme="minorHAnsi"/>
          <w:sz w:val="24"/>
          <w:szCs w:val="24"/>
        </w:rPr>
        <w:t>You are required to normalize the initial value to 1.</w:t>
      </w:r>
    </w:p>
    <w:p w14:paraId="515993AE" w14:textId="77777777" w:rsidR="00066DE1" w:rsidRPr="00066DE1" w:rsidRDefault="00066DE1" w:rsidP="00066DE1">
      <w:pPr>
        <w:jc w:val="both"/>
        <w:rPr>
          <w:rFonts w:cstheme="minorHAnsi"/>
          <w:b/>
          <w:sz w:val="24"/>
          <w:szCs w:val="24"/>
        </w:rPr>
      </w:pPr>
      <w:r w:rsidRPr="00066DE1">
        <w:rPr>
          <w:rFonts w:cstheme="minorHAnsi"/>
          <w:b/>
          <w:sz w:val="24"/>
          <w:szCs w:val="24"/>
        </w:rPr>
        <w:t>Comparison of the Strategies</w:t>
      </w:r>
    </w:p>
    <w:p w14:paraId="74835ADE" w14:textId="64CCA7E0" w:rsidR="00066DE1" w:rsidRPr="00066DE1" w:rsidRDefault="00066DE1" w:rsidP="00066DE1">
      <w:pPr>
        <w:jc w:val="both"/>
        <w:rPr>
          <w:rFonts w:cstheme="minorHAnsi"/>
          <w:sz w:val="24"/>
          <w:szCs w:val="24"/>
        </w:rPr>
      </w:pPr>
      <w:r w:rsidRPr="00066DE1">
        <w:rPr>
          <w:rFonts w:cstheme="minorHAnsi"/>
          <w:sz w:val="24"/>
          <w:szCs w:val="24"/>
        </w:rPr>
        <w:t xml:space="preserve">(15) Plot the </w:t>
      </w:r>
      <w:r w:rsidR="00C25BFF">
        <w:rPr>
          <w:rFonts w:cstheme="minorHAnsi"/>
          <w:sz w:val="24"/>
          <w:szCs w:val="24"/>
        </w:rPr>
        <w:t xml:space="preserve">daily </w:t>
      </w:r>
      <w:r w:rsidRPr="00066DE1">
        <w:rPr>
          <w:rFonts w:cstheme="minorHAnsi"/>
          <w:sz w:val="24"/>
          <w:szCs w:val="24"/>
        </w:rPr>
        <w:t>value</w:t>
      </w:r>
      <w:r w:rsidR="00C25BFF">
        <w:rPr>
          <w:rFonts w:cstheme="minorHAnsi"/>
          <w:sz w:val="24"/>
          <w:szCs w:val="24"/>
        </w:rPr>
        <w:t>s</w:t>
      </w:r>
      <w:r w:rsidRPr="00066DE1">
        <w:rPr>
          <w:rFonts w:cstheme="minorHAnsi"/>
          <w:sz w:val="24"/>
          <w:szCs w:val="24"/>
        </w:rPr>
        <w:t xml:space="preserve"> </w:t>
      </w:r>
      <w:r w:rsidR="00C25BFF">
        <w:rPr>
          <w:rFonts w:cstheme="minorHAnsi"/>
          <w:sz w:val="24"/>
          <w:szCs w:val="24"/>
        </w:rPr>
        <w:t xml:space="preserve">of the portfolios </w:t>
      </w:r>
      <w:r w:rsidRPr="00066DE1">
        <w:rPr>
          <w:rFonts w:cstheme="minorHAnsi"/>
          <w:sz w:val="24"/>
          <w:szCs w:val="24"/>
        </w:rPr>
        <w:t>of the 4 strategies. Comment on any observations you make</w:t>
      </w:r>
      <w:r w:rsidR="003F3FF8" w:rsidRPr="003F3FF8">
        <w:rPr>
          <w:rFonts w:cstheme="minorHAnsi"/>
          <w:sz w:val="24"/>
          <w:szCs w:val="24"/>
        </w:rPr>
        <w:t xml:space="preserve"> </w:t>
      </w:r>
      <w:r w:rsidR="003F3FF8">
        <w:rPr>
          <w:rFonts w:cstheme="minorHAnsi"/>
          <w:sz w:val="24"/>
          <w:szCs w:val="24"/>
        </w:rPr>
        <w:t>about the performance of the strategies</w:t>
      </w:r>
      <w:r w:rsidRPr="00066DE1">
        <w:rPr>
          <w:rFonts w:cstheme="minorHAnsi"/>
          <w:sz w:val="24"/>
          <w:szCs w:val="24"/>
        </w:rPr>
        <w:t>.</w:t>
      </w:r>
    </w:p>
    <w:p w14:paraId="6E41DCA0" w14:textId="6ED14B40" w:rsidR="00066DE1" w:rsidRPr="00066DE1" w:rsidRDefault="00B447E7" w:rsidP="00066DE1">
      <w:pPr>
        <w:jc w:val="both"/>
        <w:rPr>
          <w:rFonts w:cstheme="minorHAnsi"/>
          <w:sz w:val="24"/>
          <w:szCs w:val="24"/>
        </w:rPr>
      </w:pPr>
      <w:r>
        <w:rPr>
          <w:rFonts w:cstheme="minorHAnsi"/>
          <w:sz w:val="24"/>
          <w:szCs w:val="24"/>
        </w:rPr>
        <w:t xml:space="preserve">(16) </w:t>
      </w:r>
      <w:r w:rsidR="00066DE1" w:rsidRPr="00066DE1">
        <w:rPr>
          <w:rFonts w:cstheme="minorHAnsi"/>
          <w:sz w:val="24"/>
          <w:szCs w:val="24"/>
        </w:rPr>
        <w:t xml:space="preserve">The ability of the 4 strategies to reduce risks is compared by calculating the following parameters at the top of columns </w:t>
      </w:r>
      <w:r w:rsidR="005C7263">
        <w:rPr>
          <w:rFonts w:cstheme="minorHAnsi"/>
          <w:sz w:val="24"/>
          <w:szCs w:val="24"/>
        </w:rPr>
        <w:t>BB</w:t>
      </w:r>
      <w:r w:rsidR="00066DE1" w:rsidRPr="00066DE1">
        <w:rPr>
          <w:rFonts w:cstheme="minorHAnsi"/>
          <w:sz w:val="24"/>
          <w:szCs w:val="24"/>
        </w:rPr>
        <w:t xml:space="preserve"> to B</w:t>
      </w:r>
      <w:r w:rsidR="005C7263">
        <w:rPr>
          <w:rFonts w:cstheme="minorHAnsi"/>
          <w:sz w:val="24"/>
          <w:szCs w:val="24"/>
        </w:rPr>
        <w:t>E</w:t>
      </w:r>
      <w:r w:rsidR="00066DE1" w:rsidRPr="00066DE1">
        <w:rPr>
          <w:rFonts w:cstheme="minorHAnsi"/>
          <w:sz w:val="24"/>
          <w:szCs w:val="24"/>
        </w:rPr>
        <w:t>:</w:t>
      </w:r>
    </w:p>
    <w:p w14:paraId="6FB9C834" w14:textId="77777777" w:rsidR="00066DE1" w:rsidRPr="00066DE1" w:rsidRDefault="00066DE1" w:rsidP="00066DE1">
      <w:pPr>
        <w:ind w:firstLine="720"/>
        <w:jc w:val="both"/>
        <w:rPr>
          <w:rFonts w:cstheme="minorHAnsi"/>
          <w:sz w:val="24"/>
          <w:szCs w:val="24"/>
        </w:rPr>
      </w:pPr>
      <w:r w:rsidRPr="00066DE1">
        <w:rPr>
          <w:rFonts w:cstheme="minorHAnsi"/>
          <w:sz w:val="24"/>
          <w:szCs w:val="24"/>
        </w:rPr>
        <w:t>Gain (the final value divided by the initial value)</w:t>
      </w:r>
    </w:p>
    <w:p w14:paraId="45426A40" w14:textId="77777777" w:rsidR="00066DE1" w:rsidRPr="00066DE1" w:rsidRDefault="00066DE1" w:rsidP="00066DE1">
      <w:pPr>
        <w:ind w:firstLine="720"/>
        <w:jc w:val="both"/>
        <w:rPr>
          <w:rFonts w:cstheme="minorHAnsi"/>
          <w:sz w:val="24"/>
          <w:szCs w:val="24"/>
        </w:rPr>
      </w:pPr>
      <w:r w:rsidRPr="00066DE1">
        <w:rPr>
          <w:rFonts w:cstheme="minorHAnsi"/>
          <w:sz w:val="24"/>
          <w:szCs w:val="24"/>
        </w:rPr>
        <w:t>Standard deviation</w:t>
      </w:r>
    </w:p>
    <w:p w14:paraId="1FF300BA" w14:textId="77777777" w:rsidR="00066DE1" w:rsidRPr="00066DE1" w:rsidRDefault="00066DE1" w:rsidP="00066DE1">
      <w:pPr>
        <w:ind w:firstLine="720"/>
        <w:jc w:val="both"/>
        <w:rPr>
          <w:rFonts w:cstheme="minorHAnsi"/>
          <w:sz w:val="24"/>
          <w:szCs w:val="24"/>
        </w:rPr>
      </w:pPr>
      <w:r w:rsidRPr="00066DE1">
        <w:rPr>
          <w:rFonts w:cstheme="minorHAnsi"/>
          <w:sz w:val="24"/>
          <w:szCs w:val="24"/>
        </w:rPr>
        <w:t>Minimum value (divided by the initial value)</w:t>
      </w:r>
    </w:p>
    <w:p w14:paraId="486FB37D" w14:textId="580C7510" w:rsidR="00066DE1" w:rsidRPr="00066DE1" w:rsidRDefault="00066DE1" w:rsidP="00066DE1">
      <w:pPr>
        <w:jc w:val="both"/>
        <w:rPr>
          <w:rFonts w:cstheme="minorHAnsi"/>
          <w:sz w:val="24"/>
          <w:szCs w:val="24"/>
        </w:rPr>
      </w:pPr>
      <w:r w:rsidRPr="00066DE1">
        <w:rPr>
          <w:rFonts w:cstheme="minorHAnsi"/>
          <w:sz w:val="24"/>
          <w:szCs w:val="24"/>
        </w:rPr>
        <w:t>Comment on any observations you make</w:t>
      </w:r>
      <w:r w:rsidR="003F3FF8" w:rsidRPr="003F3FF8">
        <w:rPr>
          <w:rFonts w:cstheme="minorHAnsi"/>
          <w:sz w:val="24"/>
          <w:szCs w:val="24"/>
        </w:rPr>
        <w:t xml:space="preserve"> </w:t>
      </w:r>
      <w:r w:rsidR="003F3FF8">
        <w:rPr>
          <w:rFonts w:cstheme="minorHAnsi"/>
          <w:sz w:val="24"/>
          <w:szCs w:val="24"/>
        </w:rPr>
        <w:t>about the performance of the strategies</w:t>
      </w:r>
      <w:r w:rsidRPr="00066DE1">
        <w:rPr>
          <w:rFonts w:cstheme="minorHAnsi"/>
          <w:sz w:val="24"/>
          <w:szCs w:val="24"/>
        </w:rPr>
        <w:t>.</w:t>
      </w:r>
    </w:p>
    <w:p w14:paraId="0C0BF7F5" w14:textId="209D28CA" w:rsidR="00066DE1" w:rsidRDefault="00066DE1" w:rsidP="00066DE1">
      <w:pPr>
        <w:jc w:val="both"/>
        <w:rPr>
          <w:rFonts w:cstheme="minorHAnsi"/>
          <w:sz w:val="24"/>
          <w:szCs w:val="24"/>
        </w:rPr>
      </w:pPr>
      <w:r w:rsidRPr="00066DE1">
        <w:rPr>
          <w:rFonts w:cstheme="minorHAnsi"/>
          <w:sz w:val="24"/>
          <w:szCs w:val="24"/>
        </w:rPr>
        <w:t>Remark: In practice, the real test of the performance of the strategies should be done with a different data set (for example, data collected after November 202</w:t>
      </w:r>
      <w:r w:rsidR="004926D8">
        <w:rPr>
          <w:rFonts w:cstheme="minorHAnsi"/>
          <w:sz w:val="24"/>
          <w:szCs w:val="24"/>
        </w:rPr>
        <w:t>1</w:t>
      </w:r>
      <w:r w:rsidRPr="00066DE1">
        <w:rPr>
          <w:rFonts w:cstheme="minorHAnsi"/>
          <w:sz w:val="24"/>
          <w:szCs w:val="24"/>
        </w:rPr>
        <w:t>).</w:t>
      </w:r>
    </w:p>
    <w:p w14:paraId="48329D42" w14:textId="6F6E137D" w:rsidR="00B447E7" w:rsidRDefault="00B447E7" w:rsidP="00B447E7">
      <w:pPr>
        <w:jc w:val="both"/>
        <w:rPr>
          <w:rFonts w:cstheme="minorHAnsi"/>
          <w:sz w:val="24"/>
          <w:szCs w:val="24"/>
        </w:rPr>
      </w:pPr>
      <w:r>
        <w:rPr>
          <w:rFonts w:cstheme="minorHAnsi"/>
          <w:sz w:val="24"/>
          <w:szCs w:val="24"/>
        </w:rPr>
        <w:t xml:space="preserve">(17) </w:t>
      </w:r>
      <w:r w:rsidR="00D847EE">
        <w:rPr>
          <w:rFonts w:cstheme="minorHAnsi"/>
          <w:sz w:val="24"/>
          <w:szCs w:val="24"/>
        </w:rPr>
        <w:t xml:space="preserve">The standard deviation is not informative of the risk when the price has a trend. </w:t>
      </w:r>
      <w:r>
        <w:rPr>
          <w:rFonts w:cstheme="minorHAnsi"/>
          <w:sz w:val="24"/>
          <w:szCs w:val="24"/>
        </w:rPr>
        <w:t>Another common risk measure is the beta coefficient, or systematic risk, defined as</w:t>
      </w:r>
    </w:p>
    <w:p w14:paraId="66D2511D" w14:textId="15E01654" w:rsidR="00B447E7" w:rsidRPr="009D40D9" w:rsidRDefault="009D40D9" w:rsidP="00B447E7">
      <w:pPr>
        <w:jc w:val="both"/>
        <w:rPr>
          <w:rFonts w:cstheme="minorHAnsi"/>
          <w:iCs/>
          <w:sz w:val="24"/>
          <w:szCs w:val="24"/>
        </w:rPr>
      </w:pPr>
      <m:oMathPara>
        <m:oMath>
          <m:r>
            <w:rPr>
              <w:rFonts w:ascii="Cambria Math" w:hAnsi="Cambria Math" w:cstheme="minorHAnsi"/>
              <w:sz w:val="24"/>
              <w:szCs w:val="24"/>
            </w:rPr>
            <m:t>β=</m:t>
          </m:r>
          <m:f>
            <m:fPr>
              <m:ctrlPr>
                <w:rPr>
                  <w:rFonts w:ascii="Cambria Math" w:hAnsi="Cambria Math" w:cstheme="minorHAnsi"/>
                  <w:iCs/>
                  <w:sz w:val="24"/>
                  <w:szCs w:val="24"/>
                </w:rPr>
              </m:ctrlPr>
            </m:fPr>
            <m:num>
              <m:r>
                <m:rPr>
                  <m:sty m:val="p"/>
                </m:rPr>
                <w:rPr>
                  <w:rFonts w:ascii="Cambria Math" w:hAnsi="Cambria Math" w:cstheme="minorHAnsi"/>
                  <w:sz w:val="24"/>
                  <w:szCs w:val="24"/>
                </w:rPr>
                <m:t>covariance(portfolio return, market return)</m:t>
              </m:r>
            </m:num>
            <m:den>
              <m:r>
                <m:rPr>
                  <m:sty m:val="p"/>
                </m:rPr>
                <w:rPr>
                  <w:rFonts w:ascii="Cambria Math" w:hAnsi="Cambria Math" w:cstheme="minorHAnsi"/>
                  <w:sz w:val="24"/>
                  <w:szCs w:val="24"/>
                </w:rPr>
                <m:t>variance(market return)</m:t>
              </m:r>
            </m:den>
          </m:f>
          <m:r>
            <w:rPr>
              <w:rFonts w:ascii="Cambria Math" w:hAnsi="Cambria Math" w:cstheme="minorHAnsi"/>
              <w:sz w:val="24"/>
              <w:szCs w:val="24"/>
            </w:rPr>
            <m:t>.</m:t>
          </m:r>
        </m:oMath>
      </m:oMathPara>
    </w:p>
    <w:p w14:paraId="2E58F22C" w14:textId="674E3FED" w:rsidR="00706F4C" w:rsidRDefault="00706F4C" w:rsidP="00B447E7">
      <w:pPr>
        <w:jc w:val="both"/>
        <w:rPr>
          <w:rFonts w:cstheme="minorHAnsi"/>
          <w:iCs/>
          <w:sz w:val="24"/>
          <w:szCs w:val="24"/>
        </w:rPr>
      </w:pPr>
      <w:r>
        <w:rPr>
          <w:rFonts w:cstheme="minorHAnsi"/>
          <w:iCs/>
          <w:sz w:val="24"/>
          <w:szCs w:val="24"/>
        </w:rPr>
        <w:t xml:space="preserve">Calculate </w:t>
      </w:r>
      <m:oMath>
        <m:r>
          <w:rPr>
            <w:rFonts w:ascii="Cambria Math" w:hAnsi="Cambria Math" w:cstheme="minorHAnsi"/>
            <w:sz w:val="24"/>
            <w:szCs w:val="24"/>
          </w:rPr>
          <m:t>β</m:t>
        </m:r>
      </m:oMath>
      <w:r>
        <w:rPr>
          <w:rFonts w:cstheme="minorHAnsi"/>
          <w:iCs/>
          <w:sz w:val="24"/>
          <w:szCs w:val="24"/>
        </w:rPr>
        <w:t xml:space="preserve"> of the 4 strategies from: </w:t>
      </w:r>
      <w:r w:rsidR="009D40D9">
        <w:rPr>
          <w:rFonts w:cstheme="minorHAnsi"/>
          <w:iCs/>
          <w:sz w:val="24"/>
          <w:szCs w:val="24"/>
        </w:rPr>
        <w:t xml:space="preserve">the covariance of the daily returns of the </w:t>
      </w:r>
      <w:r>
        <w:rPr>
          <w:rFonts w:cstheme="minorHAnsi"/>
          <w:iCs/>
          <w:sz w:val="24"/>
          <w:szCs w:val="24"/>
        </w:rPr>
        <w:t xml:space="preserve">strategies </w:t>
      </w:r>
      <w:r w:rsidR="009D40D9">
        <w:rPr>
          <w:rFonts w:cstheme="minorHAnsi"/>
          <w:iCs/>
          <w:sz w:val="24"/>
          <w:szCs w:val="24"/>
        </w:rPr>
        <w:t>and the daily returns of the market (S&amp;P 500) averaged over the one-year period, and the variance of the daily returns of the market, also averaged over the one-year period.</w:t>
      </w:r>
      <w:r>
        <w:rPr>
          <w:rFonts w:cstheme="minorHAnsi"/>
          <w:iCs/>
          <w:sz w:val="24"/>
          <w:szCs w:val="24"/>
        </w:rPr>
        <w:t xml:space="preserve"> The Excel commands COVARIANCE.P and VAR are useful.</w:t>
      </w:r>
    </w:p>
    <w:p w14:paraId="24921FD9" w14:textId="77777777" w:rsidR="003F3FF8" w:rsidRDefault="003F3FF8" w:rsidP="003F3FF8">
      <w:pPr>
        <w:jc w:val="both"/>
        <w:rPr>
          <w:rFonts w:cstheme="minorHAnsi"/>
          <w:iCs/>
          <w:sz w:val="24"/>
          <w:szCs w:val="24"/>
        </w:rPr>
      </w:pPr>
      <w:r>
        <w:rPr>
          <w:rFonts w:cstheme="minorHAnsi"/>
          <w:iCs/>
          <w:sz w:val="24"/>
          <w:szCs w:val="24"/>
        </w:rPr>
        <w:t>Remark: Since S&amp;P 500 indices exceed 1,000, the csv file contains 1000 separators (,). This misleads pd.read_csv to recognize the numbers as strings instead of floats. You may need to remove the 1000 separators to convert the strings to floats.</w:t>
      </w:r>
    </w:p>
    <w:p w14:paraId="5BB6CEB5" w14:textId="3BFAEAD5" w:rsidR="009D40D9" w:rsidRDefault="00706F4C" w:rsidP="00B447E7">
      <w:pPr>
        <w:jc w:val="both"/>
        <w:rPr>
          <w:rFonts w:cstheme="minorHAnsi"/>
          <w:iCs/>
          <w:sz w:val="24"/>
          <w:szCs w:val="24"/>
        </w:rPr>
      </w:pPr>
      <w:r>
        <w:rPr>
          <w:rFonts w:cstheme="minorHAnsi"/>
          <w:iCs/>
          <w:sz w:val="24"/>
          <w:szCs w:val="24"/>
        </w:rPr>
        <w:lastRenderedPageBreak/>
        <w:t>Comment on any observations you make</w:t>
      </w:r>
      <w:r w:rsidR="003F3FF8" w:rsidRPr="003F3FF8">
        <w:rPr>
          <w:rFonts w:cstheme="minorHAnsi"/>
          <w:iCs/>
          <w:sz w:val="24"/>
          <w:szCs w:val="24"/>
        </w:rPr>
        <w:t xml:space="preserve"> </w:t>
      </w:r>
      <w:r w:rsidR="003F3FF8">
        <w:rPr>
          <w:rFonts w:cstheme="minorHAnsi"/>
          <w:iCs/>
          <w:sz w:val="24"/>
          <w:szCs w:val="24"/>
        </w:rPr>
        <w:t xml:space="preserve">about </w:t>
      </w:r>
      <m:oMath>
        <m:r>
          <w:rPr>
            <w:rFonts w:ascii="Cambria Math" w:hAnsi="Cambria Math" w:cstheme="minorHAnsi"/>
            <w:sz w:val="24"/>
            <w:szCs w:val="24"/>
          </w:rPr>
          <m:t>β</m:t>
        </m:r>
      </m:oMath>
      <w:r>
        <w:rPr>
          <w:rFonts w:cstheme="minorHAnsi"/>
          <w:iCs/>
          <w:sz w:val="24"/>
          <w:szCs w:val="24"/>
        </w:rPr>
        <w:t>.</w:t>
      </w:r>
    </w:p>
    <w:p w14:paraId="01D34C71" w14:textId="5E1498C7" w:rsidR="003F3FF8" w:rsidRPr="003F3FF8" w:rsidRDefault="00F17A62" w:rsidP="00B447E7">
      <w:pPr>
        <w:jc w:val="both"/>
        <w:rPr>
          <w:rFonts w:cstheme="minorHAnsi"/>
          <w:b/>
          <w:bCs/>
          <w:iCs/>
          <w:sz w:val="24"/>
          <w:szCs w:val="24"/>
        </w:rPr>
      </w:pPr>
      <w:r w:rsidRPr="003F3FF8">
        <w:rPr>
          <w:rFonts w:cstheme="minorHAnsi"/>
          <w:b/>
          <w:bCs/>
          <w:iCs/>
          <w:sz w:val="24"/>
          <w:szCs w:val="24"/>
        </w:rPr>
        <w:t>Back testing</w:t>
      </w:r>
      <w:r w:rsidR="003F3FF8" w:rsidRPr="003F3FF8">
        <w:rPr>
          <w:rFonts w:cstheme="minorHAnsi"/>
          <w:b/>
          <w:bCs/>
          <w:iCs/>
          <w:sz w:val="24"/>
          <w:szCs w:val="24"/>
        </w:rPr>
        <w:t xml:space="preserve"> of the strategies</w:t>
      </w:r>
    </w:p>
    <w:p w14:paraId="1A1EE651" w14:textId="3805F3A2" w:rsidR="003F3FF8" w:rsidRDefault="003F3FF8" w:rsidP="00B447E7">
      <w:pPr>
        <w:jc w:val="both"/>
        <w:rPr>
          <w:rFonts w:cstheme="minorHAnsi"/>
          <w:iCs/>
          <w:sz w:val="24"/>
          <w:szCs w:val="24"/>
        </w:rPr>
      </w:pPr>
      <w:r>
        <w:rPr>
          <w:rFonts w:cstheme="minorHAnsi"/>
          <w:iCs/>
          <w:sz w:val="24"/>
          <w:szCs w:val="24"/>
        </w:rPr>
        <w:t>(18) The performance of the strategies should be back</w:t>
      </w:r>
      <w:r w:rsidR="00F17A62">
        <w:rPr>
          <w:rFonts w:cstheme="minorHAnsi"/>
          <w:iCs/>
          <w:sz w:val="24"/>
          <w:szCs w:val="24"/>
        </w:rPr>
        <w:t xml:space="preserve"> </w:t>
      </w:r>
      <w:r>
        <w:rPr>
          <w:rFonts w:cstheme="minorHAnsi"/>
          <w:iCs/>
          <w:sz w:val="24"/>
          <w:szCs w:val="24"/>
        </w:rPr>
        <w:t xml:space="preserve">tested by an independent set of data. Hence, download the daily adjusted closing price of the </w:t>
      </w:r>
      <w:r w:rsidR="00F17A62">
        <w:rPr>
          <w:rFonts w:cstheme="minorHAnsi"/>
          <w:iCs/>
          <w:sz w:val="24"/>
          <w:szCs w:val="24"/>
        </w:rPr>
        <w:t>above 10 stocks and Hang Seng index from</w:t>
      </w:r>
      <w:r w:rsidR="00F17A62" w:rsidRPr="00066DE1">
        <w:rPr>
          <w:rFonts w:cstheme="minorHAnsi"/>
          <w:sz w:val="24"/>
          <w:szCs w:val="24"/>
        </w:rPr>
        <w:t xml:space="preserve"> </w:t>
      </w:r>
      <w:r w:rsidR="00F17A62">
        <w:rPr>
          <w:rFonts w:cstheme="minorHAnsi"/>
          <w:sz w:val="24"/>
          <w:szCs w:val="24"/>
        </w:rPr>
        <w:t xml:space="preserve">30 November </w:t>
      </w:r>
      <w:r w:rsidR="00F17A62" w:rsidRPr="00066DE1">
        <w:rPr>
          <w:rFonts w:cstheme="minorHAnsi"/>
          <w:sz w:val="24"/>
          <w:szCs w:val="24"/>
        </w:rPr>
        <w:t>20</w:t>
      </w:r>
      <w:r w:rsidR="00F17A62">
        <w:rPr>
          <w:rFonts w:cstheme="minorHAnsi"/>
          <w:sz w:val="24"/>
          <w:szCs w:val="24"/>
        </w:rPr>
        <w:t>1</w:t>
      </w:r>
      <w:r w:rsidR="00F17A62">
        <w:rPr>
          <w:rFonts w:cstheme="minorHAnsi"/>
          <w:sz w:val="24"/>
          <w:szCs w:val="24"/>
        </w:rPr>
        <w:t>9</w:t>
      </w:r>
      <w:r w:rsidR="00F17A62" w:rsidRPr="00066DE1">
        <w:rPr>
          <w:rFonts w:cstheme="minorHAnsi"/>
          <w:sz w:val="24"/>
          <w:szCs w:val="24"/>
        </w:rPr>
        <w:t xml:space="preserve"> to </w:t>
      </w:r>
      <w:r w:rsidR="00F17A62">
        <w:rPr>
          <w:rFonts w:cstheme="minorHAnsi"/>
          <w:sz w:val="24"/>
          <w:szCs w:val="24"/>
        </w:rPr>
        <w:t>29</w:t>
      </w:r>
      <w:r w:rsidR="00F17A62" w:rsidRPr="00066DE1">
        <w:rPr>
          <w:rFonts w:cstheme="minorHAnsi"/>
          <w:sz w:val="24"/>
          <w:szCs w:val="24"/>
        </w:rPr>
        <w:t xml:space="preserve"> November 20</w:t>
      </w:r>
      <w:r w:rsidR="00F17A62">
        <w:rPr>
          <w:rFonts w:cstheme="minorHAnsi"/>
          <w:sz w:val="24"/>
          <w:szCs w:val="24"/>
        </w:rPr>
        <w:t>20</w:t>
      </w:r>
      <w:r w:rsidR="00F17A62" w:rsidRPr="00066DE1">
        <w:rPr>
          <w:rFonts w:cstheme="minorHAnsi"/>
          <w:sz w:val="24"/>
          <w:szCs w:val="24"/>
        </w:rPr>
        <w:t>.</w:t>
      </w:r>
      <w:r w:rsidR="00F17A62">
        <w:rPr>
          <w:rFonts w:cstheme="minorHAnsi"/>
          <w:sz w:val="24"/>
          <w:szCs w:val="24"/>
        </w:rPr>
        <w:t xml:space="preserve"> Using the 4 strategies determined from the previous years to calculate and plot the daily value</w:t>
      </w:r>
      <w:r w:rsidR="00C25BFF">
        <w:rPr>
          <w:rFonts w:cstheme="minorHAnsi"/>
          <w:sz w:val="24"/>
          <w:szCs w:val="24"/>
        </w:rPr>
        <w:t>s</w:t>
      </w:r>
      <w:r w:rsidR="00F17A62">
        <w:rPr>
          <w:rFonts w:cstheme="minorHAnsi"/>
          <w:sz w:val="24"/>
          <w:szCs w:val="24"/>
        </w:rPr>
        <w:t xml:space="preserve"> of the portfolios (the variance, eigenvalues and eigenvectors should be determined from the data of the previous year). Comment on any observations you make about the performance of the strategies.</w:t>
      </w:r>
    </w:p>
    <w:p w14:paraId="6FF9826F" w14:textId="77777777" w:rsidR="00706F4C" w:rsidRDefault="00706F4C">
      <w:pPr>
        <w:rPr>
          <w:rFonts w:cstheme="minorHAnsi"/>
          <w:sz w:val="24"/>
          <w:szCs w:val="24"/>
        </w:rPr>
      </w:pPr>
      <w:r>
        <w:rPr>
          <w:rFonts w:cstheme="minorHAnsi"/>
          <w:sz w:val="24"/>
          <w:szCs w:val="24"/>
        </w:rPr>
        <w:br w:type="page"/>
      </w:r>
    </w:p>
    <w:p w14:paraId="423422A2" w14:textId="595A158C" w:rsidR="00066DE1" w:rsidRDefault="00066DE1" w:rsidP="00066DE1">
      <w:pPr>
        <w:jc w:val="both"/>
        <w:rPr>
          <w:rFonts w:cstheme="minorHAnsi"/>
          <w:sz w:val="24"/>
          <w:szCs w:val="24"/>
        </w:rPr>
      </w:pPr>
      <w:r w:rsidRPr="00066DE1">
        <w:rPr>
          <w:rFonts w:cstheme="minorHAnsi"/>
          <w:sz w:val="24"/>
          <w:szCs w:val="24"/>
        </w:rPr>
        <w:lastRenderedPageBreak/>
        <w:t>For your further insights and interest, the names of the stocks are listed below:</w:t>
      </w:r>
    </w:p>
    <w:tbl>
      <w:tblPr>
        <w:tblW w:w="7282" w:type="dxa"/>
        <w:jc w:val="center"/>
        <w:tblBorders>
          <w:top w:val="outset" w:sz="6" w:space="0" w:color="5555FF"/>
          <w:left w:val="outset" w:sz="6" w:space="0" w:color="5555FF"/>
          <w:bottom w:val="outset" w:sz="6" w:space="0" w:color="5555FF"/>
          <w:right w:val="outset" w:sz="6" w:space="0" w:color="5555FF"/>
        </w:tblBorders>
        <w:shd w:val="clear" w:color="auto" w:fill="FFFFFF"/>
        <w:tblCellMar>
          <w:top w:w="60" w:type="dxa"/>
          <w:left w:w="60" w:type="dxa"/>
          <w:bottom w:w="60" w:type="dxa"/>
          <w:right w:w="60" w:type="dxa"/>
        </w:tblCellMar>
        <w:tblLook w:val="04A0" w:firstRow="1" w:lastRow="0" w:firstColumn="1" w:lastColumn="0" w:noHBand="0" w:noVBand="1"/>
      </w:tblPr>
      <w:tblGrid>
        <w:gridCol w:w="881"/>
        <w:gridCol w:w="4511"/>
        <w:gridCol w:w="1890"/>
      </w:tblGrid>
      <w:tr w:rsidR="008E143C" w:rsidRPr="00AD282B" w14:paraId="308CB11E" w14:textId="5D40245F" w:rsidTr="008E143C">
        <w:trPr>
          <w:jc w:val="center"/>
        </w:trPr>
        <w:tc>
          <w:tcPr>
            <w:tcW w:w="0" w:type="auto"/>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652184A5" w14:textId="4BFB65CC" w:rsidR="008E143C" w:rsidRPr="00071E52" w:rsidRDefault="008E143C" w:rsidP="008E143C">
            <w:pPr>
              <w:spacing w:after="0" w:line="240" w:lineRule="auto"/>
              <w:rPr>
                <w:rFonts w:eastAsia="Times New Roman" w:cstheme="minorHAnsi"/>
                <w:sz w:val="24"/>
                <w:szCs w:val="24"/>
              </w:rPr>
            </w:pPr>
            <w:r>
              <w:rPr>
                <w:rFonts w:cstheme="minorHAnsi"/>
                <w:sz w:val="24"/>
                <w:szCs w:val="24"/>
              </w:rPr>
              <w:t>HK0001</w:t>
            </w:r>
          </w:p>
        </w:tc>
        <w:tc>
          <w:tcPr>
            <w:tcW w:w="4511" w:type="dxa"/>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51EA9CC2" w14:textId="7881F448" w:rsidR="008E143C" w:rsidRPr="00071E52" w:rsidRDefault="008E143C" w:rsidP="008E143C">
            <w:pPr>
              <w:spacing w:after="0" w:line="240" w:lineRule="auto"/>
              <w:rPr>
                <w:rFonts w:eastAsia="Times New Roman" w:cstheme="minorHAnsi"/>
                <w:sz w:val="24"/>
                <w:szCs w:val="24"/>
              </w:rPr>
            </w:pPr>
            <w:r>
              <w:rPr>
                <w:rFonts w:eastAsia="Times New Roman" w:cstheme="minorHAnsi"/>
                <w:sz w:val="24"/>
                <w:szCs w:val="24"/>
              </w:rPr>
              <w:t>CK Hutchison Holdings Limited</w:t>
            </w:r>
          </w:p>
        </w:tc>
        <w:tc>
          <w:tcPr>
            <w:tcW w:w="1890" w:type="dxa"/>
            <w:tcBorders>
              <w:top w:val="outset" w:sz="6" w:space="0" w:color="5555FF"/>
              <w:left w:val="outset" w:sz="6" w:space="0" w:color="5555FF"/>
              <w:bottom w:val="outset" w:sz="6" w:space="0" w:color="5555FF"/>
              <w:right w:val="outset" w:sz="6" w:space="0" w:color="5555FF"/>
            </w:tcBorders>
            <w:shd w:val="clear" w:color="auto" w:fill="FFFFFF"/>
          </w:tcPr>
          <w:p w14:paraId="00C049AD" w14:textId="55DFA0DE" w:rsidR="008E143C" w:rsidRDefault="008E143C" w:rsidP="008E143C">
            <w:pPr>
              <w:spacing w:after="0" w:line="240" w:lineRule="auto"/>
              <w:rPr>
                <w:rFonts w:eastAsia="Times New Roman" w:cstheme="minorHAnsi"/>
                <w:sz w:val="24"/>
                <w:szCs w:val="24"/>
              </w:rPr>
            </w:pPr>
            <w:r w:rsidRPr="009310EB">
              <w:rPr>
                <w:rFonts w:hint="eastAsia"/>
              </w:rPr>
              <w:t>長和</w:t>
            </w:r>
          </w:p>
        </w:tc>
      </w:tr>
      <w:tr w:rsidR="008E143C" w:rsidRPr="00AD282B" w14:paraId="3A5A304C" w14:textId="6BD71A4E" w:rsidTr="008E143C">
        <w:trPr>
          <w:jc w:val="center"/>
        </w:trPr>
        <w:tc>
          <w:tcPr>
            <w:tcW w:w="0" w:type="auto"/>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2073A24B" w14:textId="6F7BCD1D" w:rsidR="008E143C" w:rsidRPr="00071E52" w:rsidRDefault="008E143C" w:rsidP="008E143C">
            <w:pPr>
              <w:spacing w:after="0" w:line="240" w:lineRule="auto"/>
              <w:rPr>
                <w:rFonts w:eastAsia="Times New Roman" w:cstheme="minorHAnsi"/>
                <w:sz w:val="24"/>
                <w:szCs w:val="24"/>
              </w:rPr>
            </w:pPr>
            <w:r>
              <w:rPr>
                <w:rFonts w:eastAsia="Times New Roman" w:cstheme="minorHAnsi"/>
                <w:sz w:val="24"/>
                <w:szCs w:val="24"/>
              </w:rPr>
              <w:t>HK0002</w:t>
            </w:r>
          </w:p>
        </w:tc>
        <w:tc>
          <w:tcPr>
            <w:tcW w:w="4511" w:type="dxa"/>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0F25DB49" w14:textId="39C70498" w:rsidR="008E143C" w:rsidRPr="00071E52" w:rsidRDefault="008E143C" w:rsidP="008E143C">
            <w:pPr>
              <w:spacing w:after="0" w:line="240" w:lineRule="auto"/>
              <w:rPr>
                <w:rFonts w:cstheme="minorHAnsi"/>
                <w:sz w:val="24"/>
                <w:szCs w:val="24"/>
              </w:rPr>
            </w:pPr>
            <w:r>
              <w:t>CLP Holdings Limited</w:t>
            </w:r>
          </w:p>
        </w:tc>
        <w:tc>
          <w:tcPr>
            <w:tcW w:w="1890" w:type="dxa"/>
            <w:tcBorders>
              <w:top w:val="outset" w:sz="6" w:space="0" w:color="5555FF"/>
              <w:left w:val="outset" w:sz="6" w:space="0" w:color="5555FF"/>
              <w:bottom w:val="outset" w:sz="6" w:space="0" w:color="5555FF"/>
              <w:right w:val="outset" w:sz="6" w:space="0" w:color="5555FF"/>
            </w:tcBorders>
            <w:shd w:val="clear" w:color="auto" w:fill="FFFFFF"/>
          </w:tcPr>
          <w:p w14:paraId="361925D6" w14:textId="7F2B5629" w:rsidR="008E143C" w:rsidRDefault="008E143C" w:rsidP="008E143C">
            <w:pPr>
              <w:spacing w:after="0" w:line="240" w:lineRule="auto"/>
            </w:pPr>
            <w:r w:rsidRPr="009310EB">
              <w:rPr>
                <w:rFonts w:hint="eastAsia"/>
              </w:rPr>
              <w:t>中電控股</w:t>
            </w:r>
          </w:p>
        </w:tc>
      </w:tr>
      <w:tr w:rsidR="008E143C" w:rsidRPr="00AD282B" w14:paraId="77392B47" w14:textId="7DCD5FBA" w:rsidTr="008E143C">
        <w:trPr>
          <w:jc w:val="center"/>
        </w:trPr>
        <w:tc>
          <w:tcPr>
            <w:tcW w:w="0" w:type="auto"/>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30FBB6F7" w14:textId="0735F667" w:rsidR="008E143C" w:rsidRPr="00071E52" w:rsidRDefault="008E143C" w:rsidP="008E143C">
            <w:pPr>
              <w:spacing w:after="0" w:line="240" w:lineRule="auto"/>
              <w:rPr>
                <w:rFonts w:eastAsia="Times New Roman" w:cstheme="minorHAnsi"/>
                <w:sz w:val="24"/>
                <w:szCs w:val="24"/>
              </w:rPr>
            </w:pPr>
            <w:r>
              <w:rPr>
                <w:rFonts w:eastAsia="Times New Roman" w:cstheme="minorHAnsi"/>
                <w:sz w:val="24"/>
                <w:szCs w:val="24"/>
              </w:rPr>
              <w:t>HK0003</w:t>
            </w:r>
          </w:p>
        </w:tc>
        <w:tc>
          <w:tcPr>
            <w:tcW w:w="4511" w:type="dxa"/>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43A6F606" w14:textId="00733225" w:rsidR="008E143C" w:rsidRPr="00071E52" w:rsidRDefault="008E143C" w:rsidP="008E143C">
            <w:pPr>
              <w:spacing w:after="0" w:line="240" w:lineRule="auto"/>
              <w:rPr>
                <w:rFonts w:cstheme="minorHAnsi"/>
                <w:sz w:val="24"/>
                <w:szCs w:val="24"/>
              </w:rPr>
            </w:pPr>
            <w:r>
              <w:t>The Hong Kong and China Gas Company Limited</w:t>
            </w:r>
          </w:p>
        </w:tc>
        <w:tc>
          <w:tcPr>
            <w:tcW w:w="1890" w:type="dxa"/>
            <w:tcBorders>
              <w:top w:val="outset" w:sz="6" w:space="0" w:color="5555FF"/>
              <w:left w:val="outset" w:sz="6" w:space="0" w:color="5555FF"/>
              <w:bottom w:val="outset" w:sz="6" w:space="0" w:color="5555FF"/>
              <w:right w:val="outset" w:sz="6" w:space="0" w:color="5555FF"/>
            </w:tcBorders>
            <w:shd w:val="clear" w:color="auto" w:fill="FFFFFF"/>
          </w:tcPr>
          <w:p w14:paraId="4ADE4C5E" w14:textId="3C956A37" w:rsidR="008E143C" w:rsidRDefault="008E143C" w:rsidP="008E143C">
            <w:pPr>
              <w:spacing w:after="0" w:line="240" w:lineRule="auto"/>
            </w:pPr>
            <w:r w:rsidRPr="009310EB">
              <w:rPr>
                <w:rFonts w:hint="eastAsia"/>
              </w:rPr>
              <w:t>香港中華煤氣</w:t>
            </w:r>
          </w:p>
        </w:tc>
      </w:tr>
      <w:tr w:rsidR="008E143C" w:rsidRPr="00AD282B" w14:paraId="0BA40D76" w14:textId="4D249E45" w:rsidTr="008E143C">
        <w:trPr>
          <w:jc w:val="center"/>
        </w:trPr>
        <w:tc>
          <w:tcPr>
            <w:tcW w:w="0" w:type="auto"/>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673E4098" w14:textId="3ABE45D0" w:rsidR="008E143C" w:rsidRPr="00071E52" w:rsidRDefault="008E143C" w:rsidP="008E143C">
            <w:pPr>
              <w:spacing w:after="0" w:line="240" w:lineRule="auto"/>
              <w:rPr>
                <w:rFonts w:eastAsia="Times New Roman" w:cstheme="minorHAnsi"/>
                <w:sz w:val="24"/>
                <w:szCs w:val="24"/>
              </w:rPr>
            </w:pPr>
            <w:r>
              <w:rPr>
                <w:rFonts w:eastAsia="Times New Roman" w:cstheme="minorHAnsi"/>
                <w:sz w:val="24"/>
                <w:szCs w:val="24"/>
              </w:rPr>
              <w:t>HK0005</w:t>
            </w:r>
          </w:p>
        </w:tc>
        <w:tc>
          <w:tcPr>
            <w:tcW w:w="4511" w:type="dxa"/>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5A410685" w14:textId="788606C2" w:rsidR="008E143C" w:rsidRPr="00071E52" w:rsidRDefault="008E143C" w:rsidP="008E143C">
            <w:pPr>
              <w:spacing w:after="0" w:line="240" w:lineRule="auto"/>
              <w:rPr>
                <w:rFonts w:eastAsia="Times New Roman" w:cstheme="minorHAnsi"/>
                <w:sz w:val="24"/>
                <w:szCs w:val="24"/>
              </w:rPr>
            </w:pPr>
            <w:r>
              <w:t>HSBC Holdings plc</w:t>
            </w:r>
            <w:r w:rsidRPr="00071E52">
              <w:rPr>
                <w:rFonts w:eastAsia="Times New Roman" w:cstheme="minorHAnsi"/>
                <w:sz w:val="24"/>
                <w:szCs w:val="24"/>
              </w:rPr>
              <w:t xml:space="preserve"> </w:t>
            </w:r>
          </w:p>
        </w:tc>
        <w:tc>
          <w:tcPr>
            <w:tcW w:w="1890" w:type="dxa"/>
            <w:tcBorders>
              <w:top w:val="outset" w:sz="6" w:space="0" w:color="5555FF"/>
              <w:left w:val="outset" w:sz="6" w:space="0" w:color="5555FF"/>
              <w:bottom w:val="outset" w:sz="6" w:space="0" w:color="5555FF"/>
              <w:right w:val="outset" w:sz="6" w:space="0" w:color="5555FF"/>
            </w:tcBorders>
            <w:shd w:val="clear" w:color="auto" w:fill="FFFFFF"/>
          </w:tcPr>
          <w:p w14:paraId="10D89B08" w14:textId="4B189B9E" w:rsidR="008E143C" w:rsidRDefault="008E143C" w:rsidP="008E143C">
            <w:pPr>
              <w:spacing w:after="0" w:line="240" w:lineRule="auto"/>
            </w:pPr>
            <w:r w:rsidRPr="009310EB">
              <w:rPr>
                <w:rFonts w:hint="eastAsia"/>
              </w:rPr>
              <w:t>滙豐控股</w:t>
            </w:r>
          </w:p>
        </w:tc>
      </w:tr>
      <w:tr w:rsidR="008E143C" w:rsidRPr="00AD282B" w14:paraId="6D5DB970" w14:textId="60C02CD7" w:rsidTr="008E143C">
        <w:trPr>
          <w:jc w:val="center"/>
        </w:trPr>
        <w:tc>
          <w:tcPr>
            <w:tcW w:w="0" w:type="auto"/>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2FA525FC" w14:textId="0E1AA1C0" w:rsidR="008E143C" w:rsidRPr="00071E52" w:rsidRDefault="008E143C" w:rsidP="008E143C">
            <w:pPr>
              <w:spacing w:after="0" w:line="240" w:lineRule="auto"/>
              <w:rPr>
                <w:rFonts w:eastAsia="Times New Roman" w:cstheme="minorHAnsi"/>
                <w:sz w:val="24"/>
                <w:szCs w:val="24"/>
              </w:rPr>
            </w:pPr>
            <w:r>
              <w:rPr>
                <w:rFonts w:eastAsia="Times New Roman" w:cstheme="minorHAnsi"/>
                <w:sz w:val="24"/>
                <w:szCs w:val="24"/>
              </w:rPr>
              <w:t>HK0006</w:t>
            </w:r>
          </w:p>
        </w:tc>
        <w:tc>
          <w:tcPr>
            <w:tcW w:w="4511" w:type="dxa"/>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6DAEFE46" w14:textId="6B453793" w:rsidR="008E143C" w:rsidRPr="00071E52" w:rsidRDefault="008E143C" w:rsidP="008E143C">
            <w:pPr>
              <w:spacing w:after="0" w:line="240" w:lineRule="auto"/>
              <w:rPr>
                <w:rFonts w:eastAsia="Times New Roman" w:cstheme="minorHAnsi"/>
                <w:sz w:val="24"/>
                <w:szCs w:val="24"/>
              </w:rPr>
            </w:pPr>
            <w:r>
              <w:t>Power Assets Holdings Limited</w:t>
            </w:r>
          </w:p>
        </w:tc>
        <w:tc>
          <w:tcPr>
            <w:tcW w:w="1890" w:type="dxa"/>
            <w:tcBorders>
              <w:top w:val="outset" w:sz="6" w:space="0" w:color="5555FF"/>
              <w:left w:val="outset" w:sz="6" w:space="0" w:color="5555FF"/>
              <w:bottom w:val="outset" w:sz="6" w:space="0" w:color="5555FF"/>
              <w:right w:val="outset" w:sz="6" w:space="0" w:color="5555FF"/>
            </w:tcBorders>
            <w:shd w:val="clear" w:color="auto" w:fill="FFFFFF"/>
          </w:tcPr>
          <w:p w14:paraId="47851104" w14:textId="0A16DBDC" w:rsidR="008E143C" w:rsidRDefault="008E143C" w:rsidP="008E143C">
            <w:pPr>
              <w:spacing w:after="0" w:line="240" w:lineRule="auto"/>
            </w:pPr>
            <w:r w:rsidRPr="009310EB">
              <w:rPr>
                <w:rFonts w:hint="eastAsia"/>
              </w:rPr>
              <w:t>電能實業</w:t>
            </w:r>
          </w:p>
        </w:tc>
      </w:tr>
      <w:tr w:rsidR="008E143C" w:rsidRPr="00AD282B" w14:paraId="3E1D4BF3" w14:textId="56EAA948" w:rsidTr="008E143C">
        <w:trPr>
          <w:jc w:val="center"/>
        </w:trPr>
        <w:tc>
          <w:tcPr>
            <w:tcW w:w="0" w:type="auto"/>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3FA00130" w14:textId="0D7927C6" w:rsidR="008E143C" w:rsidRPr="00071E52" w:rsidRDefault="008E143C" w:rsidP="008E143C">
            <w:pPr>
              <w:spacing w:after="0" w:line="240" w:lineRule="auto"/>
              <w:rPr>
                <w:rFonts w:eastAsia="Times New Roman" w:cstheme="minorHAnsi"/>
                <w:sz w:val="24"/>
                <w:szCs w:val="24"/>
              </w:rPr>
            </w:pPr>
            <w:r>
              <w:rPr>
                <w:rFonts w:eastAsia="Times New Roman" w:cstheme="minorHAnsi"/>
                <w:sz w:val="24"/>
                <w:szCs w:val="24"/>
              </w:rPr>
              <w:t>HK0011</w:t>
            </w:r>
          </w:p>
        </w:tc>
        <w:tc>
          <w:tcPr>
            <w:tcW w:w="4511" w:type="dxa"/>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785A5FE2" w14:textId="1B16C9EE" w:rsidR="008E143C" w:rsidRPr="00071E52" w:rsidRDefault="008E143C" w:rsidP="008E143C">
            <w:pPr>
              <w:spacing w:after="0" w:line="240" w:lineRule="auto"/>
              <w:rPr>
                <w:rFonts w:eastAsia="Times New Roman" w:cstheme="minorHAnsi"/>
                <w:sz w:val="24"/>
                <w:szCs w:val="24"/>
              </w:rPr>
            </w:pPr>
            <w:r w:rsidRPr="00C6001F">
              <w:rPr>
                <w:rFonts w:eastAsia="Times New Roman" w:cstheme="minorHAnsi"/>
                <w:sz w:val="24"/>
                <w:szCs w:val="24"/>
              </w:rPr>
              <w:t>Hang Seng Bank Limited</w:t>
            </w:r>
          </w:p>
        </w:tc>
        <w:tc>
          <w:tcPr>
            <w:tcW w:w="1890" w:type="dxa"/>
            <w:tcBorders>
              <w:top w:val="outset" w:sz="6" w:space="0" w:color="5555FF"/>
              <w:left w:val="outset" w:sz="6" w:space="0" w:color="5555FF"/>
              <w:bottom w:val="outset" w:sz="6" w:space="0" w:color="5555FF"/>
              <w:right w:val="outset" w:sz="6" w:space="0" w:color="5555FF"/>
            </w:tcBorders>
            <w:shd w:val="clear" w:color="auto" w:fill="FFFFFF"/>
          </w:tcPr>
          <w:p w14:paraId="036D1F67" w14:textId="29FD4A22" w:rsidR="008E143C" w:rsidRPr="00C6001F" w:rsidRDefault="008E143C" w:rsidP="008E143C">
            <w:pPr>
              <w:spacing w:after="0" w:line="240" w:lineRule="auto"/>
              <w:rPr>
                <w:rFonts w:eastAsia="Times New Roman" w:cstheme="minorHAnsi"/>
                <w:sz w:val="24"/>
                <w:szCs w:val="24"/>
              </w:rPr>
            </w:pPr>
            <w:r w:rsidRPr="009310EB">
              <w:rPr>
                <w:rFonts w:hint="eastAsia"/>
              </w:rPr>
              <w:t>恒生銀行</w:t>
            </w:r>
          </w:p>
        </w:tc>
      </w:tr>
      <w:tr w:rsidR="008E143C" w:rsidRPr="00AD282B" w14:paraId="0CA69C1F" w14:textId="0C5A69A5" w:rsidTr="008E143C">
        <w:trPr>
          <w:jc w:val="center"/>
        </w:trPr>
        <w:tc>
          <w:tcPr>
            <w:tcW w:w="0" w:type="auto"/>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04F78405" w14:textId="3473434C" w:rsidR="008E143C" w:rsidRPr="00071E52" w:rsidRDefault="008E143C" w:rsidP="008E143C">
            <w:pPr>
              <w:spacing w:after="0" w:line="240" w:lineRule="auto"/>
              <w:rPr>
                <w:rFonts w:eastAsia="Times New Roman" w:cstheme="minorHAnsi"/>
                <w:sz w:val="24"/>
                <w:szCs w:val="24"/>
              </w:rPr>
            </w:pPr>
            <w:r>
              <w:rPr>
                <w:rFonts w:eastAsia="Times New Roman" w:cstheme="minorHAnsi"/>
                <w:sz w:val="24"/>
                <w:szCs w:val="24"/>
              </w:rPr>
              <w:t>HK0012</w:t>
            </w:r>
          </w:p>
        </w:tc>
        <w:tc>
          <w:tcPr>
            <w:tcW w:w="4511" w:type="dxa"/>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26906605" w14:textId="6B7D3C72" w:rsidR="008E143C" w:rsidRPr="00071E52" w:rsidRDefault="008E143C" w:rsidP="008E143C">
            <w:pPr>
              <w:spacing w:after="0" w:line="240" w:lineRule="auto"/>
              <w:rPr>
                <w:rFonts w:eastAsia="Times New Roman" w:cstheme="minorHAnsi"/>
                <w:sz w:val="24"/>
                <w:szCs w:val="24"/>
              </w:rPr>
            </w:pPr>
            <w:r>
              <w:t>Henderson Land Development Company Limited</w:t>
            </w:r>
          </w:p>
        </w:tc>
        <w:tc>
          <w:tcPr>
            <w:tcW w:w="1890" w:type="dxa"/>
            <w:tcBorders>
              <w:top w:val="outset" w:sz="6" w:space="0" w:color="5555FF"/>
              <w:left w:val="outset" w:sz="6" w:space="0" w:color="5555FF"/>
              <w:bottom w:val="outset" w:sz="6" w:space="0" w:color="5555FF"/>
              <w:right w:val="outset" w:sz="6" w:space="0" w:color="5555FF"/>
            </w:tcBorders>
            <w:shd w:val="clear" w:color="auto" w:fill="FFFFFF"/>
          </w:tcPr>
          <w:p w14:paraId="03938D67" w14:textId="7511D191" w:rsidR="008E143C" w:rsidRDefault="008E143C" w:rsidP="008E143C">
            <w:pPr>
              <w:spacing w:after="0" w:line="240" w:lineRule="auto"/>
            </w:pPr>
            <w:r w:rsidRPr="009310EB">
              <w:rPr>
                <w:rFonts w:hint="eastAsia"/>
              </w:rPr>
              <w:t>恒基地產</w:t>
            </w:r>
          </w:p>
        </w:tc>
      </w:tr>
      <w:tr w:rsidR="008E143C" w:rsidRPr="00AD282B" w14:paraId="5BF982BB" w14:textId="4EA44D35" w:rsidTr="008E143C">
        <w:trPr>
          <w:jc w:val="center"/>
        </w:trPr>
        <w:tc>
          <w:tcPr>
            <w:tcW w:w="0" w:type="auto"/>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6EBFFD9E" w14:textId="65D10CA9" w:rsidR="008E143C" w:rsidRPr="00071E52" w:rsidRDefault="008E143C" w:rsidP="008E143C">
            <w:pPr>
              <w:spacing w:after="0" w:line="240" w:lineRule="auto"/>
              <w:rPr>
                <w:rFonts w:eastAsia="Times New Roman" w:cstheme="minorHAnsi"/>
                <w:sz w:val="24"/>
                <w:szCs w:val="24"/>
              </w:rPr>
            </w:pPr>
            <w:r>
              <w:rPr>
                <w:rFonts w:eastAsia="Times New Roman" w:cstheme="minorHAnsi"/>
                <w:sz w:val="24"/>
                <w:szCs w:val="24"/>
              </w:rPr>
              <w:t>HK0016</w:t>
            </w:r>
          </w:p>
        </w:tc>
        <w:tc>
          <w:tcPr>
            <w:tcW w:w="4511" w:type="dxa"/>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5671849E" w14:textId="3288E418" w:rsidR="008E143C" w:rsidRPr="00071E52" w:rsidRDefault="008E143C" w:rsidP="008E143C">
            <w:pPr>
              <w:spacing w:after="0" w:line="240" w:lineRule="auto"/>
              <w:rPr>
                <w:rFonts w:cstheme="minorHAnsi"/>
                <w:sz w:val="24"/>
                <w:szCs w:val="24"/>
              </w:rPr>
            </w:pPr>
            <w:r>
              <w:t>Sun Hung Kai Properties Ltd</w:t>
            </w:r>
          </w:p>
        </w:tc>
        <w:tc>
          <w:tcPr>
            <w:tcW w:w="1890" w:type="dxa"/>
            <w:tcBorders>
              <w:top w:val="outset" w:sz="6" w:space="0" w:color="5555FF"/>
              <w:left w:val="outset" w:sz="6" w:space="0" w:color="5555FF"/>
              <w:bottom w:val="outset" w:sz="6" w:space="0" w:color="5555FF"/>
              <w:right w:val="outset" w:sz="6" w:space="0" w:color="5555FF"/>
            </w:tcBorders>
            <w:shd w:val="clear" w:color="auto" w:fill="FFFFFF"/>
          </w:tcPr>
          <w:p w14:paraId="1032CB37" w14:textId="47A19200" w:rsidR="008E143C" w:rsidRDefault="008E143C" w:rsidP="008E143C">
            <w:pPr>
              <w:spacing w:after="0" w:line="240" w:lineRule="auto"/>
            </w:pPr>
            <w:r w:rsidRPr="009310EB">
              <w:rPr>
                <w:rFonts w:hint="eastAsia"/>
              </w:rPr>
              <w:t>新鴻基地產</w:t>
            </w:r>
          </w:p>
        </w:tc>
      </w:tr>
      <w:tr w:rsidR="008E143C" w:rsidRPr="00AD282B" w14:paraId="436AA011" w14:textId="07AAB21C" w:rsidTr="008E143C">
        <w:trPr>
          <w:jc w:val="center"/>
        </w:trPr>
        <w:tc>
          <w:tcPr>
            <w:tcW w:w="0" w:type="auto"/>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0E1917E7" w14:textId="481B2791" w:rsidR="008E143C" w:rsidRPr="00071E52" w:rsidRDefault="008E143C" w:rsidP="008E143C">
            <w:pPr>
              <w:spacing w:after="0" w:line="240" w:lineRule="auto"/>
              <w:rPr>
                <w:rFonts w:eastAsia="Times New Roman" w:cstheme="minorHAnsi"/>
                <w:sz w:val="24"/>
                <w:szCs w:val="24"/>
              </w:rPr>
            </w:pPr>
            <w:r>
              <w:rPr>
                <w:rFonts w:eastAsia="Times New Roman" w:cstheme="minorHAnsi"/>
                <w:sz w:val="24"/>
                <w:szCs w:val="24"/>
              </w:rPr>
              <w:t>HK0017</w:t>
            </w:r>
          </w:p>
        </w:tc>
        <w:tc>
          <w:tcPr>
            <w:tcW w:w="4511" w:type="dxa"/>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73B6B5D5" w14:textId="06A1FE42" w:rsidR="008E143C" w:rsidRPr="00071E52" w:rsidRDefault="008E143C" w:rsidP="008E143C">
            <w:pPr>
              <w:spacing w:after="0" w:line="240" w:lineRule="auto"/>
              <w:rPr>
                <w:rFonts w:cstheme="minorHAnsi"/>
                <w:sz w:val="24"/>
                <w:szCs w:val="24"/>
              </w:rPr>
            </w:pPr>
            <w:r>
              <w:t>New World Development Company Limited</w:t>
            </w:r>
          </w:p>
        </w:tc>
        <w:tc>
          <w:tcPr>
            <w:tcW w:w="1890" w:type="dxa"/>
            <w:tcBorders>
              <w:top w:val="outset" w:sz="6" w:space="0" w:color="5555FF"/>
              <w:left w:val="outset" w:sz="6" w:space="0" w:color="5555FF"/>
              <w:bottom w:val="outset" w:sz="6" w:space="0" w:color="5555FF"/>
              <w:right w:val="outset" w:sz="6" w:space="0" w:color="5555FF"/>
            </w:tcBorders>
            <w:shd w:val="clear" w:color="auto" w:fill="FFFFFF"/>
          </w:tcPr>
          <w:p w14:paraId="3A7F8755" w14:textId="1C6ADA40" w:rsidR="008E143C" w:rsidRDefault="008E143C" w:rsidP="008E143C">
            <w:pPr>
              <w:spacing w:after="0" w:line="240" w:lineRule="auto"/>
            </w:pPr>
            <w:r w:rsidRPr="009310EB">
              <w:rPr>
                <w:rFonts w:hint="eastAsia"/>
              </w:rPr>
              <w:t>新世界發展</w:t>
            </w:r>
          </w:p>
        </w:tc>
      </w:tr>
      <w:tr w:rsidR="008E143C" w:rsidRPr="00AD282B" w14:paraId="121DB0CD" w14:textId="49779355" w:rsidTr="008E143C">
        <w:trPr>
          <w:jc w:val="center"/>
        </w:trPr>
        <w:tc>
          <w:tcPr>
            <w:tcW w:w="0" w:type="auto"/>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6C8B9765" w14:textId="4595DE6F" w:rsidR="008E143C" w:rsidRPr="00071E52" w:rsidRDefault="008E143C" w:rsidP="008E143C">
            <w:pPr>
              <w:spacing w:after="0" w:line="240" w:lineRule="auto"/>
              <w:rPr>
                <w:rFonts w:eastAsia="Times New Roman" w:cstheme="minorHAnsi"/>
                <w:sz w:val="24"/>
                <w:szCs w:val="24"/>
              </w:rPr>
            </w:pPr>
            <w:r>
              <w:rPr>
                <w:rFonts w:eastAsia="Times New Roman" w:cstheme="minorHAnsi"/>
                <w:sz w:val="24"/>
                <w:szCs w:val="24"/>
              </w:rPr>
              <w:t>HK0019</w:t>
            </w:r>
          </w:p>
        </w:tc>
        <w:tc>
          <w:tcPr>
            <w:tcW w:w="4511" w:type="dxa"/>
            <w:tcBorders>
              <w:top w:val="outset" w:sz="6" w:space="0" w:color="5555FF"/>
              <w:left w:val="outset" w:sz="6" w:space="0" w:color="5555FF"/>
              <w:bottom w:val="outset" w:sz="6" w:space="0" w:color="5555FF"/>
              <w:right w:val="outset" w:sz="6" w:space="0" w:color="5555FF"/>
            </w:tcBorders>
            <w:shd w:val="clear" w:color="auto" w:fill="FFFFFF"/>
            <w:vAlign w:val="center"/>
            <w:hideMark/>
          </w:tcPr>
          <w:p w14:paraId="423BFB1F" w14:textId="083229A8" w:rsidR="008E143C" w:rsidRPr="00071E52" w:rsidRDefault="008E143C" w:rsidP="008E143C">
            <w:pPr>
              <w:spacing w:after="0" w:line="240" w:lineRule="auto"/>
              <w:rPr>
                <w:rFonts w:cstheme="minorHAnsi"/>
                <w:sz w:val="24"/>
                <w:szCs w:val="24"/>
              </w:rPr>
            </w:pPr>
            <w:r>
              <w:t>Swire Pacific Limited</w:t>
            </w:r>
          </w:p>
        </w:tc>
        <w:tc>
          <w:tcPr>
            <w:tcW w:w="1890" w:type="dxa"/>
            <w:tcBorders>
              <w:top w:val="outset" w:sz="6" w:space="0" w:color="5555FF"/>
              <w:left w:val="outset" w:sz="6" w:space="0" w:color="5555FF"/>
              <w:bottom w:val="outset" w:sz="6" w:space="0" w:color="5555FF"/>
              <w:right w:val="outset" w:sz="6" w:space="0" w:color="5555FF"/>
            </w:tcBorders>
            <w:shd w:val="clear" w:color="auto" w:fill="FFFFFF"/>
          </w:tcPr>
          <w:p w14:paraId="0B5BFA5A" w14:textId="4A439155" w:rsidR="008E143C" w:rsidRDefault="008E143C" w:rsidP="008E143C">
            <w:pPr>
              <w:spacing w:after="0" w:line="240" w:lineRule="auto"/>
            </w:pPr>
            <w:r w:rsidRPr="009310EB">
              <w:rPr>
                <w:rFonts w:hint="eastAsia"/>
              </w:rPr>
              <w:t>太古股份公司</w:t>
            </w:r>
            <w:r w:rsidRPr="009310EB">
              <w:rPr>
                <w:rFonts w:hint="eastAsia"/>
              </w:rPr>
              <w:t>'A'</w:t>
            </w:r>
          </w:p>
        </w:tc>
      </w:tr>
    </w:tbl>
    <w:p w14:paraId="247F08B5" w14:textId="77777777" w:rsidR="00EF57A5" w:rsidRPr="009D06C9" w:rsidRDefault="00EF57A5" w:rsidP="009D06C9"/>
    <w:sectPr w:rsidR="00EF57A5" w:rsidRPr="009D06C9">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4A2D4" w14:textId="77777777" w:rsidR="00F15C2F" w:rsidRDefault="00F15C2F" w:rsidP="00066DE1">
      <w:pPr>
        <w:spacing w:after="0" w:line="240" w:lineRule="auto"/>
      </w:pPr>
      <w:r>
        <w:separator/>
      </w:r>
    </w:p>
  </w:endnote>
  <w:endnote w:type="continuationSeparator" w:id="0">
    <w:p w14:paraId="6A44F9D2" w14:textId="77777777" w:rsidR="00F15C2F" w:rsidRDefault="00F15C2F" w:rsidP="00066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4408627"/>
      <w:docPartObj>
        <w:docPartGallery w:val="Page Numbers (Bottom of Page)"/>
        <w:docPartUnique/>
      </w:docPartObj>
    </w:sdtPr>
    <w:sdtEndPr>
      <w:rPr>
        <w:noProof/>
      </w:rPr>
    </w:sdtEndPr>
    <w:sdtContent>
      <w:p w14:paraId="6AB5F4C1" w14:textId="580C76C2" w:rsidR="00B447E7" w:rsidRDefault="00B447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AD4AED" w14:textId="77777777" w:rsidR="00B447E7" w:rsidRDefault="00B447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68DF0" w14:textId="77777777" w:rsidR="00F15C2F" w:rsidRDefault="00F15C2F" w:rsidP="00066DE1">
      <w:pPr>
        <w:spacing w:after="0" w:line="240" w:lineRule="auto"/>
      </w:pPr>
      <w:r>
        <w:separator/>
      </w:r>
    </w:p>
  </w:footnote>
  <w:footnote w:type="continuationSeparator" w:id="0">
    <w:p w14:paraId="1A6E8361" w14:textId="77777777" w:rsidR="00F15C2F" w:rsidRDefault="00F15C2F" w:rsidP="00066D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112A"/>
    <w:multiLevelType w:val="hybridMultilevel"/>
    <w:tmpl w:val="9FF61874"/>
    <w:lvl w:ilvl="0" w:tplc="793698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DAA1CAC"/>
    <w:multiLevelType w:val="hybridMultilevel"/>
    <w:tmpl w:val="3398C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B12E79"/>
    <w:multiLevelType w:val="hybridMultilevel"/>
    <w:tmpl w:val="E3305A0E"/>
    <w:lvl w:ilvl="0" w:tplc="ED86EC0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4A43869"/>
    <w:multiLevelType w:val="hybridMultilevel"/>
    <w:tmpl w:val="3C5290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772467D"/>
    <w:multiLevelType w:val="hybridMultilevel"/>
    <w:tmpl w:val="0D96AD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08D31FD"/>
    <w:multiLevelType w:val="hybridMultilevel"/>
    <w:tmpl w:val="18A26C7E"/>
    <w:lvl w:ilvl="0" w:tplc="87821B42">
      <w:start w:val="1"/>
      <w:numFmt w:val="lowerLetter"/>
      <w:lvlText w:val="(%1)"/>
      <w:lvlJc w:val="left"/>
      <w:pPr>
        <w:tabs>
          <w:tab w:val="num" w:pos="1080"/>
        </w:tabs>
        <w:ind w:left="1080" w:hanging="360"/>
      </w:pPr>
      <w:rPr>
        <w:rFonts w:hint="default"/>
      </w:rPr>
    </w:lvl>
    <w:lvl w:ilvl="1" w:tplc="E72AF522">
      <w:start w:val="1"/>
      <w:numFmt w:val="lowerLetter"/>
      <w:lvlText w:val="(%2)"/>
      <w:lvlJc w:val="left"/>
      <w:pPr>
        <w:tabs>
          <w:tab w:val="num" w:pos="1800"/>
        </w:tabs>
        <w:ind w:left="1800" w:hanging="360"/>
      </w:pPr>
    </w:lvl>
    <w:lvl w:ilvl="2" w:tplc="BC9E7EAE">
      <w:start w:val="1"/>
      <w:numFmt w:val="lowerLetter"/>
      <w:lvlText w:val="(%3)"/>
      <w:lvlJc w:val="left"/>
      <w:pPr>
        <w:tabs>
          <w:tab w:val="num" w:pos="2520"/>
        </w:tabs>
        <w:ind w:left="2520" w:hanging="360"/>
      </w:pPr>
    </w:lvl>
    <w:lvl w:ilvl="3" w:tplc="35A0875A">
      <w:start w:val="1"/>
      <w:numFmt w:val="lowerLetter"/>
      <w:lvlText w:val="(%4)"/>
      <w:lvlJc w:val="left"/>
      <w:pPr>
        <w:tabs>
          <w:tab w:val="num" w:pos="3240"/>
        </w:tabs>
        <w:ind w:left="3240" w:hanging="360"/>
      </w:pPr>
    </w:lvl>
    <w:lvl w:ilvl="4" w:tplc="07603278" w:tentative="1">
      <w:start w:val="1"/>
      <w:numFmt w:val="lowerLetter"/>
      <w:lvlText w:val="(%5)"/>
      <w:lvlJc w:val="left"/>
      <w:pPr>
        <w:tabs>
          <w:tab w:val="num" w:pos="3960"/>
        </w:tabs>
        <w:ind w:left="3960" w:hanging="360"/>
      </w:pPr>
    </w:lvl>
    <w:lvl w:ilvl="5" w:tplc="944ED9D8" w:tentative="1">
      <w:start w:val="1"/>
      <w:numFmt w:val="lowerLetter"/>
      <w:lvlText w:val="(%6)"/>
      <w:lvlJc w:val="left"/>
      <w:pPr>
        <w:tabs>
          <w:tab w:val="num" w:pos="4680"/>
        </w:tabs>
        <w:ind w:left="4680" w:hanging="360"/>
      </w:pPr>
    </w:lvl>
    <w:lvl w:ilvl="6" w:tplc="E506ACDE" w:tentative="1">
      <w:start w:val="1"/>
      <w:numFmt w:val="lowerLetter"/>
      <w:lvlText w:val="(%7)"/>
      <w:lvlJc w:val="left"/>
      <w:pPr>
        <w:tabs>
          <w:tab w:val="num" w:pos="5400"/>
        </w:tabs>
        <w:ind w:left="5400" w:hanging="360"/>
      </w:pPr>
    </w:lvl>
    <w:lvl w:ilvl="7" w:tplc="7610AF56" w:tentative="1">
      <w:start w:val="1"/>
      <w:numFmt w:val="lowerLetter"/>
      <w:lvlText w:val="(%8)"/>
      <w:lvlJc w:val="left"/>
      <w:pPr>
        <w:tabs>
          <w:tab w:val="num" w:pos="6120"/>
        </w:tabs>
        <w:ind w:left="6120" w:hanging="360"/>
      </w:pPr>
    </w:lvl>
    <w:lvl w:ilvl="8" w:tplc="266C8A74" w:tentative="1">
      <w:start w:val="1"/>
      <w:numFmt w:val="lowerLetter"/>
      <w:lvlText w:val="(%9)"/>
      <w:lvlJc w:val="left"/>
      <w:pPr>
        <w:tabs>
          <w:tab w:val="num" w:pos="6840"/>
        </w:tabs>
        <w:ind w:left="6840" w:hanging="360"/>
      </w:pPr>
    </w:lvl>
  </w:abstractNum>
  <w:num w:numId="1" w16cid:durableId="1945768395">
    <w:abstractNumId w:val="5"/>
  </w:num>
  <w:num w:numId="2" w16cid:durableId="2121796281">
    <w:abstractNumId w:val="1"/>
  </w:num>
  <w:num w:numId="3" w16cid:durableId="1137182424">
    <w:abstractNumId w:val="0"/>
  </w:num>
  <w:num w:numId="4" w16cid:durableId="710224871">
    <w:abstractNumId w:val="4"/>
  </w:num>
  <w:num w:numId="5" w16cid:durableId="1473208483">
    <w:abstractNumId w:val="3"/>
  </w:num>
  <w:num w:numId="6" w16cid:durableId="20157601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6C9"/>
    <w:rsid w:val="00011469"/>
    <w:rsid w:val="00066DE1"/>
    <w:rsid w:val="00071E52"/>
    <w:rsid w:val="001D36BE"/>
    <w:rsid w:val="001E21B7"/>
    <w:rsid w:val="001E4D45"/>
    <w:rsid w:val="002736BE"/>
    <w:rsid w:val="00300113"/>
    <w:rsid w:val="0032389B"/>
    <w:rsid w:val="00332F02"/>
    <w:rsid w:val="003C3F6F"/>
    <w:rsid w:val="003F3FF8"/>
    <w:rsid w:val="004926D8"/>
    <w:rsid w:val="00561CBF"/>
    <w:rsid w:val="005A32DB"/>
    <w:rsid w:val="005C7263"/>
    <w:rsid w:val="00627E83"/>
    <w:rsid w:val="006453A2"/>
    <w:rsid w:val="00706F4C"/>
    <w:rsid w:val="0076410E"/>
    <w:rsid w:val="0079105D"/>
    <w:rsid w:val="007E234B"/>
    <w:rsid w:val="008610FE"/>
    <w:rsid w:val="008E143C"/>
    <w:rsid w:val="00926302"/>
    <w:rsid w:val="00996CD3"/>
    <w:rsid w:val="009D06C9"/>
    <w:rsid w:val="009D40D9"/>
    <w:rsid w:val="00A3245F"/>
    <w:rsid w:val="00A757B3"/>
    <w:rsid w:val="00AE50D9"/>
    <w:rsid w:val="00AF1E6F"/>
    <w:rsid w:val="00B116C6"/>
    <w:rsid w:val="00B36940"/>
    <w:rsid w:val="00B447E7"/>
    <w:rsid w:val="00C25BFF"/>
    <w:rsid w:val="00C6001F"/>
    <w:rsid w:val="00CA188F"/>
    <w:rsid w:val="00D847EE"/>
    <w:rsid w:val="00E05287"/>
    <w:rsid w:val="00E3786C"/>
    <w:rsid w:val="00EC033C"/>
    <w:rsid w:val="00EF57A5"/>
    <w:rsid w:val="00F15C2F"/>
    <w:rsid w:val="00F17A62"/>
    <w:rsid w:val="00F9150D"/>
    <w:rsid w:val="00FC3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054FBF"/>
  <w15:chartTrackingRefBased/>
  <w15:docId w15:val="{0ABF9119-3A0A-4040-B0C5-2CF10A787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5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06C9"/>
    <w:rPr>
      <w:color w:val="808080"/>
    </w:rPr>
  </w:style>
  <w:style w:type="paragraph" w:styleId="ListParagraph">
    <w:name w:val="List Paragraph"/>
    <w:basedOn w:val="Normal"/>
    <w:uiPriority w:val="34"/>
    <w:qFormat/>
    <w:rsid w:val="009D06C9"/>
    <w:pPr>
      <w:ind w:left="720"/>
      <w:contextualSpacing/>
    </w:pPr>
  </w:style>
  <w:style w:type="paragraph" w:styleId="Header">
    <w:name w:val="header"/>
    <w:basedOn w:val="Normal"/>
    <w:link w:val="HeaderChar"/>
    <w:uiPriority w:val="99"/>
    <w:unhideWhenUsed/>
    <w:rsid w:val="00066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DE1"/>
  </w:style>
  <w:style w:type="paragraph" w:styleId="Footer">
    <w:name w:val="footer"/>
    <w:basedOn w:val="Normal"/>
    <w:link w:val="FooterChar"/>
    <w:uiPriority w:val="99"/>
    <w:unhideWhenUsed/>
    <w:rsid w:val="00066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DE1"/>
  </w:style>
  <w:style w:type="character" w:styleId="Hyperlink">
    <w:name w:val="Hyperlink"/>
    <w:basedOn w:val="DefaultParagraphFont"/>
    <w:uiPriority w:val="99"/>
    <w:semiHidden/>
    <w:unhideWhenUsed/>
    <w:rsid w:val="004926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695700">
      <w:bodyDiv w:val="1"/>
      <w:marLeft w:val="0"/>
      <w:marRight w:val="0"/>
      <w:marTop w:val="0"/>
      <w:marBottom w:val="0"/>
      <w:divBdr>
        <w:top w:val="none" w:sz="0" w:space="0" w:color="auto"/>
        <w:left w:val="none" w:sz="0" w:space="0" w:color="auto"/>
        <w:bottom w:val="none" w:sz="0" w:space="0" w:color="auto"/>
        <w:right w:val="none" w:sz="0" w:space="0" w:color="auto"/>
      </w:divBdr>
      <w:divsChild>
        <w:div w:id="618338967">
          <w:marLeft w:val="720"/>
          <w:marRight w:val="0"/>
          <w:marTop w:val="0"/>
          <w:marBottom w:val="0"/>
          <w:divBdr>
            <w:top w:val="none" w:sz="0" w:space="0" w:color="auto"/>
            <w:left w:val="none" w:sz="0" w:space="0" w:color="auto"/>
            <w:bottom w:val="none" w:sz="0" w:space="0" w:color="auto"/>
            <w:right w:val="none" w:sz="0" w:space="0" w:color="auto"/>
          </w:divBdr>
        </w:div>
        <w:div w:id="686563309">
          <w:marLeft w:val="720"/>
          <w:marRight w:val="0"/>
          <w:marTop w:val="0"/>
          <w:marBottom w:val="0"/>
          <w:divBdr>
            <w:top w:val="none" w:sz="0" w:space="0" w:color="auto"/>
            <w:left w:val="none" w:sz="0" w:space="0" w:color="auto"/>
            <w:bottom w:val="none" w:sz="0" w:space="0" w:color="auto"/>
            <w:right w:val="none" w:sz="0" w:space="0" w:color="auto"/>
          </w:divBdr>
        </w:div>
        <w:div w:id="1915434508">
          <w:marLeft w:val="720"/>
          <w:marRight w:val="0"/>
          <w:marTop w:val="0"/>
          <w:marBottom w:val="0"/>
          <w:divBdr>
            <w:top w:val="none" w:sz="0" w:space="0" w:color="auto"/>
            <w:left w:val="none" w:sz="0" w:space="0" w:color="auto"/>
            <w:bottom w:val="none" w:sz="0" w:space="0" w:color="auto"/>
            <w:right w:val="none" w:sz="0" w:space="0" w:color="auto"/>
          </w:divBdr>
        </w:div>
        <w:div w:id="1910267651">
          <w:marLeft w:val="720"/>
          <w:marRight w:val="0"/>
          <w:marTop w:val="0"/>
          <w:marBottom w:val="0"/>
          <w:divBdr>
            <w:top w:val="none" w:sz="0" w:space="0" w:color="auto"/>
            <w:left w:val="none" w:sz="0" w:space="0" w:color="auto"/>
            <w:bottom w:val="none" w:sz="0" w:space="0" w:color="auto"/>
            <w:right w:val="none" w:sz="0" w:space="0" w:color="auto"/>
          </w:divBdr>
        </w:div>
        <w:div w:id="1986810600">
          <w:marLeft w:val="720"/>
          <w:marRight w:val="0"/>
          <w:marTop w:val="0"/>
          <w:marBottom w:val="0"/>
          <w:divBdr>
            <w:top w:val="none" w:sz="0" w:space="0" w:color="auto"/>
            <w:left w:val="none" w:sz="0" w:space="0" w:color="auto"/>
            <w:bottom w:val="none" w:sz="0" w:space="0" w:color="auto"/>
            <w:right w:val="none" w:sz="0" w:space="0" w:color="auto"/>
          </w:divBdr>
        </w:div>
      </w:divsChild>
    </w:div>
    <w:div w:id="1099570437">
      <w:bodyDiv w:val="1"/>
      <w:marLeft w:val="0"/>
      <w:marRight w:val="0"/>
      <w:marTop w:val="0"/>
      <w:marBottom w:val="0"/>
      <w:divBdr>
        <w:top w:val="none" w:sz="0" w:space="0" w:color="auto"/>
        <w:left w:val="none" w:sz="0" w:space="0" w:color="auto"/>
        <w:bottom w:val="none" w:sz="0" w:space="0" w:color="auto"/>
        <w:right w:val="none" w:sz="0" w:space="0" w:color="auto"/>
      </w:divBdr>
    </w:div>
    <w:div w:id="1138760203">
      <w:bodyDiv w:val="1"/>
      <w:marLeft w:val="0"/>
      <w:marRight w:val="0"/>
      <w:marTop w:val="0"/>
      <w:marBottom w:val="0"/>
      <w:divBdr>
        <w:top w:val="none" w:sz="0" w:space="0" w:color="auto"/>
        <w:left w:val="none" w:sz="0" w:space="0" w:color="auto"/>
        <w:bottom w:val="none" w:sz="0" w:space="0" w:color="auto"/>
        <w:right w:val="none" w:sz="0" w:space="0" w:color="auto"/>
      </w:divBdr>
    </w:div>
    <w:div w:id="1163396615">
      <w:bodyDiv w:val="1"/>
      <w:marLeft w:val="0"/>
      <w:marRight w:val="0"/>
      <w:marTop w:val="0"/>
      <w:marBottom w:val="0"/>
      <w:divBdr>
        <w:top w:val="none" w:sz="0" w:space="0" w:color="auto"/>
        <w:left w:val="none" w:sz="0" w:space="0" w:color="auto"/>
        <w:bottom w:val="none" w:sz="0" w:space="0" w:color="auto"/>
        <w:right w:val="none" w:sz="0" w:space="0" w:color="auto"/>
      </w:divBdr>
    </w:div>
    <w:div w:id="1245261043">
      <w:bodyDiv w:val="1"/>
      <w:marLeft w:val="0"/>
      <w:marRight w:val="0"/>
      <w:marTop w:val="0"/>
      <w:marBottom w:val="0"/>
      <w:divBdr>
        <w:top w:val="none" w:sz="0" w:space="0" w:color="auto"/>
        <w:left w:val="none" w:sz="0" w:space="0" w:color="auto"/>
        <w:bottom w:val="none" w:sz="0" w:space="0" w:color="auto"/>
        <w:right w:val="none" w:sz="0" w:space="0" w:color="auto"/>
      </w:divBdr>
    </w:div>
    <w:div w:id="1779905289">
      <w:bodyDiv w:val="1"/>
      <w:marLeft w:val="0"/>
      <w:marRight w:val="0"/>
      <w:marTop w:val="0"/>
      <w:marBottom w:val="0"/>
      <w:divBdr>
        <w:top w:val="none" w:sz="0" w:space="0" w:color="auto"/>
        <w:left w:val="none" w:sz="0" w:space="0" w:color="auto"/>
        <w:bottom w:val="none" w:sz="0" w:space="0" w:color="auto"/>
        <w:right w:val="none" w:sz="0" w:space="0" w:color="auto"/>
      </w:divBdr>
    </w:div>
    <w:div w:id="1857188694">
      <w:bodyDiv w:val="1"/>
      <w:marLeft w:val="0"/>
      <w:marRight w:val="0"/>
      <w:marTop w:val="0"/>
      <w:marBottom w:val="0"/>
      <w:divBdr>
        <w:top w:val="none" w:sz="0" w:space="0" w:color="auto"/>
        <w:left w:val="none" w:sz="0" w:space="0" w:color="auto"/>
        <w:bottom w:val="none" w:sz="0" w:space="0" w:color="auto"/>
        <w:right w:val="none" w:sz="0" w:space="0" w:color="auto"/>
      </w:divBdr>
    </w:div>
    <w:div w:id="1897273782">
      <w:bodyDiv w:val="1"/>
      <w:marLeft w:val="0"/>
      <w:marRight w:val="0"/>
      <w:marTop w:val="0"/>
      <w:marBottom w:val="0"/>
      <w:divBdr>
        <w:top w:val="none" w:sz="0" w:space="0" w:color="auto"/>
        <w:left w:val="none" w:sz="0" w:space="0" w:color="auto"/>
        <w:bottom w:val="none" w:sz="0" w:space="0" w:color="auto"/>
        <w:right w:val="none" w:sz="0" w:space="0" w:color="auto"/>
      </w:divBdr>
    </w:div>
    <w:div w:id="194256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5</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 Y WONG</dc:creator>
  <cp:keywords/>
  <dc:description/>
  <cp:lastModifiedBy>Michael K Y WONG</cp:lastModifiedBy>
  <cp:revision>7</cp:revision>
  <dcterms:created xsi:type="dcterms:W3CDTF">2022-11-21T01:33:00Z</dcterms:created>
  <dcterms:modified xsi:type="dcterms:W3CDTF">2023-10-23T14:37:00Z</dcterms:modified>
</cp:coreProperties>
</file>