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8867C" w14:textId="77777777" w:rsidR="008C3A94" w:rsidRDefault="008C3A94" w:rsidP="008C3A94">
      <w:r>
        <w:t xml:space="preserve">It is necessary for a skilled person in the area of expertise of the patent to understand it. </w:t>
      </w:r>
    </w:p>
    <w:p w14:paraId="05C11F27" w14:textId="27AC3B9C" w:rsidR="008C3A94" w:rsidRDefault="008C3A94" w:rsidP="008C3A94">
      <w:r>
        <w:t>The custody order has to be executed by the Secretary of State personally.</w:t>
      </w:r>
    </w:p>
    <w:sectPr w:rsidR="008C3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A94"/>
    <w:rsid w:val="008C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509566"/>
  <w15:chartTrackingRefBased/>
  <w15:docId w15:val="{5EF02D21-2695-294E-A692-F724A2762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K" w:eastAsia="en-US" w:bidi="si-LK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GAYANI NANAYAKKARA (2012842)</dc:creator>
  <cp:keywords/>
  <dc:description/>
  <cp:lastModifiedBy>GAYANI NANAYAKKARA (2012842)</cp:lastModifiedBy>
  <cp:revision>1</cp:revision>
  <dcterms:created xsi:type="dcterms:W3CDTF">2022-02-10T17:19:00Z</dcterms:created>
  <dcterms:modified xsi:type="dcterms:W3CDTF">2022-02-10T17:19:00Z</dcterms:modified>
</cp:coreProperties>
</file>