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SkillsGap Product and Operating Model</w:t>
      </w:r>
    </w:p>
    <w:p>
      <w:pPr>
        <w:pStyle w:val="Subtitle"/>
      </w:pPr>
      <w:r>
        <w:t>Current application and proposed client workflow</w:t>
      </w:r>
    </w:p>
    <w:p>
      <w:pPr>
        <w:spacing w:after="200"/>
      </w:pPr>
      <w:r>
        <w:rPr>
          <w:rFonts w:ascii="Arial" w:hAnsi="Arial"/>
          <w:color w:val="555555"/>
          <w:sz w:val="18"/>
        </w:rPr>
        <w:t>Prepared for discussion with a prospective client or delivery partner  •  23 September 2026</w:t>
      </w:r>
    </w:p>
    <w:p>
      <w:pPr>
        <w:keepLines/>
      </w:pPr>
      <w:r>
        <w:t>This readout explains how the current SkillsGap.gy application works and what needs to be agreed before we operate it with a client. It is based on the repository state reviewed on 23 September 2026. It does not certify that external services or live catalogue records are currently available.</w:t>
      </w:r>
    </w:p>
    <w:p>
      <w:pPr>
        <w:keepLines/>
      </w:pPr>
      <w:r>
        <w:t>SkillsGap.gy connects a person’s existing skills or career direction to active opportunities in Guyana. It shows how a profile covers an employer’s stated requirements, identifies gaps, and links those gaps to training when the provider and program have been verified and mapped.</w:t>
      </w:r>
    </w:p>
    <w:p>
      <w:pPr>
        <w:keepLines/>
      </w:pPr>
      <w:r>
        <w:t>The match score measures mapped requirement coverage. Employers make hiring decisions, and applicants control corrections to their own profile and whether to share their identity.</w:t>
      </w:r>
    </w:p>
    <w:p>
      <w:pPr>
        <w:pStyle w:val="Heading2"/>
      </w:pPr>
      <w:r>
        <w:t>At a glance</w:t>
      </w:r>
    </w:p>
    <w:p>
      <w:pPr>
        <w:pStyle w:val="ListBullet"/>
        <w:keepLines/>
      </w:pPr>
      <w:r>
        <w:t>Applicants can start with a CV or build a career route without one.</w:t>
      </w:r>
    </w:p>
    <w:p>
      <w:pPr>
        <w:pStyle w:val="ListBullet"/>
        <w:keepLines/>
      </w:pPr>
      <w:r>
        <w:t>CV findings remain suggestions until the applicant confirms or corrects them.</w:t>
      </w:r>
    </w:p>
    <w:p>
      <w:pPr>
        <w:pStyle w:val="ListBullet"/>
        <w:keepLines/>
      </w:pPr>
      <w:r>
        <w:t>A role’s score, threshold, and mandatory requirements are configured from employer role data.</w:t>
      </w:r>
    </w:p>
    <w:p>
      <w:pPr>
        <w:pStyle w:val="ListBullet"/>
        <w:keepLines/>
      </w:pPr>
      <w:r>
        <w:t>Training recommendations depend on verified providers, active programs, and mapped outcomes.</w:t>
      </w:r>
    </w:p>
    <w:p>
      <w:pPr>
        <w:pStyle w:val="ListBullet"/>
        <w:keepLines/>
      </w:pPr>
      <w:r>
        <w:t>Applying signals interest. Sharing a name, phone number, or CV is a separate choice for each role.</w:t>
      </w:r>
    </w:p>
    <w:p>
      <w:pPr>
        <w:pStyle w:val="ListBullet"/>
        <w:keepLines/>
      </w:pPr>
      <w:r>
        <w:t>CV analysis depends on a private worker and a compatible vision model endpoint running outside the web application.</w:t>
      </w:r>
    </w:p>
    <w:p>
      <w:pPr>
        <w:pStyle w:val="Heading2"/>
      </w:pPr>
      <w:r>
        <w:t>In this readout</w:t>
      </w:r>
    </w:p>
    <w:p>
      <w:pPr>
        <w:keepLines/>
      </w:pPr>
      <w:r>
        <w:t>Use the linked section list below or the Google Docs document outline to jump to a topic.</w:t>
      </w:r>
    </w:p>
    <w:p>
      <w:pPr>
        <w:spacing w:after="20"/>
        <w:ind w:left="173"/>
      </w:pPr>
      <w:hyperlink w:anchor="sg_section_01" w:history="1">
        <w:r>
          <w:rPr>
            <w:color w:val="000000"/>
            <w:rFonts w:ascii="Arial" w:hAnsi="Arial"/>
            <w:sz w:val="20"/>
          </w:rPr>
          <w:t>1 What the platform does</w:t>
        </w:r>
      </w:hyperlink>
    </w:p>
    <w:p>
      <w:pPr>
        <w:spacing w:after="20"/>
        <w:ind w:left="173"/>
      </w:pPr>
      <w:hyperlink w:anchor="sg_section_02" w:history="1">
        <w:r>
          <w:rPr>
            <w:color w:val="000000"/>
            <w:rFonts w:ascii="Arial" w:hAnsi="Arial"/>
            <w:sz w:val="20"/>
          </w:rPr>
          <w:t>2 Who uses the platform</w:t>
        </w:r>
      </w:hyperlink>
    </w:p>
    <w:p>
      <w:pPr>
        <w:spacing w:after="20"/>
        <w:ind w:left="173"/>
      </w:pPr>
      <w:hyperlink w:anchor="sg_section_03" w:history="1">
        <w:r>
          <w:rPr>
            <w:color w:val="000000"/>
            <w:rFonts w:ascii="Arial" w:hAnsi="Arial"/>
            <w:sz w:val="20"/>
          </w:rPr>
          <w:t>3 Applicant journeys</w:t>
        </w:r>
      </w:hyperlink>
    </w:p>
    <w:p>
      <w:pPr>
        <w:spacing w:after="20"/>
        <w:ind w:left="173"/>
      </w:pPr>
      <w:hyperlink w:anchor="sg_section_04" w:history="1">
        <w:r>
          <w:rPr>
            <w:color w:val="000000"/>
            <w:rFonts w:ascii="Arial" w:hAnsi="Arial"/>
            <w:sz w:val="20"/>
          </w:rPr>
          <w:t>4 How matching and training work</w:t>
        </w:r>
      </w:hyperlink>
    </w:p>
    <w:p>
      <w:pPr>
        <w:spacing w:after="20"/>
        <w:ind w:left="173"/>
      </w:pPr>
      <w:hyperlink w:anchor="sg_section_05" w:history="1">
        <w:r>
          <w:rPr>
            <w:color w:val="000000"/>
            <w:rFonts w:ascii="Arial" w:hAnsi="Arial"/>
            <w:sz w:val="20"/>
          </w:rPr>
          <w:t>5 Employer and provider operations</w:t>
        </w:r>
      </w:hyperlink>
    </w:p>
    <w:p>
      <w:pPr>
        <w:spacing w:after="20"/>
        <w:ind w:left="173"/>
      </w:pPr>
      <w:hyperlink w:anchor="sg_section_06" w:history="1">
        <w:r>
          <w:rPr>
            <w:color w:val="000000"/>
            <w:rFonts w:ascii="Arial" w:hAnsi="Arial"/>
            <w:sz w:val="20"/>
          </w:rPr>
          <w:t>6 Applications interviews and consent</w:t>
        </w:r>
      </w:hyperlink>
    </w:p>
    <w:p>
      <w:pPr>
        <w:spacing w:after="20"/>
        <w:ind w:left="173"/>
      </w:pPr>
      <w:hyperlink w:anchor="sg_section_07" w:history="1">
        <w:r>
          <w:rPr>
            <w:color w:val="000000"/>
            <w:rFonts w:ascii="Arial" w:hAnsi="Arial"/>
            <w:sz w:val="20"/>
          </w:rPr>
          <w:t>7 Privacy and data handling</w:t>
        </w:r>
      </w:hyperlink>
    </w:p>
    <w:p>
      <w:pPr>
        <w:spacing w:after="20"/>
        <w:ind w:left="173"/>
      </w:pPr>
      <w:hyperlink w:anchor="sg_section_08" w:history="1">
        <w:r>
          <w:rPr>
            <w:color w:val="000000"/>
            <w:rFonts w:ascii="Arial" w:hAnsi="Arial"/>
            <w:sz w:val="20"/>
          </w:rPr>
          <w:t>8 Current technical setup</w:t>
        </w:r>
      </w:hyperlink>
    </w:p>
    <w:p>
      <w:pPr>
        <w:spacing w:after="20"/>
        <w:ind w:left="173"/>
      </w:pPr>
      <w:hyperlink w:anchor="sg_section_09" w:history="1">
        <w:r>
          <w:rPr>
            <w:color w:val="000000"/>
            <w:rFonts w:ascii="Arial" w:hAnsi="Arial"/>
            <w:sz w:val="20"/>
          </w:rPr>
          <w:t>9 Terms used in this readout</w:t>
        </w:r>
      </w:hyperlink>
    </w:p>
    <w:p>
      <w:pPr>
        <w:pStyle w:val="Heading1"/>
      </w:pPr>
      <w:bookmarkStart w:id="1" w:name="sg_section_01"/>
      <w:r>
        <w:t>1 What the platform does</w:t>
      </w:r>
      <w:bookmarkEnd w:id="1"/>
    </w:p>
    <w:p>
      <w:pPr>
        <w:keepLines/>
      </w:pPr>
      <w:r>
        <w:t>SkillsGap is a workforce guidance and matching application. Employers maintain roles and the qualifications those roles require. Individuals create a profile or choose a career direction. The application compares confirmed profile information with current role requirements, then presents a score, strengths, gaps, and a training route where one is available.</w:t>
      </w:r>
    </w:p>
    <w:p>
      <w:pPr>
        <w:keepLines/>
      </w:pPr>
      <w:r>
        <w:t>The operating loop is employer demand, a shared qualifications catalogue, applicant-confirmed skills, current matches, missing requirements, and training options. The app can also record applications and support interview invitations. It organizes information for the people using it; it does not make a hiring decision.</w:t>
      </w:r>
    </w:p>
    <w:p>
      <w:pPr>
        <w:pStyle w:val="Heading1"/>
      </w:pPr>
      <w:bookmarkStart w:id="2" w:name="sg_section_02"/>
      <w:r>
        <w:t>2 Who uses the platform</w:t>
      </w:r>
      <w:bookmarkEnd w:id="2"/>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45"/>
        <w:gridCol w:w="7834"/>
      </w:tblGrid>
      <w:tr>
        <w:trPr>
          <w:tblHeader w:val="true"/>
        </w:trPr>
        <w:tc>
          <w:tcPr>
            <w:tcW w:type="dxa" w:w="2045"/>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Participant</w:t>
            </w:r>
          </w:p>
        </w:tc>
        <w:tc>
          <w:tcPr>
            <w:tcW w:type="dxa" w:w="7834"/>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What the application supports</w:t>
            </w:r>
          </w:p>
        </w:tc>
      </w:tr>
      <w:tr>
        <w:trPr>
          <w:cantSplit/>
        </w:trPr>
        <w:tc>
          <w:tcPr>
            <w:tcW w:type="dxa" w:w="2045"/>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Applicant</w:t>
            </w:r>
          </w:p>
        </w:tc>
        <w:tc>
          <w:tcPr>
            <w:tcW w:type="dxa" w:w="7834"/>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Create a profile from a CV or add qualifications manually, review suggested findings, explore positions and training, save a career route, apply, and manage interview responses.</w:t>
            </w:r>
          </w:p>
        </w:tc>
      </w:tr>
      <w:tr>
        <w:trPr>
          <w:cantSplit/>
        </w:trPr>
        <w:tc>
          <w:tcPr>
            <w:tcW w:type="dxa" w:w="2045"/>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Employer</w:t>
            </w:r>
          </w:p>
        </w:tc>
        <w:tc>
          <w:tcPr>
            <w:tcW w:type="dxa" w:w="7834"/>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Request workspace access, maintain a company profile and job roles, define requirements, review applicants and anonymized matches, manage recruiter access, and arrange interviews or job fairs.</w:t>
            </w:r>
          </w:p>
        </w:tc>
      </w:tr>
      <w:tr>
        <w:trPr>
          <w:cantSplit/>
        </w:trPr>
        <w:tc>
          <w:tcPr>
            <w:tcW w:type="dxa" w:w="2045"/>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Training provider</w:t>
            </w:r>
          </w:p>
        </w:tc>
        <w:tc>
          <w:tcPr>
            <w:tcW w:type="dxa" w:w="7834"/>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Create a provider profile, submit verification details, maintain programs, map program outcomes to qualifications, and manage public program information.</w:t>
            </w:r>
          </w:p>
        </w:tc>
      </w:tr>
      <w:tr>
        <w:trPr>
          <w:cantSplit/>
        </w:trPr>
        <w:tc>
          <w:tcPr>
            <w:tcW w:type="dxa" w:w="2045"/>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Platform administrator</w:t>
            </w:r>
          </w:p>
        </w:tc>
        <w:tc>
          <w:tcPr>
            <w:tcW w:type="dxa" w:w="7834"/>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Review company and provider access, maintain the shared qualifications catalogue and alternate terms, connect programs to qualifications, and maintain curated career guidance.</w:t>
            </w:r>
          </w:p>
        </w:tc>
      </w:tr>
    </w:tbl>
    <w:p>
      <w:pPr>
        <w:spacing w:after="40"/>
      </w:pPr>
    </w:p>
    <w:p>
      <w:pPr>
        <w:keepLines/>
      </w:pPr>
      <w:r>
        <w:t>A workforce agency, funder, or coordinating partner can take part in agreeing scope and maintaining data. The repository does not show a separate agency portal or a dedicated reporting workspace, so those access and reporting needs would need to be agreed separately.</w:t>
      </w:r>
    </w:p>
    <w:p>
      <w:pPr>
        <w:pStyle w:val="Heading1"/>
      </w:pPr>
      <w:bookmarkStart w:id="3" w:name="sg_section_03"/>
      <w:r>
        <w:t>3 Applicant journeys</w:t>
      </w:r>
      <w:bookmarkEnd w:id="3"/>
    </w:p>
    <w:p>
      <w:pPr>
        <w:pStyle w:val="Heading2"/>
      </w:pPr>
      <w:r>
        <w:t>Applicant journey with a CV</w:t>
      </w:r>
    </w:p>
    <w:p>
      <w:pPr>
        <w:pStyle w:val="ListNumber"/>
        <w:keepLines/>
      </w:pPr>
      <w:r>
        <w:t>The applicant signs in and uploads one PDF CV, up to 15 MB and eight pages. A replacement requires clearing the existing CV pathway first.</w:t>
      </w:r>
    </w:p>
    <w:p>
      <w:pPr>
        <w:pStyle w:val="ListNumber"/>
        <w:keepLines/>
      </w:pPr>
      <w:r>
        <w:t>The browser sends the file directly to private Supabase Storage. The application records the file and adds a resume analysis job to a durable queue.</w:t>
      </w:r>
    </w:p>
    <w:p>
      <w:pPr>
        <w:pStyle w:val="ListNumber"/>
        <w:keepLines/>
      </w:pPr>
      <w:r>
        <w:t>A separate Go worker claims the job, validates the PDF, renders every page as an image, and loads the active qualifications catalogue.</w:t>
      </w:r>
    </w:p>
    <w:p>
      <w:pPr>
        <w:pStyle w:val="ListNumber"/>
        <w:keepLines/>
      </w:pPr>
      <w:r>
        <w:t>The worker sends the ordered page images, extraction instructions, and approved qualification vocabulary to the configured vision model. It does not send extracted PDF text, OCR text, job requirements, or match data on this path.</w:t>
      </w:r>
    </w:p>
    <w:p>
      <w:pPr>
        <w:pStyle w:val="ListNumber"/>
        <w:keepLines/>
      </w:pPr>
      <w:r>
        <w:t>The service validates the structured response and stores evidence-backed skill findings as pending. It can also store employment details for the applicant to review.</w:t>
      </w:r>
    </w:p>
    <w:p>
      <w:pPr>
        <w:pStyle w:val="ListNumber"/>
        <w:keepLines/>
      </w:pPr>
      <w:r>
        <w:t>The applicant confirms, corrects, dismisses, or manually adds qualifications and can review experience details. Confirmed qualifications then trigger database match recalculation.</w:t>
      </w:r>
    </w:p>
    <w:p>
      <w:pPr>
        <w:keepLines/>
      </w:pPr>
      <w:r>
        <w:t>The applicant dashboard reports upload, queue, processing, completion, and failure states. If the external processor is unavailable, the file can remain queued until processing resumes or a safe failure is recorded. Manual qualification entry and the no-CV career route remain separate ways to continue.</w:t>
      </w:r>
    </w:p>
    <w:p>
      <w:pPr>
        <w:pStyle w:val="Heading2"/>
      </w:pPr>
      <w:r>
        <w:t>Applicant journey without a CV</w:t>
      </w:r>
    </w:p>
    <w:p>
      <w:pPr>
        <w:keepLines/>
      </w:pPr>
      <w:r>
        <w:t>The career explorer lets a person start from a guided route or a curated occupation. They can add interests and CSEC/CXC subjects or results, then review suggested requirements and actions. A result-slip image can be read automatically when that optional service is configured; manual entry is available, and the slip image is not stored by that reader.</w:t>
      </w:r>
    </w:p>
    <w:p>
      <w:pPr>
        <w:keepLines/>
      </w:pPr>
      <w:r>
        <w:t>A signed-in applicant can save a career route privately to the dashboard. The route is planning information kept separate from confirmed qualifications and match calculations. Public occupation routes use the connected catalogue when available and can fall back to bundled catalogue content if that public data source is unavailable.</w:t>
      </w:r>
    </w:p>
    <w:p>
      <w:pPr>
        <w:pStyle w:val="Heading2"/>
      </w:pPr>
      <w:r>
        <w:t>Public discovery</w:t>
      </w:r>
    </w:p>
    <w:p>
      <w:pPr>
        <w:keepLines/>
      </w:pPr>
      <w:r>
        <w:t>Anyone can browse published positions and public training listings. Position pages show the role and its mapped requirements. Public course pages show provider and program details, outcomes, and any schedule, fee, intake, or contact information entered by the provider. These listings do not expose applicant match data.</w:t>
      </w:r>
    </w:p>
    <w:p>
      <w:pPr>
        <w:pStyle w:val="Heading1"/>
      </w:pPr>
      <w:bookmarkStart w:id="4" w:name="sg_section_04"/>
      <w:r>
        <w:t>4 How matching and training work</w:t>
      </w:r>
      <w:bookmarkEnd w:id="4"/>
    </w:p>
    <w:p>
      <w:pPr>
        <w:pStyle w:val="Heading2"/>
      </w:pPr>
      <w:r>
        <w:t>How the score is calculated</w:t>
      </w:r>
    </w:p>
    <w:p>
      <w:pPr>
        <w:keepLines/>
      </w:pPr>
      <w:r>
        <w:t>Each role requirement has an importance weight from one to five. The score is the weight of satisfied requirements divided by the total weight of the role’s requirements, multiplied by 100 and rounded. A requirement is satisfied when the applicant has confirmed the matching active qualification and meets any recorded minimum-years condition. Experience records can support experience requirements under the current database rule.</w:t>
      </w:r>
    </w:p>
    <w:p>
      <w:pPr>
        <w:keepLines/>
      </w:pPr>
      <w:r>
        <w:t>An extracted CV finding by itself does not satisfy a requirement. The qualification must be active in the shared catalogue and the applicant must confirm it. This keeps the model in the evidence-extraction role; PostgreSQL applies the matching rules.</w:t>
      </w:r>
    </w:p>
    <w:p>
      <w:pPr>
        <w:pStyle w:val="Heading2"/>
      </w:pPr>
      <w:r>
        <w:t>Application and interview rules</w:t>
      </w:r>
    </w:p>
    <w:p>
      <w:pPr>
        <w:keepLines/>
      </w:pPr>
      <w:r>
        <w:t>Each employer role sets an application threshold. An applicant can apply when the current match score reaches that threshold. The separate interview-eligible status requires both the threshold and every mandatory requirement. A score describes coverage against the data in the role; it does not estimate the likelihood of being hired.</w:t>
      </w:r>
    </w:p>
    <w:p>
      <w:pPr>
        <w:keepLines/>
      </w:pPr>
      <w:r>
        <w:t>The applicant dashboard shows up to the three highest-scoring current matches for active roles at approved companies. A role can therefore be present in the public positions directory without appearing in an individual’s three-match dashboard.</w:t>
      </w:r>
    </w:p>
    <w:p>
      <w:pPr>
        <w:pStyle w:val="Heading2"/>
      </w:pPr>
      <w:r>
        <w:t>When a training option appears</w:t>
      </w:r>
    </w:p>
    <w:p>
      <w:pPr>
        <w:keepLines/>
      </w:pPr>
      <w:r>
        <w:t>A gap can link to training when an administrator-verified provider has an active program and that program has an outcome mapped to the same active qualification. If no such mapping exists, the user is directed to ask the employer or provider what evidence they accept. A mapping describes the program’s stated outcome; it does not confirm that the provider is taking enrolments today.</w:t>
      </w:r>
    </w:p>
    <w:p>
      <w:pPr>
        <w:keepLines/>
      </w:pPr>
      <w:r>
        <w:t>Provider-supplied intake dates, fees, and entry requirements can change. The public pages ask users to confirm current details with the provider before enrolling.</w:t>
      </w:r>
    </w:p>
    <w:p>
      <w:pPr>
        <w:pStyle w:val="Heading1"/>
      </w:pPr>
      <w:bookmarkStart w:id="5" w:name="sg_section_05"/>
      <w:r>
        <w:t>5 Employer and provider operations</w:t>
      </w:r>
      <w:bookmarkEnd w:id="5"/>
    </w:p>
    <w:p>
      <w:pPr>
        <w:pStyle w:val="Heading2"/>
      </w:pPr>
      <w:r>
        <w:t>Employer setup</w:t>
      </w:r>
    </w:p>
    <w:p>
      <w:pPr>
        <w:keepLines/>
      </w:pPr>
      <w:r>
        <w:t>A company requests access with its public profile details. A platform administrator reviews the request. Approval unlocks the company workspace, where the owner can update the profile, create or edit roles, add qualifications and requirements, set a role threshold, and publish or archive roles. An active role must be published and must have requirements before it is matchable.</w:t>
      </w:r>
    </w:p>
    <w:p>
      <w:pPr>
        <w:keepLines/>
      </w:pPr>
      <w:r>
        <w:t>Role and requirement changes feed the matching process. Company owners can invite recruiters using a time-limited invitation; recruiters can work with candidates but do not manage the company profile or team access. Company users can review candidate matches and applications, and can manage job fairs and interview slots.</w:t>
      </w:r>
    </w:p>
    <w:p>
      <w:pPr>
        <w:pStyle w:val="Heading2"/>
      </w:pPr>
      <w:r>
        <w:t>Training provider setup</w:t>
      </w:r>
    </w:p>
    <w:p>
      <w:pPr>
        <w:keepLines/>
      </w:pPr>
      <w:r>
        <w:t>A provider owner can create an unverified provider account and submit profile and verification details for review. New programs start as drafts. The provider enters program information and maps outcomes to qualifications; an administrator handles provider verification and the shared catalogue. Public visibility requires a verified provider, an active program, and at least one active mapped outcome.</w:t>
      </w:r>
    </w:p>
    <w:p>
      <w:pPr>
        <w:pStyle w:val="Heading2"/>
      </w:pPr>
      <w:r>
        <w:t>Platform administration</w:t>
      </w:r>
    </w:p>
    <w:p>
      <w:pPr>
        <w:keepLines/>
      </w:pPr>
      <w:r>
        <w:t>Administrators keep the shared catalogue usable across CV extraction, role requirements, training outcomes, and career guidance. A new role requirement needs an active canonical qualification; alternate phrases help the extraction service recognize local wording. A training recommendation needs an outcome link to that same qualification. These are data-maintenance tasks, not automatic connections to outside provider or employer systems.</w:t>
      </w:r>
    </w:p>
    <w:p>
      <w:pPr>
        <w:pStyle w:val="Heading1"/>
      </w:pPr>
      <w:bookmarkStart w:id="6" w:name="sg_section_06"/>
      <w:r>
        <w:t>6 Applications interviews and consent</w:t>
      </w:r>
      <w:bookmarkEnd w:id="6"/>
    </w:p>
    <w:p>
      <w:pPr>
        <w:pStyle w:val="Heading2"/>
      </w:pPr>
      <w:r>
        <w:t>Applications</w:t>
      </w:r>
    </w:p>
    <w:p>
      <w:pPr>
        <w:keepLines/>
      </w:pPr>
      <w:r>
        <w:t>Applying records the applicant’s interest in a role. The employer can see the application status and an anonymized candidate profile while the applicant’s name and CV remain private. Applicants can withdraw an application and apply again while they continue to meet the role threshold.</w:t>
      </w:r>
    </w:p>
    <w:p>
      <w:pPr>
        <w:pStyle w:val="Heading2"/>
      </w:pPr>
      <w:r>
        <w:t>Private profile sharing</w:t>
      </w:r>
    </w:p>
    <w:p>
      <w:pPr>
        <w:keepLines/>
      </w:pPr>
      <w:r>
        <w:t>Profile sharing is a separate, role-specific consent. When an applicant chooses to share, the approved company can see the applicant’s name and phone number and, if a CV is on file, open it through a temporary signed link. The applicant can revoke this consent. A public link to a position or course never grants access to an applicant profile.</w:t>
      </w:r>
    </w:p>
    <w:p>
      <w:pPr>
        <w:pStyle w:val="Heading2"/>
      </w:pPr>
      <w:r>
        <w:t>Interview options</w:t>
      </w:r>
    </w:p>
    <w:p>
      <w:pPr>
        <w:keepLines/>
      </w:pPr>
      <w:r>
        <w:t>A company can send a direct interview invitation to an applicant who has applied and meets the interview eligibility check. The invitation expires after 14 days, and the applicant can accept or decline. Direct invitations remain separate from profile sharing.</w:t>
      </w:r>
    </w:p>
    <w:p>
      <w:pPr>
        <w:keepLines/>
      </w:pPr>
      <w:r>
        <w:t>A company can also run a job fair with 15-minute interview slots. Eligible applicants receive a fair invitation and can book an available slot. Fair bookings and direct invitations are tracked as distinct workflows.</w:t>
      </w:r>
    </w:p>
    <w:p>
      <w:pPr>
        <w:pStyle w:val="Heading1"/>
      </w:pPr>
      <w:bookmarkStart w:id="7" w:name="sg_section_07"/>
      <w:r>
        <w:t>7 Privacy and data handling</w:t>
      </w:r>
      <w:bookmarkEnd w:id="7"/>
    </w:p>
    <w:p>
      <w:pPr>
        <w:pStyle w:val="Heading2"/>
      </w:pPr>
      <w:r>
        <w:t>Applicant data</w:t>
      </w:r>
    </w:p>
    <w:p>
      <w:pPr>
        <w:keepLines/>
      </w:pPr>
      <w:r>
        <w:t>Supabase Auth manages sign-in. Supabase Postgres stores profiles, qualifications, roles, matches, and workflow records. Database row-level policies and server-side role checks restrict access by account and company. CV files are stored in a private Storage bucket. The browser does not receive the service-role, processor, webhook, or model credentials.</w:t>
      </w:r>
    </w:p>
    <w:p>
      <w:pPr>
        <w:keepLines/>
      </w:pPr>
      <w:r>
        <w:t>The applicant can use the clear-pathway action to remove the uploaded CV files and reset applicant records derived from that pathway. It does not remove the account itself or a company membership.</w:t>
      </w:r>
    </w:p>
    <w:p>
      <w:pPr>
        <w:pStyle w:val="Heading2"/>
      </w:pPr>
      <w:r>
        <w:t>CV analysis</w:t>
      </w:r>
    </w:p>
    <w:p>
      <w:pPr>
        <w:keepLines/>
      </w:pPr>
      <w:r>
        <w:t>The active CV flow sends rendered images of each page to the selected vision model endpoint. It also sends the active qualifications vocabulary and instructions needed for evidence-based extraction. The active route does not send native PDF text or OCR output, role requirements, or match scores to the model. The database calculates matches after the applicant reviews the suggested qualifications.</w:t>
      </w:r>
    </w:p>
    <w:p>
      <w:pPr>
        <w:keepLines/>
      </w:pPr>
      <w:r>
        <w:t>The processor is designed not to log CV contents, images, prompts, model responses, or personal contact details. The model endpoint still receives CV page images for processing. Its hosting location, retention terms, and contractual privacy controls depend on the endpoint selected for deployment and need confirmation before real applicant CVs are used.</w:t>
      </w:r>
    </w:p>
    <w:p>
      <w:pPr>
        <w:pStyle w:val="Heading2"/>
      </w:pPr>
      <w:r>
        <w:t>Privacy and service decisions</w:t>
      </w:r>
    </w:p>
    <w:p>
      <w:pPr>
        <w:keepLines/>
      </w:pPr>
      <w:r>
        <w:t>The repository defines application access controls but does not set a client agreement for retention periods, service levels, data residency, or model-provider retention. We should confirm those terms, the applicant notice, the approved model endpoint, and the owner for deletion requests before a pilot with real CVs.</w:t>
      </w:r>
    </w:p>
    <w:p>
      <w:pPr>
        <w:pStyle w:val="Heading1"/>
      </w:pPr>
      <w:bookmarkStart w:id="8" w:name="sg_section_08"/>
      <w:r>
        <w:t>8 Current technical setup</w:t>
      </w:r>
      <w:bookmarkEnd w:id="8"/>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75"/>
        <w:gridCol w:w="7603"/>
      </w:tblGrid>
      <w:tr>
        <w:trPr>
          <w:tblHeader w:val="true"/>
        </w:trPr>
        <w:tc>
          <w:tcPr>
            <w:tcW w:type="dxa" w:w="2275"/>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Component</w:t>
            </w:r>
          </w:p>
        </w:tc>
        <w:tc>
          <w:tcPr>
            <w:tcW w:type="dxa" w:w="7603"/>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Current role in the system</w:t>
            </w:r>
          </w:p>
        </w:tc>
      </w:tr>
      <w:tr>
        <w:trPr>
          <w:cantSplit/>
        </w:trPr>
        <w:tc>
          <w:tcPr>
            <w:tcW w:type="dxa" w:w="2275"/>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Web application</w:t>
            </w:r>
          </w:p>
        </w:tc>
        <w:tc>
          <w:tcPr>
            <w:tcW w:type="dxa" w:w="7603"/>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 Next.js application serves the public pages, authenticated workspaces, server actions, and API routes. Project instructions designate Vercel for the web deployment.</w:t>
            </w:r>
          </w:p>
        </w:tc>
      </w:tr>
      <w:tr>
        <w:trPr>
          <w:cantSplit/>
        </w:trPr>
        <w:tc>
          <w:tcPr>
            <w:tcW w:type="dxa" w:w="2275"/>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Authentication and data</w:t>
            </w:r>
          </w:p>
        </w:tc>
        <w:tc>
          <w:tcPr>
            <w:tcW w:type="dxa" w:w="7603"/>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Supabase provides sign-in, PostgreSQL, row-level access policies, and private file storage.</w:t>
            </w:r>
          </w:p>
        </w:tc>
      </w:tr>
      <w:tr>
        <w:trPr>
          <w:cantSplit/>
        </w:trPr>
        <w:tc>
          <w:tcPr>
            <w:tcW w:type="dxa" w:w="2275"/>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CV processor</w:t>
            </w:r>
          </w:p>
        </w:tc>
        <w:tc>
          <w:tcPr>
            <w:tcW w:type="dxa" w:w="7603"/>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 separate private Go service claims queued jobs from Supabase through webhook signals and polling, downloads CVs, renders pages, calls the model endpoint, and saves validated findings.</w:t>
            </w:r>
          </w:p>
        </w:tc>
      </w:tr>
      <w:tr>
        <w:trPr>
          <w:cantSplit/>
        </w:trPr>
        <w:tc>
          <w:tcPr>
            <w:tcW w:type="dxa" w:w="2275"/>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Vision model</w:t>
            </w:r>
          </w:p>
        </w:tc>
        <w:tc>
          <w:tcPr>
            <w:tcW w:type="dxa" w:w="7603"/>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The processor uses an OpenAI-compatible endpoint configured for the deployment. It must support image input and strict structured JSON output.</w:t>
            </w:r>
          </w:p>
        </w:tc>
      </w:tr>
      <w:tr>
        <w:trPr>
          <w:cantSplit/>
        </w:trPr>
        <w:tc>
          <w:tcPr>
            <w:tcW w:type="dxa" w:w="2275"/>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Optional result-slip reader</w:t>
            </w:r>
          </w:p>
        </w:tc>
        <w:tc>
          <w:tcPr>
            <w:tcW w:type="dxa" w:w="7603"/>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 server-side route can send a CSEC/CXC result-slip image to the processor. Manual entry remains available when automatic reading is off.</w:t>
            </w:r>
          </w:p>
        </w:tc>
      </w:tr>
    </w:tbl>
    <w:p>
      <w:pPr>
        <w:spacing w:after="40"/>
      </w:pPr>
    </w:p>
    <w:p>
      <w:pPr>
        <w:keepLines/>
      </w:pPr>
      <w:r>
        <w:t>The older Python OCR service remains in the repository as a rollback option. The active resume-processing path is vision-only and does not call that service.</w:t>
      </w:r>
    </w:p>
    <w:p>
      <w:pPr>
        <w:keepLines/>
      </w:pPr>
      <w:r>
        <w:rPr>
          <w:b/>
        </w:rPr>
        <w:t xml:space="preserve">Availability condition. </w:t>
      </w:r>
      <w:r>
        <w:t>A successful web build does not prove that the processor, model, Supabase project, or current catalogue records are available. If the worker is off, automatic CV analysis cannot complete.</w:t>
      </w:r>
    </w:p>
    <w:p>
      <w:pPr>
        <w:keepLines/>
      </w:pPr>
      <w:r>
        <w:rPr>
          <w:b/>
        </w:rPr>
        <w:t xml:space="preserve">Deployment note. </w:t>
      </w:r>
      <w:r>
        <w:t>The project runbook designates Vercel and Supabase and records the skillsgap.gy custom-domain DNS connection as pending work. This readout did not check live DNS, production service health, the linked database contents, or the selected model. Confirm these items before presenting the custom domain or processing real CVs.</w:t>
      </w:r>
    </w:p>
    <w:p>
      <w:pPr>
        <w:keepLines/>
      </w:pPr>
      <w:r>
        <w:t>The repository does not document a live connector to an employer ATS or to the Local Content Register. Training pages support provider information and contact or enrolment links; a native checkout or enrolment-management flow is not documented. Seed and demo records should be distinguished from current client opportunities and programs.</w:t>
      </w:r>
    </w:p>
    <w:p>
      <w:r>
        <w:br w:type="page"/>
      </w:r>
    </w:p>
    <w:p>
      <w:pPr>
        <w:pStyle w:val="Heading1"/>
      </w:pPr>
      <w:bookmarkStart w:id="9" w:name="sg_section_09"/>
      <w:r>
        <w:t>9 Terms used in this readout</w:t>
      </w:r>
      <w:bookmarkEnd w:id="9"/>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47"/>
        <w:gridCol w:w="7531"/>
      </w:tblGrid>
      <w:tr>
        <w:trPr>
          <w:tblHeader w:val="true"/>
        </w:trPr>
        <w:tc>
          <w:tcPr>
            <w:tcW w:type="dxa" w:w="2347"/>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Term</w:t>
            </w:r>
          </w:p>
        </w:tc>
        <w:tc>
          <w:tcPr>
            <w:tcW w:type="dxa" w:w="7531"/>
            <w:vAlign w:val="center"/>
            <w:shd w:fill="DCE6F1" w:val="clear"/>
            <w:tcMar>
              <w:top w:w="100" w:type="dxa"/>
              <w:start w:w="115" w:type="dxa"/>
              <w:bottom w:w="100" w:type="dxa"/>
              <w:end w:w="115" w:type="dxa"/>
            </w:tcMar>
          </w:tcPr>
          <w:p>
            <w:pPr>
              <w:spacing w:after="20" w:line="250" w:lineRule="auto"/>
            </w:pPr>
            <w:r>
              <w:rPr>
                <w:rFonts w:ascii="Arial" w:hAnsi="Arial"/>
                <w:b/>
                <w:color w:val="000000"/>
                <w:sz w:val="18"/>
              </w:rPr>
              <w:t>Meaning in SkillsGap</w:t>
            </w:r>
          </w:p>
        </w:tc>
      </w:tr>
      <w:tr>
        <w:trPr>
          <w:cantSplit/>
        </w:trPr>
        <w:tc>
          <w:tcPr>
            <w:tcW w:type="dxa" w:w="2347"/>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Qualification catalogue</w:t>
            </w:r>
          </w:p>
        </w:tc>
        <w:tc>
          <w:tcPr>
            <w:tcW w:type="dxa" w:w="7531"/>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The active shared list of skills, certifications, education, and experience labels used by CV review, role requirements, training outcomes, and career guidance.</w:t>
            </w:r>
          </w:p>
        </w:tc>
      </w:tr>
      <w:tr>
        <w:trPr>
          <w:cantSplit/>
        </w:trPr>
        <w:tc>
          <w:tcPr>
            <w:tcW w:type="dxa" w:w="2347"/>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Alias</w:t>
            </w:r>
          </w:p>
        </w:tc>
        <w:tc>
          <w:tcPr>
            <w:tcW w:type="dxa" w:w="7531"/>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An alternate phrase connected to a canonical catalogue entry so different wording can map to the same qualification.</w:t>
            </w:r>
          </w:p>
        </w:tc>
      </w:tr>
      <w:tr>
        <w:trPr>
          <w:cantSplit/>
        </w:trPr>
        <w:tc>
          <w:tcPr>
            <w:tcW w:type="dxa" w:w="2347"/>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Confirmed qualification</w:t>
            </w:r>
          </w:p>
        </w:tc>
        <w:tc>
          <w:tcPr>
            <w:tcW w:type="dxa" w:w="7531"/>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 qualification the applicant reviewed and accepted or added manually. Pending CV findings do not count toward matching.</w:t>
            </w:r>
          </w:p>
        </w:tc>
      </w:tr>
      <w:tr>
        <w:trPr>
          <w:cantSplit/>
        </w:trPr>
        <w:tc>
          <w:tcPr>
            <w:tcW w:type="dxa" w:w="2347"/>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Match score</w:t>
            </w:r>
          </w:p>
        </w:tc>
        <w:tc>
          <w:tcPr>
            <w:tcW w:type="dxa" w:w="7531"/>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The rounded percentage of weighted role requirements satisfied by the applicant’s confirmed profile under the configured rules.</w:t>
            </w:r>
          </w:p>
        </w:tc>
      </w:tr>
      <w:tr>
        <w:trPr>
          <w:cantSplit/>
        </w:trPr>
        <w:tc>
          <w:tcPr>
            <w:tcW w:type="dxa" w:w="2347"/>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Mandatory requirement</w:t>
            </w:r>
          </w:p>
        </w:tc>
        <w:tc>
          <w:tcPr>
            <w:tcW w:type="dxa" w:w="7531"/>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 role requirement that must be met for the separate interview-eligible status.</w:t>
            </w:r>
          </w:p>
        </w:tc>
      </w:tr>
      <w:tr>
        <w:trPr>
          <w:cantSplit/>
        </w:trPr>
        <w:tc>
          <w:tcPr>
            <w:tcW w:type="dxa" w:w="2347"/>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Training outcome</w:t>
            </w:r>
          </w:p>
        </w:tc>
        <w:tc>
          <w:tcPr>
            <w:tcW w:type="dxa" w:w="7531"/>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A qualification that a provider lists as an outcome of a program. It is a mapping, not proof of enrolment or award completion.</w:t>
            </w:r>
          </w:p>
        </w:tc>
      </w:tr>
      <w:tr>
        <w:trPr>
          <w:cantSplit/>
        </w:trPr>
        <w:tc>
          <w:tcPr>
            <w:tcW w:type="dxa" w:w="2347"/>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Role-specific consent</w:t>
            </w:r>
          </w:p>
        </w:tc>
        <w:tc>
          <w:tcPr>
            <w:tcW w:type="dxa" w:w="7531"/>
            <w:vAlign w:val="center"/>
            <w:shd w:fill="FFFFFF" w:val="clear"/>
            <w:tcMar>
              <w:top w:w="100" w:type="dxa"/>
              <w:start w:w="115" w:type="dxa"/>
              <w:bottom w:w="100" w:type="dxa"/>
              <w:end w:w="115" w:type="dxa"/>
            </w:tcMar>
          </w:tcPr>
          <w:p>
            <w:pPr>
              <w:spacing w:after="20" w:line="250" w:lineRule="auto"/>
            </w:pPr>
            <w:r>
              <w:rPr>
                <w:rFonts w:ascii="Arial" w:hAnsi="Arial"/>
                <w:color w:val="000000"/>
                <w:sz w:val="18"/>
              </w:rPr>
              <w:t>An applicant’s permission for one company to see their identity and, when available, open their CV for one particular role.</w:t>
            </w:r>
          </w:p>
        </w:tc>
      </w:tr>
      <w:tr>
        <w:trPr>
          <w:cantSplit/>
        </w:trPr>
        <w:tc>
          <w:tcPr>
            <w:tcW w:type="dxa" w:w="2347"/>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Private processor</w:t>
            </w:r>
          </w:p>
        </w:tc>
        <w:tc>
          <w:tcPr>
            <w:tcW w:type="dxa" w:w="7531"/>
            <w:vAlign w:val="center"/>
            <w:shd w:fill="F5F8FB" w:val="clear"/>
            <w:tcMar>
              <w:top w:w="100" w:type="dxa"/>
              <w:start w:w="115" w:type="dxa"/>
              <w:bottom w:w="100" w:type="dxa"/>
              <w:end w:w="115" w:type="dxa"/>
            </w:tcMar>
          </w:tcPr>
          <w:p>
            <w:pPr>
              <w:spacing w:after="20" w:line="250" w:lineRule="auto"/>
            </w:pPr>
            <w:r>
              <w:rPr>
                <w:rFonts w:ascii="Arial" w:hAnsi="Arial"/>
                <w:color w:val="000000"/>
                <w:sz w:val="18"/>
              </w:rPr>
              <w:t>The separate Go service that handles queued CV jobs and connects to Supabase and the selected vision model.</w:t>
            </w:r>
          </w:p>
        </w:tc>
      </w:tr>
    </w:tbl>
    <w:p>
      <w:pPr>
        <w:spacing w:after="4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37" w:right="1181" w:bottom="1008"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03" w:hanging="23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403" w:hanging="23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SkillsGap Product and Operating Model</dc:title>
  <dc:subject>Current application and proposed client workflow</dc:subject>
  <dc:creator>SkillsGap.gy</dc:creator>
  <cp:keywords>SkillsGap.gy, Guyana, workforce, skills, opportunities, training</cp:keywords>
  <dc:description>generated by python-docx</dc:description>
  <cp:lastModifiedBy/>
  <cp:revision>1</cp:revision>
  <dcterms:created xsi:type="dcterms:W3CDTF">2013-12-23T23:15:00Z</dcterms:created>
  <dcterms:modified xsi:type="dcterms:W3CDTF">2013-12-23T23:15:00Z</dcterms:modified>
  <cp:category/>
</cp:coreProperties>
</file>