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w:t>
      </w:r>
      <w:r>
        <w:t xml:space="preserve"> </w:t>
      </w:r>
      <w:r>
        <w:t xml:space="preserve">Pays</w:t>
      </w:r>
      <w:r>
        <w:t xml:space="preserve"> </w:t>
      </w:r>
      <w:r>
        <w:t xml:space="preserve">for</w:t>
      </w:r>
      <w:r>
        <w:t xml:space="preserve"> </w:t>
      </w:r>
      <w:r>
        <w:t xml:space="preserve">Cardiovascular</w:t>
      </w:r>
      <w:r>
        <w:t xml:space="preserve"> </w:t>
      </w:r>
      <w:r>
        <w:t xml:space="preserve">Pharmacotherapy</w:t>
      </w:r>
      <w:r>
        <w:t xml:space="preserve"> </w:t>
      </w:r>
      <w:r>
        <w:t xml:space="preserve">in</w:t>
      </w:r>
      <w:r>
        <w:t xml:space="preserve"> </w:t>
      </w:r>
      <w:r>
        <w:t xml:space="preserve">Bulgaria?</w:t>
      </w:r>
      <w:r>
        <w:t xml:space="preserve"> </w:t>
      </w:r>
      <w:r>
        <w:t xml:space="preserve">Payer</w:t>
      </w:r>
      <w:r>
        <w:t xml:space="preserve"> </w:t>
      </w:r>
      <w:r>
        <w:t xml:space="preserve">and</w:t>
      </w:r>
      <w:r>
        <w:t xml:space="preserve"> </w:t>
      </w:r>
      <w:r>
        <w:t xml:space="preserve">Patient</w:t>
      </w:r>
      <w:r>
        <w:t xml:space="preserve"> </w:t>
      </w:r>
      <w:r>
        <w:t xml:space="preserve">Costs</w:t>
      </w:r>
      <w:r>
        <w:t xml:space="preserve"> </w:t>
      </w:r>
      <w:r>
        <w:t xml:space="preserve">and</w:t>
      </w:r>
      <w:r>
        <w:t xml:space="preserve"> </w:t>
      </w:r>
      <w:r>
        <w:t xml:space="preserve">Treated</w:t>
      </w:r>
      <w:r>
        <w:t xml:space="preserve"> </w:t>
      </w:r>
      <w:r>
        <w:t xml:space="preserve">Prevalence</w:t>
      </w:r>
      <w:r>
        <w:t xml:space="preserve"> </w:t>
      </w:r>
      <w:r>
        <w:t xml:space="preserve">From</w:t>
      </w:r>
      <w:r>
        <w:t xml:space="preserve"> </w:t>
      </w:r>
      <w:r>
        <w:t xml:space="preserve">National</w:t>
      </w:r>
      <w:r>
        <w:t xml:space="preserve"> </w:t>
      </w:r>
      <w:r>
        <w:t xml:space="preserve">Claims</w:t>
      </w:r>
      <w:r>
        <w:t xml:space="preserve"> </w:t>
      </w:r>
      <w:r>
        <w:t xml:space="preserve">Data,</w:t>
      </w:r>
      <w:r>
        <w:t xml:space="preserve"> </w:t>
      </w:r>
      <w:r>
        <w:t xml:space="preserve">2021–2025</w:t>
      </w:r>
    </w:p>
    <w:p>
      <w:r>
        <w:pict>
          <v:rect style="width:0;height:1.5pt" o:hralign="center" o:hrstd="t" o:hr="t"/>
        </w:pict>
      </w:r>
    </w:p>
    <w:bookmarkStart w:id="20" w:name="highlights"/>
    <w:p>
      <w:pPr>
        <w:pStyle w:val="Heading2"/>
      </w:pPr>
      <w:r>
        <w:t xml:space="preserve">Highlights</w:t>
      </w:r>
    </w:p>
    <w:p>
      <w:pPr>
        <w:numPr>
          <w:ilvl w:val="0"/>
          <w:numId w:val="1001"/>
        </w:numPr>
        <w:pStyle w:val="Compact"/>
      </w:pPr>
      <w:r>
        <w:t xml:space="preserve">Bulgaria has no recent estimate of what outpatient cardiovascular medicines cost the public payer and patients together, or of how many people are treated, although out-of-pocket payment for medicines is the main driver of catastrophic health spending in the country.</w:t>
      </w:r>
    </w:p>
    <w:p>
      <w:pPr>
        <w:numPr>
          <w:ilvl w:val="0"/>
          <w:numId w:val="1001"/>
        </w:numPr>
        <w:pStyle w:val="Compact"/>
      </w:pPr>
      <w:r>
        <w:t xml:space="preserve">In 2025 reimbursed cardiovascular medicines cost EUR 375.3 million, and patients paid 56 % of it through co-payments. About 13–18 % of the population received reimbursed cardiovascular treatment in a typical month, with a two-fold regional range.</w:t>
      </w:r>
    </w:p>
    <w:p>
      <w:pPr>
        <w:numPr>
          <w:ilvl w:val="0"/>
          <w:numId w:val="1001"/>
        </w:numPr>
        <w:pStyle w:val="Compact"/>
      </w:pPr>
      <w:r>
        <w:t xml:space="preserve">Payers should track co-payments alongside reimbursement: a large reimbursement increase in 2024 cut the patient share but did not reduce patient spending.</w:t>
      </w:r>
    </w:p>
    <w:p>
      <w:r>
        <w:pict>
          <v:rect style="width:0;height:1.5pt" o:hralign="center" o:hrstd="t" o:hr="t"/>
        </w:pict>
      </w:r>
    </w:p>
    <w:bookmarkEnd w:id="20"/>
    <w:bookmarkStart w:id="21" w:name="abstract"/>
    <w:p>
      <w:pPr>
        <w:pStyle w:val="Heading2"/>
      </w:pPr>
      <w:r>
        <w:t xml:space="preserve">Abstract</w:t>
      </w:r>
    </w:p>
    <w:p>
      <w:pPr>
        <w:pStyle w:val="FirstParagraph"/>
      </w:pPr>
      <w:r>
        <w:rPr>
          <w:bCs/>
          <w:b/>
        </w:rPr>
        <w:t xml:space="preserve">Objectives.</w:t>
      </w:r>
      <w:r>
        <w:t xml:space="preserve"> </w:t>
      </w:r>
      <w:r>
        <w:t xml:space="preserve">To estimate the payer and patient costs of reimbursed outpatient cardiovascular medicines in Bulgaria and to derive a claims-based proxy of treated cardiovascular disease prevalence.</w:t>
      </w:r>
    </w:p>
    <w:p>
      <w:pPr>
        <w:pStyle w:val="BodyText"/>
      </w:pPr>
      <w:r>
        <w:rPr>
          <w:bCs/>
          <w:b/>
        </w:rPr>
        <w:t xml:space="preserve">Methods.</w:t>
      </w:r>
      <w:r>
        <w:t xml:space="preserve"> </w:t>
      </w:r>
      <w:r>
        <w:t xml:space="preserve">Prevalence-based cost-of-illness analysis of national monthly National Health Insurance Fund (NHIF) dispensing reports for ICD-10 I10–I99 diagnoses, 2021–2025. Patient co-payments (2023–2025) were estimated by linking each dispensed product to the monthly Positive Drug List price and subtracting the NHIF amount paid per pack. Treated prevalence was the mean monthly number of insured persons receiving reimbursed medicines, by disease group, with bounds for overlap between diagnoses. Price and linkage scenarios tested uncertainty.</w:t>
      </w:r>
    </w:p>
    <w:p>
      <w:pPr>
        <w:pStyle w:val="BodyText"/>
      </w:pPr>
      <w:r>
        <w:rPr>
          <w:bCs/>
          <w:b/>
        </w:rPr>
        <w:t xml:space="preserve">Results.</w:t>
      </w:r>
      <w:r>
        <w:t xml:space="preserve"> </w:t>
      </w:r>
      <w:r>
        <w:t xml:space="preserve">In 2025 reimbursed cardiovascular medicines cost EUR 375.3 million (EUR 58 per inhabitant): EUR 165.3 million NHIF and EUR 210.0 million (scenario range 193.9–210.8) patient co-payments. The patient share fell from 65 % in 2023 to 56 % in 2025 after reimbursement was raised to 100 % for 407 products in April 2024, but patient spending did not fall (EUR 198.5 million in 2023). Antithrombotic agents accounted for 29.6 % of the total. In a typical month of 2025, 13.3 % of the population was treated for hypertensive diseases, 5.7 % for ischaemic heart disease and 4.6 % for arrhythmias or heart failure; 13.3–17.9 % received any reimbursed cardiovascular treatment. Treated hypertension ranged from 8.4 to 18.2 per 100 across regions, two-thirds of which was explained by population ageing.</w:t>
      </w:r>
    </w:p>
    <w:p>
      <w:pPr>
        <w:pStyle w:val="BodyText"/>
      </w:pPr>
      <w:r>
        <w:rPr>
          <w:bCs/>
          <w:b/>
        </w:rPr>
        <w:t xml:space="preserve">Conclusions.</w:t>
      </w:r>
      <w:r>
        <w:t xml:space="preserve"> </w:t>
      </w:r>
      <w:r>
        <w:t xml:space="preserve">Patients finance most outpatient cardiovascular pharmacotherapy in Bulgaria. Raising reimbursement levels alone did not reduce total patient spending.</w:t>
      </w:r>
    </w:p>
    <w:p>
      <w:pPr>
        <w:pStyle w:val="BodyText"/>
      </w:pPr>
      <w:r>
        <w:rPr>
          <w:bCs/>
          <w:b/>
        </w:rPr>
        <w:t xml:space="preserve">Keywords:</w:t>
      </w:r>
      <w:r>
        <w:t xml:space="preserve"> </w:t>
      </w:r>
      <w:r>
        <w:t xml:space="preserve">cost of illness; cardiovascular diseases; out-of-pocket payments; co-payment; prevalence; Bulgaria</w:t>
      </w:r>
    </w:p>
    <w:p>
      <w:r>
        <w:pict>
          <v:rect style="width:0;height:1.5pt" o:hralign="center" o:hrstd="t" o:hr="t"/>
        </w:pict>
      </w:r>
    </w:p>
    <w:bookmarkEnd w:id="21"/>
    <w:bookmarkStart w:id="22" w:name="introduction"/>
    <w:p>
      <w:pPr>
        <w:pStyle w:val="Heading2"/>
      </w:pPr>
      <w:r>
        <w:t xml:space="preserve">Introduction</w:t>
      </w:r>
    </w:p>
    <w:p>
      <w:pPr>
        <w:pStyle w:val="FirstParagraph"/>
      </w:pPr>
      <w:r>
        <w:t xml:space="preserve">Cardiovascular disease (CVD) is the leading cause of death in Bulgaria, and the country has among the highest age-standardised cardiovascular mortality rates among European Society of Cardiology member states.</w:t>
      </w:r>
      <w:r>
        <w:rPr>
          <w:vertAlign w:val="superscript"/>
        </w:rPr>
        <w:t xml:space="preserve">1</w:t>
      </w:r>
      <w:r>
        <w:t xml:space="preserve"> </w:t>
      </w:r>
      <w:r>
        <w:t xml:space="preserve">Across the European Union, CVD was estimated to cost EUR 282 billion in 2021, of which EUR 155 billion was health and long-term care, or EUR 630 per inhabitant.</w:t>
      </w:r>
      <w:r>
        <w:rPr>
          <w:vertAlign w:val="superscript"/>
        </w:rPr>
        <w:t xml:space="preserve">2</w:t>
      </w:r>
      <w:r>
        <w:t xml:space="preserve"> </w:t>
      </w:r>
      <w:r>
        <w:t xml:space="preserve">Such multi-country estimates rely on modelled unit costs and cannot show how costs are split between payers and patients within one health system.</w:t>
      </w:r>
    </w:p>
    <w:p>
      <w:pPr>
        <w:pStyle w:val="BodyText"/>
      </w:pPr>
      <w:r>
        <w:t xml:space="preserve">That split matters in Bulgaria. Out-of-pocket payments made up 39 % of health spending in 2019, against an EU average of 21 %, and out-of-pocket payment for outpatient medicines is the main driver of catastrophic health spending: one in five households had catastrophic health spending in 2018.</w:t>
      </w:r>
      <w:r>
        <w:rPr>
          <w:vertAlign w:val="superscript"/>
        </w:rPr>
        <w:t xml:space="preserve">3</w:t>
      </w:r>
      <w:r>
        <w:t xml:space="preserve"> </w:t>
      </w:r>
      <w:r>
        <w:t xml:space="preserve">Outpatient medicines reimbursed by the National Health Insurance Fund (NHIF) are listed in Annex 1 of the Positive Drug List (PDL). The NHIF pays a fixed percentage (25 %, 50 %, 75 % or 100 %) of a reference value per pack, set by the lowest-priced product of the same international non-proprietary name (INN). The patient pays the difference between the pharmacy price and the NHIF amount, without an annual cap.</w:t>
      </w:r>
      <w:r>
        <w:rPr>
          <w:vertAlign w:val="superscript"/>
        </w:rPr>
        <w:t xml:space="preserve">4–6</w:t>
      </w:r>
      <w:r>
        <w:t xml:space="preserve"> </w:t>
      </w:r>
      <w:r>
        <w:t xml:space="preserve">Earlier Bulgarian studies have shown limited affordability of antihypertensive treatment under these rules.</w:t>
      </w:r>
      <w:r>
        <w:rPr>
          <w:vertAlign w:val="superscript"/>
        </w:rPr>
        <w:t xml:space="preserve">7</w:t>
      </w:r>
      <w:r>
        <w:t xml:space="preserve"> </w:t>
      </w:r>
      <w:r>
        <w:t xml:space="preserve">From 1 April 2024 the NHIF raised reimbursement to 100 % for 407 single-substance cardiovascular products. Fixed-dose combinations, anticoagulants and lipid-lowering medicines were not included.</w:t>
      </w:r>
      <w:r>
        <w:rPr>
          <w:vertAlign w:val="superscript"/>
        </w:rPr>
        <w:t xml:space="preserve">8</w:t>
      </w:r>
    </w:p>
    <w:p>
      <w:pPr>
        <w:pStyle w:val="BodyText"/>
      </w:pPr>
      <w:r>
        <w:t xml:space="preserve">Bulgaria also lacks a population-based register of cardiovascular disease, and the most recent population-based estimates of hypertension prevalence and treatment come from pooled survey data.</w:t>
      </w:r>
      <w:r>
        <w:rPr>
          <w:vertAlign w:val="superscript"/>
        </w:rPr>
        <w:t xml:space="preserve">9</w:t>
      </w:r>
      <w:r>
        <w:t xml:space="preserve"> </w:t>
      </w:r>
      <w:r>
        <w:t xml:space="preserve">Pharmacy claims have been used elsewhere to estimate the prevalence of treated chronic conditions when registers are not available.</w:t>
      </w:r>
      <w:r>
        <w:rPr>
          <w:vertAlign w:val="superscript"/>
        </w:rPr>
        <w:t xml:space="preserve">10,11</w:t>
      </w:r>
      <w:r>
        <w:t xml:space="preserve"> </w:t>
      </w:r>
      <w:r>
        <w:t xml:space="preserve">The NHIF publishes monthly dispensing reports by product and diagnosis covering the whole insured population, which allows both questions to be answered from one consistent source.</w:t>
      </w:r>
    </w:p>
    <w:p>
      <w:pPr>
        <w:pStyle w:val="BodyText"/>
      </w:pPr>
      <w:r>
        <w:t xml:space="preserve">This study had three aims: (i) to estimate the annual payer and patient costs of reimbursed outpatient cardiovascular medicines in Bulgaria by disease group; (ii) to estimate the treated prevalence of cardiovascular diseases from the same claims data; and (iii) to describe how costs per treated person, the payer–patient split and treated prevalence changed between 2021 and 2025 and how they vary by region.</w:t>
      </w:r>
    </w:p>
    <w:bookmarkEnd w:id="22"/>
    <w:bookmarkStart w:id="31" w:name="methods"/>
    <w:p>
      <w:pPr>
        <w:pStyle w:val="Heading2"/>
      </w:pPr>
      <w:r>
        <w:t xml:space="preserve">Methods</w:t>
      </w:r>
    </w:p>
    <w:bookmarkStart w:id="23" w:name="design-and-perspective"/>
    <w:p>
      <w:pPr>
        <w:pStyle w:val="Heading3"/>
      </w:pPr>
      <w:r>
        <w:t xml:space="preserve">Design and perspective</w:t>
      </w:r>
    </w:p>
    <w:p>
      <w:pPr>
        <w:pStyle w:val="FirstParagraph"/>
      </w:pPr>
      <w:r>
        <w:t xml:space="preserve">We conducted a prevalence-based, top-down cost-of-illness analysis</w:t>
      </w:r>
      <w:r>
        <w:rPr>
          <w:vertAlign w:val="superscript"/>
        </w:rPr>
        <w:t xml:space="preserve">12,13</w:t>
      </w:r>
      <w:r>
        <w:t xml:space="preserve"> </w:t>
      </w:r>
      <w:r>
        <w:t xml:space="preserve">of reimbursed outpatient cardiovascular medicines in Bulgaria, from the perspective of the NHIF (payer) and of patients (co-payments). The costs of hospital care, outpatient visits, non-reimbursed or over-the-counter medicines and productivity losses were outside the scope. Reporting follows the RECORD statement for routinely collected health data.</w:t>
      </w:r>
      <w:r>
        <w:rPr>
          <w:vertAlign w:val="superscript"/>
        </w:rPr>
        <w:t xml:space="preserve">14</w:t>
      </w:r>
    </w:p>
    <w:bookmarkEnd w:id="23"/>
    <w:bookmarkStart w:id="24" w:name="data-sources"/>
    <w:p>
      <w:pPr>
        <w:pStyle w:val="Heading3"/>
      </w:pPr>
      <w:r>
        <w:t xml:space="preserve">Data sources</w:t>
      </w:r>
    </w:p>
    <w:p>
      <w:pPr>
        <w:pStyle w:val="FirstParagraph"/>
      </w:pPr>
      <w:r>
        <w:t xml:space="preserve">We used three NHIF monthly reports on medicines dispensed under Annex 1 of the PDL, January 2021–December 2025, restricted to ICD-10 codes I10–I99 (34 codes observed).</w:t>
      </w:r>
      <w:r>
        <w:rPr>
          <w:vertAlign w:val="superscript"/>
        </w:rPr>
        <w:t xml:space="preserve">15</w:t>
      </w:r>
      <w:r>
        <w:t xml:space="preserve"> </w:t>
      </w:r>
      <w:r>
        <w:t xml:space="preserve">Report 1 gives packages, number of insured persons and NHIF reimbursement by product (NHIF code), Anatomical Therapeutic Chemical (ATC) code and diagnosis. Report 3 gives insured persons and NHIF reimbursement by diagnosis. Report 4 gives the same by the 28 regional health insurance funds, which correspond to the NUTS-3 regions.</w:t>
      </w:r>
      <w:r>
        <w:rPr>
          <w:vertAlign w:val="superscript"/>
        </w:rPr>
        <w:t xml:space="preserve">16</w:t>
      </w:r>
      <w:r>
        <w:t xml:space="preserve"> </w:t>
      </w:r>
      <w:r>
        <w:t xml:space="preserve">The reports contain no personal identifiers. Reimbursement in Reports 1 and 3 agreed exactly in every year (Supplementary Table S1). Report 4 was complete for 2024 and 2025 and agreed with Report 3 within 0.15 % for persons and exactly for reimbursement.</w:t>
      </w:r>
    </w:p>
    <w:p>
      <w:pPr>
        <w:pStyle w:val="BodyText"/>
      </w:pPr>
      <w:r>
        <w:t xml:space="preserve">Monthly PDL Annex 1 snapshots (February 2023–December 2025) gave, for each product, the price used by the NHIF, the reimbursement level, the NHIF amount per pack and the eligible diagnoses. Annex 4 snapshots (January 2024–December 2025) gave maximum retail prices.</w:t>
      </w:r>
      <w:r>
        <w:rPr>
          <w:vertAlign w:val="superscript"/>
        </w:rPr>
        <w:t xml:space="preserve">17</w:t>
      </w:r>
      <w:r>
        <w:t xml:space="preserve"> </w:t>
      </w:r>
      <w:r>
        <w:t xml:space="preserve">Population on 1 January by region and age (2024) and nationally (2021–2025) and the all-items harmonised index of consumer prices (HICP) were taken from Eurostat.</w:t>
      </w:r>
      <w:r>
        <w:rPr>
          <w:vertAlign w:val="superscript"/>
        </w:rPr>
        <w:t xml:space="preserve">18–20</w:t>
      </w:r>
    </w:p>
    <w:p>
      <w:pPr>
        <w:pStyle w:val="BodyText"/>
      </w:pPr>
      <w:r>
        <w:t xml:space="preserve">Diagnoses were grouped into seven disease groups (Supplementary Table S2): hypertensive diseases (I10–I13); ischaemic heart disease (I20, I25.5); arrhythmias and heart failure (I44–I50, including atrial fibrillation, I48); sequelae of cerebrovascular disease (I69); venous thromboembolism (I80); pulmonary embolism and pulmonary hypertension (I26–I27); and arterial disease (I73–I74).</w:t>
      </w:r>
    </w:p>
    <w:bookmarkEnd w:id="24"/>
    <w:bookmarkStart w:id="25" w:name="payer-costs"/>
    <w:p>
      <w:pPr>
        <w:pStyle w:val="Heading3"/>
      </w:pPr>
      <w:r>
        <w:t xml:space="preserve">Payer costs</w:t>
      </w:r>
    </w:p>
    <w:p>
      <w:pPr>
        <w:pStyle w:val="FirstParagraph"/>
      </w:pPr>
      <w:r>
        <w:t xml:space="preserve">Payer cost was the NHIF reimbursement in Report 3, summed by disease group and year. Medicines are attributed to the diagnosis on the prescription, so a medicine used for several conditions is counted under the cardiovascular diagnosis for which it was prescribed. Medicines prescribed under non-cardiovascular diagnoses (for example, statins prescribed for E78 hyperlipidaemia) are not included.</w:t>
      </w:r>
    </w:p>
    <w:bookmarkEnd w:id="25"/>
    <w:bookmarkStart w:id="26" w:name="patient-co-payments"/>
    <w:p>
      <w:pPr>
        <w:pStyle w:val="Heading3"/>
      </w:pPr>
      <w:r>
        <w:t xml:space="preserve">Patient co-payments</w:t>
      </w:r>
    </w:p>
    <w:p>
      <w:pPr>
        <w:pStyle w:val="FirstParagraph"/>
      </w:pPr>
      <w:r>
        <w:t xml:space="preserve">Report 1 products were linked to PDL national numbers using ATC code, normalised trade name, strength and pack size, with stepwise fallbacks (Supplementary Table S3). Against an independent, not yet published product crosswalk of NHIF codes and national numbers, the links agreed fully or partly for 96.9 % of reimbursement and conflicted for 0.06 %. For each product, diagnosis and month we took the PDL price of the row whose eligible diagnoses included the dispensed diagnosis. This is the retail price for products reimbursed below 100 % and the wholesale-based price for products reimbursed at 100 %, as listed in Annex 1. The co-payment per pack was this price minus the NHIF amount actually paid per pack in Report 1 (reimbursement divided by packages), bounded below at zero, and was multiplied by the number of packages.</w:t>
      </w:r>
    </w:p>
    <w:p>
      <w:pPr>
        <w:pStyle w:val="BodyText"/>
      </w:pPr>
      <w:r>
        <w:t xml:space="preserve">Each month was priced with that month’s list; January 2023 used the February 2023 list. Products without a usable price (0.6 % of reimbursement) were assigned the co-payment-to-reimbursement ratio of their ATC group in the same year. Co-payments could not be estimated for 2021–2022, for which no PDL snapshots were available.</w:t>
      </w:r>
    </w:p>
    <w:p>
      <w:pPr>
        <w:pStyle w:val="BodyText"/>
      </w:pPr>
      <w:r>
        <w:t xml:space="preserve">As a validity check, the PDL NHIF amount per pack was compared with the amount observed in Report 1. They agreed within 5 % for 98.6 %, 97.8 % and 98.1 % of reimbursement in 2023, 2024 and 2025, respectively.</w:t>
      </w:r>
    </w:p>
    <w:bookmarkEnd w:id="26"/>
    <w:bookmarkStart w:id="27" w:name="treated-prevalence"/>
    <w:p>
      <w:pPr>
        <w:pStyle w:val="Heading3"/>
      </w:pPr>
      <w:r>
        <w:t xml:space="preserve">Treated prevalence</w:t>
      </w:r>
    </w:p>
    <w:p>
      <w:pPr>
        <w:pStyle w:val="FirstParagraph"/>
      </w:pPr>
      <w:r>
        <w:t xml:space="preserve">Report 3 counts the insured persons who received at least one reimbursed medicine for a given diagnosis in a given month. Within a diagnosis and month each person is counted once, but a person treated for two diagnoses is counted under each. Treated prevalence for each disease group was the mean monthly number of persons over the 12 months of a year, divided by the population on 1 January. Its 95 % confidence interval reflects month-to-month variation (t distribution, 12 months).</w:t>
      </w:r>
    </w:p>
    <w:p>
      <w:pPr>
        <w:pStyle w:val="BodyText"/>
      </w:pPr>
      <w:r>
        <w:t xml:space="preserve">For all cardiovascular diagnoses together, the sum across diagnoses (the diagnosis-level count) overstates the number of unique persons. We therefore report bounds. The lower bound is the largest single disease group, which assumes that everyone treated for another group is also treated for that group. The upper bound is the smaller of the diagnosis-level count and the number of unique insured persons receiving any Annex 1 medicine in a month, published by the NHIF (1.11 million in 2024 and 1.15 million in 2025).</w:t>
      </w:r>
      <w:r>
        <w:rPr>
          <w:vertAlign w:val="superscript"/>
        </w:rPr>
        <w:t xml:space="preserve">15</w:t>
      </w:r>
    </w:p>
    <w:p>
      <w:pPr>
        <w:pStyle w:val="BodyText"/>
      </w:pPr>
      <w:r>
        <w:t xml:space="preserve">Monthly prevalence counts only people treated in a given month. A person dispensed medicines in fewer than 12 months of a year is counted in fewer months, so mean monthly prevalence is lower than the share of people treated at any time during the year. As a scenario, we divided annual patient-months by an assumed 10 or 8 treated months per person.</w:t>
      </w:r>
    </w:p>
    <w:bookmarkEnd w:id="27"/>
    <w:bookmarkStart w:id="28" w:name="X13d60b5b77b26d773942d454ee471eeb207a9ea"/>
    <w:p>
      <w:pPr>
        <w:pStyle w:val="Heading3"/>
      </w:pPr>
      <w:r>
        <w:t xml:space="preserve">Costs per treated person, regional analysis and prices</w:t>
      </w:r>
    </w:p>
    <w:p>
      <w:pPr>
        <w:pStyle w:val="FirstParagraph"/>
      </w:pPr>
      <w:r>
        <w:t xml:space="preserve">Cost per treated person was annual cost divided by mean monthly treated persons, by disease group. For all diagnoses we report it per diagnosis-level person and within the unique-person bounds. Regional treated prevalence and NHIF cost per capita were calculated from Report 4 for 2024. Their association with the proportion of the population aged 65 or over was estimated by population-weighted least squares; age-adjusted regional values were obtained by moving each region to the national share aged 65 or over along the fitted slope.</w:t>
      </w:r>
    </w:p>
    <w:p>
      <w:pPr>
        <w:pStyle w:val="BodyText"/>
      </w:pPr>
      <w:r>
        <w:t xml:space="preserve">Throughout the observation period Bulgaria still used its national currency, the lev (BGN); it changed to the euro in January 2026. Costs are therefore reported in euro at the fixed conversion rate of BGN 1.95583 per EUR, in nominal terms. Trends are also shown in 2025 prices, deflated by the all-items HICP.</w:t>
      </w:r>
      <w:r>
        <w:rPr>
          <w:vertAlign w:val="superscript"/>
        </w:rPr>
        <w:t xml:space="preserve">20</w:t>
      </w:r>
      <w:r>
        <w:t xml:space="preserve"> </w:t>
      </w:r>
      <w:r>
        <w:t xml:space="preserve">All analyses were done in Python 3.13 (pandas, statsmodels).</w:t>
      </w:r>
    </w:p>
    <w:bookmarkEnd w:id="28"/>
    <w:bookmarkStart w:id="29" w:name="sensitivity-analyses"/>
    <w:p>
      <w:pPr>
        <w:pStyle w:val="Heading3"/>
      </w:pPr>
      <w:r>
        <w:t xml:space="preserve">Sensitivity analyses</w:t>
      </w:r>
    </w:p>
    <w:p>
      <w:pPr>
        <w:pStyle w:val="FirstParagraph"/>
      </w:pPr>
      <w:r>
        <w:t xml:space="preserve">Patient co-payments were recalculated: (a) using the PDL NHIF amount instead of the observed amount; (b) replacing rows where the PDL and observed NHIF amounts differed by more than 20 % with the ATC-group co-payment ratio; (c) using the December 2024 list for all of 2025; (d) using the January 2026 list for all of 2025; and (e) for 2024, using the Annex 4 maximum retail price instead of the Annex 1 price.</w:t>
      </w:r>
    </w:p>
    <w:bookmarkEnd w:id="29"/>
    <w:bookmarkStart w:id="30" w:name="sex-gender-and-patient-involvement"/>
    <w:p>
      <w:pPr>
        <w:pStyle w:val="Heading3"/>
      </w:pPr>
      <w:r>
        <w:t xml:space="preserve">Sex, gender and patient involvement</w:t>
      </w:r>
    </w:p>
    <w:p>
      <w:pPr>
        <w:pStyle w:val="FirstParagraph"/>
      </w:pPr>
      <w:r>
        <w:t xml:space="preserve">The NHIF reports are not disaggregated by sex or age, so sex and gender differences could not be examined.</w:t>
      </w:r>
      <w:r>
        <w:rPr>
          <w:vertAlign w:val="superscript"/>
        </w:rPr>
        <w:t xml:space="preserve">21</w:t>
      </w:r>
      <w:r>
        <w:t xml:space="preserve"> </w:t>
      </w:r>
      <w:r>
        <w:t xml:space="preserve">Patients were not involved in the design or conduct of the study.</w:t>
      </w:r>
    </w:p>
    <w:bookmarkEnd w:id="30"/>
    <w:bookmarkEnd w:id="31"/>
    <w:bookmarkStart w:id="38" w:name="results"/>
    <w:p>
      <w:pPr>
        <w:pStyle w:val="Heading2"/>
      </w:pPr>
      <w:r>
        <w:t xml:space="preserve">Results</w:t>
      </w:r>
    </w:p>
    <w:bookmarkStart w:id="32" w:name="treated-prevalence-1"/>
    <w:p>
      <w:pPr>
        <w:pStyle w:val="Heading3"/>
      </w:pPr>
      <w:r>
        <w:t xml:space="preserve">Treated prevalence</w:t>
      </w:r>
    </w:p>
    <w:p>
      <w:pPr>
        <w:pStyle w:val="FirstParagraph"/>
      </w:pPr>
      <w:r>
        <w:t xml:space="preserve">In a typical month of 2025, 855 118 persons (13.3 per 100 population) received reimbursed medicines for hypertensive diseases, 365 564 (5.7 per 100) for ischaemic heart disease and 295 239 (4.6 per 100) for arrhythmias or heart failure (Table 1). Within the last group, 145 181 persons (2.3 per 100) were treated for atrial fibrillation and flutter and 142 798 (2.2 per 100) for heart failure (I50.0–I50.1) (Supplementary Table S4). Hypertensive heart disease without heart failure (I11.9) was the most frequent single diagnosis (664 550 persons, 10.3 per 100). Essential hypertension (I10) accounted for only 67 565 persons.</w:t>
      </w:r>
    </w:p>
    <w:p>
      <w:pPr>
        <w:pStyle w:val="BodyText"/>
      </w:pPr>
      <w:r>
        <w:t xml:space="preserve">The diagnosis-level count was 1.67 million persons a month (26.0 per 100 population). After allowing for overlap between diagnoses, between 13.3 % and 17.9 % of the population received reimbursed cardiovascular treatment in a typical month. If treated persons were dispensed medicines in 10 or 8 months of the year on average, annual treated prevalence of hypertensive diseases would be 15.9 or 19.9 per 100.</w:t>
      </w:r>
    </w:p>
    <w:p>
      <w:pPr>
        <w:pStyle w:val="BodyText"/>
      </w:pPr>
      <w:r>
        <w:t xml:space="preserve">Between 2021 and 2025 the diagnosis-level count rose by 14.8 % while the population fell by 1.5 %. Growth was concentrated in arrhythmias and heart failure (+56 %), venous thromboembolism (+69 %) and ischaemic heart disease (+19 %). Treated hypertensive diseases rose by 6.5 %, almost entirely after 2023, and sequelae of cerebrovascular disease fell by 5 %.</w:t>
      </w:r>
    </w:p>
    <w:bookmarkEnd w:id="32"/>
    <w:bookmarkStart w:id="33" w:name="payer-and-patient-costs"/>
    <w:p>
      <w:pPr>
        <w:pStyle w:val="Heading3"/>
      </w:pPr>
      <w:r>
        <w:t xml:space="preserve">Payer and patient costs</w:t>
      </w:r>
    </w:p>
    <w:p>
      <w:pPr>
        <w:pStyle w:val="FirstParagraph"/>
      </w:pPr>
      <w:r>
        <w:t xml:space="preserve">In 2025 reimbursed outpatient cardiovascular medicines cost EUR 375.3 million, or EUR 58 per inhabitant (Table 2). The NHIF paid EUR 165.3 million and patients EUR 210.0 million (56 %). Arrhythmias and heart failure accounted for 43.6 % of the total and hypertensive diseases for 33.4 %. Patients paid most of the cost for hypertensive diseases (64 %), ischaemic heart disease (61 %) and sequelae of cerebrovascular disease (78 %). The NHIF paid most of the cost for arrhythmias and heart failure (55 %).</w:t>
      </w:r>
    </w:p>
    <w:p>
      <w:pPr>
        <w:pStyle w:val="BodyText"/>
      </w:pPr>
      <w:r>
        <w:t xml:space="preserve">NHIF reimbursement nearly doubled between 2021 and 2025 (from EUR 84.3 million to EUR 165.3 million; +96 % nominal, +50 % in 2025 prices) (Supplementary Table S5). Patient co-payments did not fall: EUR 198.5 million in 2023, 198.1 million in 2024 and 210.0 million in 2025 (+5.8 % on 2023). The total therefore rose from EUR 305.4 million in 2023 to EUR 375.3 million in 2025 (+22.9 % nominal, +15.7 % in 2025 prices), and the patient share fell from 65 % to 56 %.</w:t>
      </w:r>
    </w:p>
    <w:p>
      <w:pPr>
        <w:pStyle w:val="BodyText"/>
      </w:pPr>
      <w:r>
        <w:t xml:space="preserve">Figure 1 shows the monthly pattern. In April 2024 NHIF spending rose by EUR 2.2 million a month and patient spending fell by EUR 1.9 million. Afterwards patient spending grew again with the volume of medicines not covered by the reform, and in 2025 it averaged EUR 17.5 million a month, the same as in January–March 2024. For hypertensive diseases, the disease group most exposed to the reform, the patient share fell from 79 % in 2023 to 64 % in 2025 (EUR 93.4 million to EUR 80.1 million). For arrhythmias and heart failure, patient spending rose from EUR 52.7 million to EUR 73.2 million. Only 4.8 % of packages dispensed in 2025 carried no co-payment.</w:t>
      </w:r>
    </w:p>
    <w:bookmarkEnd w:id="33"/>
    <w:bookmarkStart w:id="34" w:name="cost-per-treated-person"/>
    <w:p>
      <w:pPr>
        <w:pStyle w:val="Heading3"/>
      </w:pPr>
      <w:r>
        <w:t xml:space="preserve">Cost per treated person</w:t>
      </w:r>
    </w:p>
    <w:p>
      <w:pPr>
        <w:pStyle w:val="FirstParagraph"/>
      </w:pPr>
      <w:r>
        <w:t xml:space="preserve">In 2025 the annual cost per treated person was EUR 147 for hypertensive diseases (EUR 94 paid by the patient), EUR 126 for ischaemic heart disease and EUR 555 for arrhythmias and heart failure (Table 2). Per diagnosis-level person, the total was EUR 224 (EUR 126 paid by the patient). Within the unique-person bounds, a person on reimbursed cardiovascular treatment cost EUR 326–439 a year, of which EUR 183–246 was co-payment.</w:t>
      </w:r>
    </w:p>
    <w:bookmarkEnd w:id="34"/>
    <w:bookmarkStart w:id="35" w:name="medicines-driving-costs"/>
    <w:p>
      <w:pPr>
        <w:pStyle w:val="Heading3"/>
      </w:pPr>
      <w:r>
        <w:t xml:space="preserve">Medicines driving costs</w:t>
      </w:r>
    </w:p>
    <w:p>
      <w:pPr>
        <w:pStyle w:val="FirstParagraph"/>
      </w:pPr>
      <w:r>
        <w:t xml:space="preserve">Antithrombotic agents (ATC B01A) cost EUR 111.3 million, 29.6 % of the total; apixaban accounted for EUR 48.4 million and rivaroxaban for EUR 27.0 million, of which patients paid 79 % (Table 3). Angiotensin II receptor blocker combinations, including sacubitril/valsartan, accounted for 16.7 %, and sodium–glucose co-transporter 2 inhibitors prescribed for heart failure for 11.5 %. Patient shares were highest for statins prescribed under cardiovascular diagnoses (84 %), ACE inhibitor combinations (73 %), beta-blockers (69 %) and nootropic and vasoactive agents (N06B, 81 %). The latter cost patients EUR 11.4 million, all of it under sequelae of cerebrovascular disease. For the two most widely dispensed single-substance products, rosuvastatin and bisoprolol, patients paid 87 % and 86 % of the cost respectively, despite 100 % reimbursement of bisoprolol since April 2024. This reflects the gap between the price of the dispensed brand and the reference value.</w:t>
      </w:r>
    </w:p>
    <w:bookmarkEnd w:id="35"/>
    <w:bookmarkStart w:id="36" w:name="regional-variation"/>
    <w:p>
      <w:pPr>
        <w:pStyle w:val="Heading3"/>
      </w:pPr>
      <w:r>
        <w:t xml:space="preserve">Regional variation</w:t>
      </w:r>
    </w:p>
    <w:p>
      <w:pPr>
        <w:pStyle w:val="FirstParagraph"/>
      </w:pPr>
      <w:r>
        <w:t xml:space="preserve">In 2024 treated hypertensive disease ranged from 8.4 per 100 population in Sofia (capital) to 18.2 per 100 in Gabrovo (Figure 2). Each percentage point of population aged 65 or over was associated with 0.67 (95 % CI 0.48–0.87) more treated persons per 100 (R</w:t>
      </w:r>
      <w:r>
        <w:rPr>
          <w:vertAlign w:val="superscript"/>
        </w:rPr>
        <w:t xml:space="preserve">2</w:t>
      </w:r>
      <w:r>
        <w:t xml:space="preserve"> </w:t>
      </w:r>
      <w:r>
        <w:t xml:space="preserve">= 0.67). After age adjustment the range narrowed to 8.9 (Kardzhali) to 15.4 (Varna) per 100. NHIF cardiovascular reimbursement per inhabitant ranged from EUR 11.9 (Kardzhali) to EUR 27.5 (Gabrovo), and half of this variation was explained by age structure (R</w:t>
      </w:r>
      <w:r>
        <w:rPr>
          <w:vertAlign w:val="superscript"/>
        </w:rPr>
        <w:t xml:space="preserve">2</w:t>
      </w:r>
      <w:r>
        <w:t xml:space="preserve"> </w:t>
      </w:r>
      <w:r>
        <w:t xml:space="preserve">= 0.50) (Supplementary Table S6).</w:t>
      </w:r>
    </w:p>
    <w:bookmarkEnd w:id="36"/>
    <w:bookmarkStart w:id="37" w:name="sensitivity-analyses-1"/>
    <w:p>
      <w:pPr>
        <w:pStyle w:val="Heading3"/>
      </w:pPr>
      <w:r>
        <w:t xml:space="preserve">Sensitivity analyses</w:t>
      </w:r>
    </w:p>
    <w:p>
      <w:pPr>
        <w:pStyle w:val="FirstParagraph"/>
      </w:pPr>
      <w:r>
        <w:t xml:space="preserve">Patient co-payments in 2025 ranged from EUR 193.9 million (January 2026 prices, after the change to the euro) to EUR 210.8 million (December 2024 prices), that is −7.7 % to +0.4 % of the base case (Supplementary Table S7). Using the PDL NHIF amount instead of the observed amount reduced the estimate by 2.2 %, and replacing poorly matched rows by 0.1 %. Valuing 2024 dispensings at the Annex 4 maximum retail price raised co-payments by 5.8 %. In all scenarios patients paid between 54 % and 56 % of the 2025 total.</w:t>
      </w:r>
    </w:p>
    <w:bookmarkEnd w:id="37"/>
    <w:bookmarkEnd w:id="38"/>
    <w:bookmarkStart w:id="45" w:name="discussion"/>
    <w:p>
      <w:pPr>
        <w:pStyle w:val="Heading2"/>
      </w:pPr>
      <w:r>
        <w:t xml:space="preserve">Discussion</w:t>
      </w:r>
    </w:p>
    <w:bookmarkStart w:id="39" w:name="main-findings"/>
    <w:p>
      <w:pPr>
        <w:pStyle w:val="Heading3"/>
      </w:pPr>
      <w:r>
        <w:t xml:space="preserve">Main findings</w:t>
      </w:r>
    </w:p>
    <w:p>
      <w:pPr>
        <w:pStyle w:val="FirstParagraph"/>
      </w:pPr>
      <w:r>
        <w:t xml:space="preserve">Reimbursed outpatient cardiovascular medicines cost EUR 375 million in Bulgaria in 2025, and patients paid more than half of it. The 2024 extension of 100 % reimbursement to 407 single-substance products moved about EUR 2 million a month from patients to the NHIF and lowered the patient share by ten percentage points. Within 15 months, however, growth in the volume and price of medicines not covered by the reform had brought monthly patient spending back to its earlier level, and annual patient spending in 2025 was 6 % higher than in 2023. In a typical month at least one in eight inhabitants, and probably close to one in six, received reimbursed cardiovascular treatment. The number of treated persons grew by 15 % in four years in a shrinking population.</w:t>
      </w:r>
    </w:p>
    <w:bookmarkEnd w:id="39"/>
    <w:bookmarkStart w:id="40" w:name="comparison-with-other-studies"/>
    <w:p>
      <w:pPr>
        <w:pStyle w:val="Heading3"/>
      </w:pPr>
      <w:r>
        <w:t xml:space="preserve">Comparison with other studies</w:t>
      </w:r>
    </w:p>
    <w:p>
      <w:pPr>
        <w:pStyle w:val="FirstParagraph"/>
      </w:pPr>
      <w:r>
        <w:t xml:space="preserve">The EUR 58 per inhabitant spent on reimbursed outpatient cardiovascular medicines is about 9 % of the EUR 630 per inhabitant estimated for all CVD costs in the EU in 2021.</w:t>
      </w:r>
      <w:r>
        <w:rPr>
          <w:vertAlign w:val="superscript"/>
        </w:rPr>
        <w:t xml:space="preserve">2</w:t>
      </w:r>
      <w:r>
        <w:t xml:space="preserve"> </w:t>
      </w:r>
      <w:r>
        <w:t xml:space="preserve">That study modelled pharmaceutical costs from national expenditure shares and did not separate payer and patient spending. Our estimate is narrower in scope but directly observed, and it shows that in Bulgaria the patient is the largest single payer for this component of care. This is consistent with the high share of out-of-pocket payments in Bulgarian health spending and with the role of outpatient medicines in catastrophic spending.</w:t>
      </w:r>
      <w:r>
        <w:rPr>
          <w:vertAlign w:val="superscript"/>
        </w:rPr>
        <w:t xml:space="preserve">3</w:t>
      </w:r>
    </w:p>
    <w:p>
      <w:pPr>
        <w:pStyle w:val="BodyText"/>
      </w:pPr>
      <w:r>
        <w:t xml:space="preserve">Pharmacy-based studies in Italy and Switzerland found that about a quarter to 29 % of adults received cardiovascular medicines in a year.</w:t>
      </w:r>
      <w:r>
        <w:rPr>
          <w:vertAlign w:val="superscript"/>
        </w:rPr>
        <w:t xml:space="preserve">10,11</w:t>
      </w:r>
      <w:r>
        <w:t xml:space="preserve"> </w:t>
      </w:r>
      <w:r>
        <w:t xml:space="preserve">Our monthly estimate of 13–18 % of the whole population is not directly comparable. It counts only medicines reimbursed under cardiovascular diagnoses, excludes medicines bought without reimbursement, and measures a typical month rather than a year. The scenario estimates of 16–20 % for hypertensive diseases alone suggest a similar order of magnitude. An estimated 45 % of Bulgarian adults aged 30–79 had hypertension in 2019,</w:t>
      </w:r>
      <w:r>
        <w:rPr>
          <w:vertAlign w:val="superscript"/>
        </w:rPr>
        <w:t xml:space="preserve">9,22</w:t>
      </w:r>
      <w:r>
        <w:t xml:space="preserve"> </w:t>
      </w:r>
      <w:r>
        <w:t xml:space="preserve">so a substantial part of people with hypertension in Bulgaria does not appear to receive reimbursed treatment in a given month. This may reflect undiagnosed or untreated hypertension, intermittent treatment or self-financed medicines.</w:t>
      </w:r>
    </w:p>
    <w:bookmarkEnd w:id="40"/>
    <w:bookmarkStart w:id="41" w:name="why-patient-spending-did-not-fall"/>
    <w:p>
      <w:pPr>
        <w:pStyle w:val="Heading3"/>
      </w:pPr>
      <w:r>
        <w:t xml:space="preserve">Why patient spending did not fall</w:t>
      </w:r>
    </w:p>
    <w:p>
      <w:pPr>
        <w:pStyle w:val="FirstParagraph"/>
      </w:pPr>
      <w:r>
        <w:t xml:space="preserve">Three features of the Bulgarian system explain the result. First, reimbursement is calculated from a reference value set by the cheapest product of the same INN, so a patient who receives a higher-priced brand pays the difference even at the 100 % level. In 2025 bisoprolol was reimbursed at 100 %, yet patients paid 86 % of its cost. Second, the reform did not cover fixed-dose combinations, anticoagulants or statins. These classes, together with sacubitril/valsartan and SGLT2 inhibitors, account for most of the growth in cardiovascular spending. Third, there is no annual cap on co-payments. Earlier work in Bulgaria described limited financial access to medicines under the reference pricing system,</w:t>
      </w:r>
      <w:r>
        <w:rPr>
          <w:vertAlign w:val="superscript"/>
        </w:rPr>
        <w:t xml:space="preserve">4,23,24</w:t>
      </w:r>
      <w:r>
        <w:t xml:space="preserve"> </w:t>
      </w:r>
      <w:r>
        <w:t xml:space="preserve">and a companion analysis showed that the April 2024 reform raised NHIF expenditure as a one-off step without accelerating its growth.</w:t>
      </w:r>
      <w:r>
        <w:rPr>
          <w:vertAlign w:val="superscript"/>
        </w:rPr>
        <w:t xml:space="preserve">25</w:t>
      </w:r>
    </w:p>
    <w:p>
      <w:pPr>
        <w:pStyle w:val="BodyText"/>
      </w:pPr>
      <w:r>
        <w:t xml:space="preserve">The direction of the policy problem is therefore not only the reimbursement percentage but the gap between dispensed prices and reference values, and the absence of protection for patients with high total co-payments. Options include a cap on annual co-payments for chronic cardiovascular treatment, generic substitution at the pharmacy towards the reference product, and extending full reimbursement to the fixed-dose combinations that dominate patient spending. Full coverage of preventive cardiovascular medicines improved adherence and reduced vascular events in a randomised trial,</w:t>
      </w:r>
      <w:r>
        <w:rPr>
          <w:vertAlign w:val="superscript"/>
        </w:rPr>
        <w:t xml:space="preserve">26</w:t>
      </w:r>
      <w:r>
        <w:t xml:space="preserve"> </w:t>
      </w:r>
      <w:r>
        <w:t xml:space="preserve">which supports the case for targeting patient costs rather than reimbursement percentages alone.</w:t>
      </w:r>
    </w:p>
    <w:bookmarkEnd w:id="41"/>
    <w:bookmarkStart w:id="42" w:name="disease-groups-and-therapeutic-classes"/>
    <w:p>
      <w:pPr>
        <w:pStyle w:val="Heading3"/>
      </w:pPr>
      <w:r>
        <w:t xml:space="preserve">Disease groups and therapeutic classes</w:t>
      </w:r>
    </w:p>
    <w:p>
      <w:pPr>
        <w:pStyle w:val="FirstParagraph"/>
      </w:pPr>
      <w:r>
        <w:t xml:space="preserve">Atrial fibrillation and heart failure drive both cost growth and treated-population growth, reflecting the spread of direct oral anticoagulants, sacubitril/valsartan and SGLT2 inhibitors. Direct oral anticoagulants are reimbursed at 50 % in Bulgaria, and patients paid 61 % of antithrombotic costs. In a Bulgarian hospital series, 19 % of patients with atrial fibrillation were not prescribed an oral anticoagulant,</w:t>
      </w:r>
      <w:r>
        <w:rPr>
          <w:vertAlign w:val="superscript"/>
        </w:rPr>
        <w:t xml:space="preserve">27</w:t>
      </w:r>
      <w:r>
        <w:t xml:space="preserve"> </w:t>
      </w:r>
      <w:r>
        <w:t xml:space="preserve">and co-payments of this size may contribute to under-use. Patients also paid EUR 11 million for nootropic and vasoactive agents prescribed for sequelae of cerebrovascular disease. Evidence for these agents is limited, and this spending could be reviewed in a reimbursement reassessment.</w:t>
      </w:r>
    </w:p>
    <w:p>
      <w:pPr>
        <w:pStyle w:val="BodyText"/>
      </w:pPr>
      <w:r>
        <w:t xml:space="preserve">The dominance of I11.9 over I10 in hypertension codes likely reflects coding in response to reimbursement terms that differ by diagnosis, rather than clinical epidemiology. Diagnosis-level prevalence should therefore be interpreted at the disease-group level.</w:t>
      </w:r>
    </w:p>
    <w:bookmarkEnd w:id="42"/>
    <w:bookmarkStart w:id="43" w:name="regional-variation-1"/>
    <w:p>
      <w:pPr>
        <w:pStyle w:val="Heading3"/>
      </w:pPr>
      <w:r>
        <w:t xml:space="preserve">Regional variation</w:t>
      </w:r>
    </w:p>
    <w:p>
      <w:pPr>
        <w:pStyle w:val="FirstParagraph"/>
      </w:pPr>
      <w:r>
        <w:t xml:space="preserve">Treated hypertensive disease varied two-fold between regions, and age structure explained two-thirds of this variation. The remaining variation (8.9–15.4 per 100 after age adjustment) may reflect differences in diagnosis, access to general practitioners and specialists, ethnic and socioeconomic composition, and coding. The low rate in Kardzhali after adjustment deserves attention, because it combines an older population with low treated prevalence and low NHIF spending per capita.</w:t>
      </w:r>
    </w:p>
    <w:bookmarkEnd w:id="43"/>
    <w:bookmarkStart w:id="44" w:name="strengths-and-limitations"/>
    <w:p>
      <w:pPr>
        <w:pStyle w:val="Heading3"/>
      </w:pPr>
      <w:r>
        <w:t xml:space="preserve">Strengths and limitations</w:t>
      </w:r>
    </w:p>
    <w:p>
      <w:pPr>
        <w:pStyle w:val="FirstParagraph"/>
      </w:pPr>
      <w:r>
        <w:t xml:space="preserve">The study uses complete national dispensing data for five years, with exact agreement between reports, and links 99 % of reimbursement to product-level prices.</w:t>
      </w:r>
    </w:p>
    <w:p>
      <w:pPr>
        <w:pStyle w:val="BodyText"/>
      </w:pPr>
      <w:r>
        <w:t xml:space="preserve">It also has limitations. First, the scope is restricted to reimbursed outpatient medicines prescribed under cardiovascular diagnoses. It excludes hospital care, non-reimbursed medicines and medicines prescribed under other diagnoses, so it is a lower bound of the pharmaceutical burden of CVD. Second, co-payments are estimated from list prices, not observed transactions. Pharmacies may charge less than the list price; the sensitivity analyses put the 2025 estimate between −8 % and +0.4 % of the base case, and maximum retail prices would add about 6 %. Third, aggregate reports do not identify unique persons, so overall prevalence is given as bounds and the upper bound relies on a published NHIF figure that includes non-cardiovascular treatment. Fourth, treated prevalence depends on prescribing, coding and access, and is not a measure of disease prevalence. Fifth, the data are not disaggregated by sex or age, so age standardisation was possible only indirectly at the regional level. Finally, the uncertainty intervals reflect month-to-month variation and scenario ranges, not sampling error, because the data cover the whole insured population.</w:t>
      </w:r>
    </w:p>
    <w:bookmarkEnd w:id="44"/>
    <w:bookmarkEnd w:id="45"/>
    <w:bookmarkStart w:id="46" w:name="conclusions"/>
    <w:p>
      <w:pPr>
        <w:pStyle w:val="Heading2"/>
      </w:pPr>
      <w:r>
        <w:t xml:space="preserve">Conclusions</w:t>
      </w:r>
    </w:p>
    <w:p>
      <w:pPr>
        <w:pStyle w:val="FirstParagraph"/>
      </w:pPr>
      <w:r>
        <w:t xml:space="preserve">Patients pay most of the cost of outpatient cardiovascular pharmacotherapy in Bulgaria, about EUR 200–210 million a year. A large increase in reimbursement levels in 2024 shifted part of this burden to the payer, but did not reduce what patients pay in total, because reference-price gaps and unreimbursed growth classes remain. Claims-based treated prevalence, available monthly and by region, can track the treated cardiovascular population, and it shows a growing and ageing-driven demand. Policies aimed at financial protection should target total patient co-payments, not only reimbursement percentages.</w:t>
      </w:r>
    </w:p>
    <w:p>
      <w:r>
        <w:pict>
          <v:rect style="width:0;height:1.5pt" o:hralign="center" o:hrstd="t" o:hr="t"/>
        </w:pict>
      </w:r>
    </w:p>
    <w:p>
      <w:pPr>
        <w:pStyle w:val="FirstParagraph"/>
      </w:pPr>
      <w:r>
        <w:rPr>
          <w:bCs/>
          <w:b/>
        </w:rPr>
        <w:t xml:space="preserve">Data availability.</w:t>
      </w:r>
      <w:r>
        <w:t xml:space="preserve"> </w:t>
      </w:r>
      <w:r>
        <w:t xml:space="preserve">The NHIF dispensing reports and the Positive Drug List are publicly available. The analysis code, source files and derived tables will be deposited in a public repository (link withheld for anonymised review). The author will make all data available to the editor on request.</w:t>
      </w:r>
    </w:p>
    <w:p>
      <w:pPr>
        <w:pStyle w:val="BodyText"/>
      </w:pPr>
      <w:r>
        <w:rPr>
          <w:bCs/>
          <w:b/>
        </w:rPr>
        <w:t xml:space="preserve">Use of artificial intelligence.</w:t>
      </w:r>
      <w:r>
        <w:t xml:space="preserve"> </w:t>
      </w:r>
      <w:r>
        <w:t xml:space="preserve">An AI tool (Claude, Anthropic) was used to write and run the analysis scripts, to search and summarise the literature and to draft the text, under the author’s oversight. The author checked the data processing, results and references, and takes full responsibility for the content.</w:t>
      </w:r>
    </w:p>
    <w:p>
      <w:r>
        <w:pict>
          <v:rect style="width:0;height:1.5pt" o:hralign="center" o:hrstd="t" o:hr="t"/>
        </w:pict>
      </w:r>
    </w:p>
    <w:p>
      <w:r>
        <w:br w:type="page"/>
      </w:r>
    </w:p>
    <w:bookmarkEnd w:id="46"/>
    <w:bookmarkStart w:id="47" w:name="references"/>
    <w:p>
      <w:pPr>
        <w:pStyle w:val="Heading2"/>
      </w:pPr>
      <w:r>
        <w:t xml:space="preserve">References</w:t>
      </w:r>
    </w:p>
    <w:p>
      <w:pPr>
        <w:numPr>
          <w:ilvl w:val="0"/>
          <w:numId w:val="1002"/>
        </w:numPr>
        <w:pStyle w:val="Compact"/>
      </w:pPr>
      <w:r>
        <w:t xml:space="preserve">Timmis A, Vardas P, Townsend N, et al. European Society of Cardiology: cardiovascular disease statistics 2021.</w:t>
      </w:r>
      <w:r>
        <w:t xml:space="preserve"> </w:t>
      </w:r>
      <w:r>
        <w:rPr>
          <w:iCs/>
          <w:i/>
        </w:rPr>
        <w:t xml:space="preserve">Eur Heart J</w:t>
      </w:r>
      <w:r>
        <w:t xml:space="preserve">. 2022;43(8):716-799. doi:10.1093/eurheartj/ehab892</w:t>
      </w:r>
    </w:p>
    <w:p>
      <w:pPr>
        <w:numPr>
          <w:ilvl w:val="0"/>
          <w:numId w:val="1002"/>
        </w:numPr>
        <w:pStyle w:val="Compact"/>
      </w:pPr>
      <w:r>
        <w:t xml:space="preserve">Luengo-Fernandez R, Walli-Attaei M, Gray A, et al. Economic burden of cardiovascular diseases in the European Union: a population-based cost study.</w:t>
      </w:r>
      <w:r>
        <w:t xml:space="preserve"> </w:t>
      </w:r>
      <w:r>
        <w:rPr>
          <w:iCs/>
          <w:i/>
        </w:rPr>
        <w:t xml:space="preserve">Eur Heart J</w:t>
      </w:r>
      <w:r>
        <w:t xml:space="preserve">. 2023;44(45):4752-4767. doi:10.1093/eurheartj/ehad583</w:t>
      </w:r>
    </w:p>
    <w:p>
      <w:pPr>
        <w:numPr>
          <w:ilvl w:val="0"/>
          <w:numId w:val="1002"/>
        </w:numPr>
        <w:pStyle w:val="Compact"/>
      </w:pPr>
      <w:r>
        <w:t xml:space="preserve">World Health Organization Regional Office for Europe.</w:t>
      </w:r>
      <w:r>
        <w:t xml:space="preserve"> </w:t>
      </w:r>
      <w:r>
        <w:rPr>
          <w:iCs/>
          <w:i/>
        </w:rPr>
        <w:t xml:space="preserve">Can People Afford to Pay for Health Care? New Evidence on Financial Protection in Bulgaria</w:t>
      </w:r>
      <w:r>
        <w:t xml:space="preserve">. WHO Regional Office for Europe; 2022. ISBN 9789289056212.</w:t>
      </w:r>
    </w:p>
    <w:p>
      <w:pPr>
        <w:numPr>
          <w:ilvl w:val="0"/>
          <w:numId w:val="1002"/>
        </w:numPr>
        <w:pStyle w:val="Compact"/>
      </w:pPr>
      <w:r>
        <w:t xml:space="preserve">Dimova A, Rohova M, Atanasova E, et al. Drug policy in Bulgaria.</w:t>
      </w:r>
      <w:r>
        <w:t xml:space="preserve"> </w:t>
      </w:r>
      <w:r>
        <w:rPr>
          <w:iCs/>
          <w:i/>
        </w:rPr>
        <w:t xml:space="preserve">Value Health Reg Issues</w:t>
      </w:r>
      <w:r>
        <w:t xml:space="preserve">. 2017;13:50-54. doi:10.1016/j.vhri.2017.08.001</w:t>
      </w:r>
    </w:p>
    <w:p>
      <w:pPr>
        <w:numPr>
          <w:ilvl w:val="0"/>
          <w:numId w:val="1002"/>
        </w:numPr>
        <w:pStyle w:val="Compact"/>
      </w:pPr>
      <w:r>
        <w:t xml:space="preserve">Naredba za uslovijata, pravilata i reda za regulirane i registrirane na tsenite na lekarstvenite produkti [Ordinance on the regulation and registration of medicine prices].</w:t>
      </w:r>
      <w:r>
        <w:t xml:space="preserve"> </w:t>
      </w:r>
      <w:r>
        <w:rPr>
          <w:iCs/>
          <w:i/>
        </w:rPr>
        <w:t xml:space="preserve">State Gazette</w:t>
      </w:r>
      <w:r>
        <w:t xml:space="preserve">. 2019;(26), as amended.</w:t>
      </w:r>
    </w:p>
    <w:p>
      <w:pPr>
        <w:numPr>
          <w:ilvl w:val="0"/>
          <w:numId w:val="1002"/>
        </w:numPr>
        <w:pStyle w:val="Compact"/>
      </w:pPr>
      <w:r>
        <w:t xml:space="preserve">Savova A, Manova M, Tachkov K, Petrova G. The role of insurance policies in the drug pricing landscape.</w:t>
      </w:r>
      <w:r>
        <w:t xml:space="preserve"> </w:t>
      </w:r>
      <w:r>
        <w:rPr>
          <w:iCs/>
          <w:i/>
        </w:rPr>
        <w:t xml:space="preserve">Expert Rev Pharmacoecon Outcomes Res</w:t>
      </w:r>
      <w:r>
        <w:t xml:space="preserve">. 2024;24(2):189-202. doi:10.1080/14737167.2023.2292693</w:t>
      </w:r>
    </w:p>
    <w:p>
      <w:pPr>
        <w:numPr>
          <w:ilvl w:val="0"/>
          <w:numId w:val="1002"/>
        </w:numPr>
        <w:pStyle w:val="Compact"/>
      </w:pPr>
      <w:r>
        <w:t xml:space="preserve">Mitkova Z, Petrova G. Utilization, cost, and affordability of antihypertensive therapy in Bulgaria.</w:t>
      </w:r>
      <w:r>
        <w:t xml:space="preserve"> </w:t>
      </w:r>
      <w:r>
        <w:rPr>
          <w:iCs/>
          <w:i/>
        </w:rPr>
        <w:t xml:space="preserve">Iran J Pharm Res</w:t>
      </w:r>
      <w:r>
        <w:t xml:space="preserve">. 2021;20(2):403-416. doi:10.22037/ijpr.2020.113660.14418</w:t>
      </w:r>
    </w:p>
    <w:p>
      <w:pPr>
        <w:numPr>
          <w:ilvl w:val="0"/>
          <w:numId w:val="1002"/>
        </w:numPr>
        <w:pStyle w:val="Compact"/>
      </w:pPr>
      <w:r>
        <w:t xml:space="preserve">National Health Insurance Fund. Medicinal products in Annex 1 of the Positive Drug List for which payment by the NHIF is raised to 100 % from 1 April 2024. Sofia: NHIF; 2024.</w:t>
      </w:r>
    </w:p>
    <w:p>
      <w:pPr>
        <w:numPr>
          <w:ilvl w:val="0"/>
          <w:numId w:val="1002"/>
        </w:numPr>
        <w:pStyle w:val="Compact"/>
      </w:pPr>
      <w:r>
        <w:t xml:space="preserve">NCD Risk Factor Collaboration (NCD-RisC). Worldwide trends in hypertension prevalence and progress in treatment and control from 1990 to 2019: a pooled analysis of 1201 population-representative studies with 104 million participants.</w:t>
      </w:r>
      <w:r>
        <w:t xml:space="preserve"> </w:t>
      </w:r>
      <w:r>
        <w:rPr>
          <w:iCs/>
          <w:i/>
        </w:rPr>
        <w:t xml:space="preserve">Lancet</w:t>
      </w:r>
      <w:r>
        <w:t xml:space="preserve">. 2021;398(10304):957-980. doi:10.1016/S0140-6736(21)01330-1</w:t>
      </w:r>
    </w:p>
    <w:p>
      <w:pPr>
        <w:numPr>
          <w:ilvl w:val="0"/>
          <w:numId w:val="1002"/>
        </w:numPr>
        <w:pStyle w:val="Compact"/>
      </w:pPr>
      <w:r>
        <w:t xml:space="preserve">Chini F, Pezzotti P, Orzella L, Borgia P, Guasticchi G. Can we use the pharmacy data to estimate the prevalence of chronic conditions? A comparison of multiple data sources.</w:t>
      </w:r>
      <w:r>
        <w:t xml:space="preserve"> </w:t>
      </w:r>
      <w:r>
        <w:rPr>
          <w:iCs/>
          <w:i/>
        </w:rPr>
        <w:t xml:space="preserve">BMC Public Health</w:t>
      </w:r>
      <w:r>
        <w:t xml:space="preserve">. 2011;11:688. doi:10.1186/1471-2458-11-688</w:t>
      </w:r>
    </w:p>
    <w:p>
      <w:pPr>
        <w:numPr>
          <w:ilvl w:val="0"/>
          <w:numId w:val="1002"/>
        </w:numPr>
        <w:pStyle w:val="Compact"/>
      </w:pPr>
      <w:r>
        <w:t xml:space="preserve">Huber CA, Szucs TD, Rapold R, Reich O. Identifying patients with chronic conditions using pharmacy data in Switzerland: an updated mapping approach to the classification of medications.</w:t>
      </w:r>
      <w:r>
        <w:t xml:space="preserve"> </w:t>
      </w:r>
      <w:r>
        <w:rPr>
          <w:iCs/>
          <w:i/>
        </w:rPr>
        <w:t xml:space="preserve">BMC Public Health</w:t>
      </w:r>
      <w:r>
        <w:t xml:space="preserve">. 2013;13:1030. doi:10.1186/1471-2458-13-1030</w:t>
      </w:r>
    </w:p>
    <w:p>
      <w:pPr>
        <w:numPr>
          <w:ilvl w:val="0"/>
          <w:numId w:val="1002"/>
        </w:numPr>
        <w:pStyle w:val="Compact"/>
      </w:pPr>
      <w:r>
        <w:t xml:space="preserve">Larg A, Moss JR. Cost-of-illness studies: a guide to critical evaluation.</w:t>
      </w:r>
      <w:r>
        <w:t xml:space="preserve"> </w:t>
      </w:r>
      <w:r>
        <w:rPr>
          <w:iCs/>
          <w:i/>
        </w:rPr>
        <w:t xml:space="preserve">Pharmacoeconomics</w:t>
      </w:r>
      <w:r>
        <w:t xml:space="preserve">. 2011;29(8):653-671. doi:10.2165/11588380-000000000-00000</w:t>
      </w:r>
    </w:p>
    <w:p>
      <w:pPr>
        <w:numPr>
          <w:ilvl w:val="0"/>
          <w:numId w:val="1002"/>
        </w:numPr>
        <w:pStyle w:val="Compact"/>
      </w:pPr>
      <w:r>
        <w:t xml:space="preserve">Tarricone R. Cost-of-illness analysis. What room in health economics?</w:t>
      </w:r>
      <w:r>
        <w:t xml:space="preserve"> </w:t>
      </w:r>
      <w:r>
        <w:rPr>
          <w:iCs/>
          <w:i/>
        </w:rPr>
        <w:t xml:space="preserve">Health Policy</w:t>
      </w:r>
      <w:r>
        <w:t xml:space="preserve">. 2006;77(1):51-63. doi:10.1016/j.healthpol.2005.07.016</w:t>
      </w:r>
    </w:p>
    <w:p>
      <w:pPr>
        <w:numPr>
          <w:ilvl w:val="0"/>
          <w:numId w:val="1002"/>
        </w:numPr>
        <w:pStyle w:val="Compact"/>
      </w:pPr>
      <w:r>
        <w:t xml:space="preserve">Benchimol EI, Smeeth L, Guttmann A, et al. The REporting of studies Conducted using Observational Routinely-collected health Data (RECORD) statement.</w:t>
      </w:r>
      <w:r>
        <w:t xml:space="preserve"> </w:t>
      </w:r>
      <w:r>
        <w:rPr>
          <w:iCs/>
          <w:i/>
        </w:rPr>
        <w:t xml:space="preserve">PLoS Med</w:t>
      </w:r>
      <w:r>
        <w:t xml:space="preserve">. 2015;12(10):e1001885. doi:10.1371/journal.pmed.1001885</w:t>
      </w:r>
    </w:p>
    <w:p>
      <w:pPr>
        <w:numPr>
          <w:ilvl w:val="0"/>
          <w:numId w:val="1002"/>
        </w:numPr>
        <w:pStyle w:val="Compact"/>
      </w:pPr>
      <w:r>
        <w:t xml:space="preserve">National Health Insurance Fund. Expenditure and number of patients for medicinal products, medical devices and dietary foods for home treatment, by NHIF code and ICD code (Annex 1), Reports 1, 3 and 4. Monthly reports, January 2021–December 2025. Sofia: NHIF.</w:t>
      </w:r>
    </w:p>
    <w:p>
      <w:pPr>
        <w:numPr>
          <w:ilvl w:val="0"/>
          <w:numId w:val="1002"/>
        </w:numPr>
        <w:pStyle w:val="Compact"/>
      </w:pPr>
      <w:r>
        <w:t xml:space="preserve">National Statistical Institute. Unified classification of administrative-territorial and territorial units (EKATTE). Sofia: NSI. Accessed October 28, 2026. https://www.nsi.bg/nrnm/ekatte/index</w:t>
      </w:r>
    </w:p>
    <w:p>
      <w:pPr>
        <w:numPr>
          <w:ilvl w:val="0"/>
          <w:numId w:val="1002"/>
        </w:numPr>
        <w:pStyle w:val="Compact"/>
      </w:pPr>
      <w:r>
        <w:t xml:space="preserve">National Council on Prices and Reimbursement of Medicinal Products. Positive Drug List, Annex 1 and Annex 4, monthly updates February 2023–December 2025 and January 2026. Sofia: NCPR.</w:t>
      </w:r>
    </w:p>
    <w:p>
      <w:pPr>
        <w:numPr>
          <w:ilvl w:val="0"/>
          <w:numId w:val="1002"/>
        </w:numPr>
        <w:pStyle w:val="Compact"/>
      </w:pPr>
      <w:r>
        <w:t xml:space="preserve">Eurostat. Population on 1 January by broad age group, sex and NUTS 3 region (demo_r_pjanaggr3). Accessed October 27, 2026.</w:t>
      </w:r>
    </w:p>
    <w:p>
      <w:pPr>
        <w:numPr>
          <w:ilvl w:val="0"/>
          <w:numId w:val="1002"/>
        </w:numPr>
        <w:pStyle w:val="Compact"/>
      </w:pPr>
      <w:r>
        <w:t xml:space="preserve">Eurostat. Population on 1 January by age group and sex (demo_pjangroup). Accessed October 17, 2026.</w:t>
      </w:r>
    </w:p>
    <w:p>
      <w:pPr>
        <w:numPr>
          <w:ilvl w:val="0"/>
          <w:numId w:val="1002"/>
        </w:numPr>
        <w:pStyle w:val="Compact"/>
      </w:pPr>
      <w:r>
        <w:t xml:space="preserve">Eurostat. HICP – annual data (average index and rate of change) (prc_hicp_aind). Accessed October 27, 2026.</w:t>
      </w:r>
    </w:p>
    <w:p>
      <w:pPr>
        <w:numPr>
          <w:ilvl w:val="0"/>
          <w:numId w:val="1002"/>
        </w:numPr>
        <w:pStyle w:val="Compact"/>
      </w:pPr>
      <w:r>
        <w:t xml:space="preserve">Heidari S, Babor TF, De Castro P, Tort S, Curno M. Sex and gender equity in research: rationale for the SAGER guidelines and recommended use.</w:t>
      </w:r>
      <w:r>
        <w:t xml:space="preserve"> </w:t>
      </w:r>
      <w:r>
        <w:rPr>
          <w:iCs/>
          <w:i/>
        </w:rPr>
        <w:t xml:space="preserve">Res Integr Peer Rev</w:t>
      </w:r>
      <w:r>
        <w:t xml:space="preserve">. 2016;1:2. doi:10.1186/s41073-016-0007-6</w:t>
      </w:r>
    </w:p>
    <w:p>
      <w:pPr>
        <w:numPr>
          <w:ilvl w:val="0"/>
          <w:numId w:val="1002"/>
        </w:numPr>
        <w:pStyle w:val="Compact"/>
      </w:pPr>
      <w:r>
        <w:t xml:space="preserve">World Health Organization. Global Health Observatory: prevalence of hypertension among adults aged 30–79 years, Bulgaria, 2019. Geneva: WHO. Accessed October 27, 2026.</w:t>
      </w:r>
    </w:p>
    <w:p>
      <w:pPr>
        <w:numPr>
          <w:ilvl w:val="0"/>
          <w:numId w:val="1002"/>
        </w:numPr>
        <w:pStyle w:val="Compact"/>
      </w:pPr>
      <w:r>
        <w:t xml:space="preserve">Todorova A, Miceva D, Ivanova M, Kazakova T, Angelovska B. Access to medicines in Bulgaria and North Macedonia: legislative, pricing, and reimbursement perspectives.</w:t>
      </w:r>
      <w:r>
        <w:t xml:space="preserve"> </w:t>
      </w:r>
      <w:r>
        <w:rPr>
          <w:iCs/>
          <w:i/>
        </w:rPr>
        <w:t xml:space="preserve">Pharmacy (Basel)</w:t>
      </w:r>
      <w:r>
        <w:t xml:space="preserve">. 2026;14(2):52. doi:10.3390/pharmacy14020052</w:t>
      </w:r>
    </w:p>
    <w:p>
      <w:pPr>
        <w:numPr>
          <w:ilvl w:val="0"/>
          <w:numId w:val="1002"/>
        </w:numPr>
        <w:pStyle w:val="Compact"/>
      </w:pPr>
      <w:r>
        <w:t xml:space="preserve">Maslyankov I, Hernández M. The prevalence and determinants of unmet healthcare needs in Bulgaria.</w:t>
      </w:r>
      <w:r>
        <w:t xml:space="preserve"> </w:t>
      </w:r>
      <w:r>
        <w:rPr>
          <w:iCs/>
          <w:i/>
        </w:rPr>
        <w:t xml:space="preserve">PLoS One</w:t>
      </w:r>
      <w:r>
        <w:t xml:space="preserve">. 2024;19(10):e0312475. doi:10.1371/journal.pone.0312475</w:t>
      </w:r>
    </w:p>
    <w:p>
      <w:pPr>
        <w:numPr>
          <w:ilvl w:val="0"/>
          <w:numId w:val="1002"/>
        </w:numPr>
        <w:pStyle w:val="Compact"/>
      </w:pPr>
      <w:r>
        <w:t xml:space="preserve">[Reference removed for anonymised review: companion interrupted time-series analysis of the April 2024 reimbursement reform.]</w:t>
      </w:r>
    </w:p>
    <w:p>
      <w:pPr>
        <w:numPr>
          <w:ilvl w:val="0"/>
          <w:numId w:val="1002"/>
        </w:numPr>
        <w:pStyle w:val="Compact"/>
      </w:pPr>
      <w:r>
        <w:t xml:space="preserve">Choudhry NK, Avorn J, Glynn RJ, et al. Full coverage for preventive medications after myocardial infarction.</w:t>
      </w:r>
      <w:r>
        <w:t xml:space="preserve"> </w:t>
      </w:r>
      <w:r>
        <w:rPr>
          <w:iCs/>
          <w:i/>
        </w:rPr>
        <w:t xml:space="preserve">N Engl J Med</w:t>
      </w:r>
      <w:r>
        <w:t xml:space="preserve">. 2011;365(22):2088-2097. doi:10.1056/NEJMsa1107913</w:t>
      </w:r>
    </w:p>
    <w:p>
      <w:pPr>
        <w:numPr>
          <w:ilvl w:val="0"/>
          <w:numId w:val="1002"/>
        </w:numPr>
        <w:pStyle w:val="Compact"/>
      </w:pPr>
      <w:r>
        <w:t xml:space="preserve">Naydenov S, Runev N, Manov E, et al. Risk factors, co-morbidities and treatment of in-hospital patients with atrial fibrillation in Bulgaria.</w:t>
      </w:r>
      <w:r>
        <w:t xml:space="preserve"> </w:t>
      </w:r>
      <w:r>
        <w:rPr>
          <w:iCs/>
          <w:i/>
        </w:rPr>
        <w:t xml:space="preserve">Medicina (Kaunas)</w:t>
      </w:r>
      <w:r>
        <w:t xml:space="preserve">. 2018;54(3):34. doi:10.3390/medicina54030034</w:t>
      </w:r>
    </w:p>
    <w:p>
      <w:r>
        <w:pict>
          <v:rect style="width:0;height:1.5pt" o:hralign="center" o:hrstd="t" o:hr="t"/>
        </w:pict>
      </w:r>
    </w:p>
    <w:p>
      <w:r>
        <w:br w:type="page"/>
      </w:r>
    </w:p>
    <w:bookmarkEnd w:id="47"/>
    <w:bookmarkStart w:id="48" w:name="tables"/>
    <w:p>
      <w:pPr>
        <w:pStyle w:val="Heading2"/>
      </w:pPr>
      <w:r>
        <w:t xml:space="preserve">Tables</w:t>
      </w:r>
    </w:p>
    <w:p>
      <w:pPr>
        <w:pStyle w:val="FirstParagraph"/>
      </w:pPr>
      <w:r>
        <w:rPr>
          <w:bCs/>
          <w:b/>
        </w:rPr>
        <w:t xml:space="preserve">Table 1. Treated persons per month receiving reimbursed medicines, by cardiovascular disease group, Bulgaria, 2021–2025</w:t>
      </w:r>
    </w:p>
    <w:tbl>
      <w:tblPr>
        <w:tblStyle w:val="Table"/>
        <w:tblW w:type="dxa" w:w="9411"/>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98"/>
        <w:gridCol w:w="916"/>
        <w:gridCol w:w="916"/>
        <w:gridCol w:w="1665"/>
        <w:gridCol w:w="1582"/>
        <w:gridCol w:w="1832"/>
      </w:tblGrid>
      <w:tr>
        <w:trPr>
          <w:tblHeader w:val="true"/>
        </w:trPr>
        <w:tc>
          <w:tcPr>
            <w:tcW w:type="dxa" w:w="2499"/>
          </w:tcPr>
          <w:p>
            <w:pPr>
              <w:pStyle w:val="Compact"/>
              <w:spacing w:after="0" w:before="0" w:line="240" w:lineRule="auto"/>
              <w:jc w:val="left"/>
            </w:pPr>
            <w:r>
              <w:rPr>
                <w:rFonts w:ascii="Times New Roman" w:hAnsi="Times New Roman"/>
                <w:sz w:val="20"/>
              </w:rPr>
              <w:t xml:space="preserve">Disease group</w:t>
            </w:r>
          </w:p>
        </w:tc>
        <w:tc>
          <w:tcPr>
            <w:tcW w:type="dxa" w:w="916"/>
          </w:tcPr>
          <w:p>
            <w:pPr>
              <w:pStyle w:val="Compact"/>
              <w:spacing w:after="0" w:before="0" w:line="240" w:lineRule="auto"/>
              <w:jc w:val="left"/>
            </w:pPr>
            <w:r>
              <w:rPr>
                <w:rFonts w:ascii="Times New Roman" w:hAnsi="Times New Roman"/>
                <w:sz w:val="20"/>
              </w:rPr>
              <w:t xml:space="preserve">2021</w:t>
            </w:r>
          </w:p>
        </w:tc>
        <w:tc>
          <w:tcPr>
            <w:tcW w:type="dxa" w:w="916"/>
          </w:tcPr>
          <w:p>
            <w:pPr>
              <w:pStyle w:val="Compact"/>
              <w:spacing w:after="0" w:before="0" w:line="240" w:lineRule="auto"/>
              <w:jc w:val="left"/>
            </w:pPr>
            <w:r>
              <w:rPr>
                <w:rFonts w:ascii="Times New Roman" w:hAnsi="Times New Roman"/>
                <w:sz w:val="20"/>
              </w:rPr>
              <w:t xml:space="preserve">2023</w:t>
            </w:r>
          </w:p>
        </w:tc>
        <w:tc>
          <w:tcPr>
            <w:tcW w:type="dxa" w:w="1666"/>
          </w:tcPr>
          <w:p>
            <w:pPr>
              <w:pStyle w:val="Compact"/>
              <w:spacing w:after="0" w:before="0" w:line="240" w:lineRule="auto"/>
              <w:jc w:val="left"/>
            </w:pPr>
            <w:r>
              <w:rPr>
                <w:rFonts w:ascii="Times New Roman" w:hAnsi="Times New Roman"/>
                <w:sz w:val="20"/>
              </w:rPr>
              <w:t xml:space="preserve">2025</w:t>
            </w:r>
          </w:p>
        </w:tc>
        <w:tc>
          <w:tcPr>
            <w:tcW w:type="dxa" w:w="1582"/>
          </w:tcPr>
          <w:p>
            <w:pPr>
              <w:pStyle w:val="Compact"/>
              <w:spacing w:after="0" w:before="0" w:line="240" w:lineRule="auto"/>
              <w:jc w:val="left"/>
            </w:pPr>
            <w:r>
              <w:rPr>
                <w:rFonts w:ascii="Times New Roman" w:hAnsi="Times New Roman"/>
                <w:sz w:val="20"/>
              </w:rPr>
              <w:t xml:space="preserve">Change 2021–2025, %</w:t>
            </w:r>
          </w:p>
        </w:tc>
        <w:tc>
          <w:tcPr>
            <w:tcW w:type="dxa" w:w="1832"/>
          </w:tcPr>
          <w:p>
            <w:pPr>
              <w:pStyle w:val="Compact"/>
              <w:spacing w:after="0" w:before="0" w:line="240" w:lineRule="auto"/>
              <w:jc w:val="left"/>
            </w:pPr>
            <w:r>
              <w:rPr>
                <w:rFonts w:ascii="Times New Roman" w:hAnsi="Times New Roman"/>
                <w:sz w:val="20"/>
              </w:rPr>
              <w:t xml:space="preserve">2025, per 100 population (95 % CI)</w:t>
            </w:r>
          </w:p>
        </w:tc>
      </w:tr>
      <w:tr>
        <w:tc>
          <w:tcPr>
            <w:tcW w:type="dxa" w:w="2499"/>
          </w:tcPr>
          <w:p>
            <w:pPr>
              <w:pStyle w:val="Compact"/>
              <w:spacing w:after="0" w:before="0" w:line="240" w:lineRule="auto"/>
              <w:jc w:val="left"/>
            </w:pPr>
            <w:r>
              <w:rPr>
                <w:rFonts w:ascii="Times New Roman" w:hAnsi="Times New Roman"/>
                <w:sz w:val="20"/>
              </w:rPr>
              <w:t xml:space="preserve">Hypertensive diseases (I10–I13)</w:t>
            </w:r>
          </w:p>
        </w:tc>
        <w:tc>
          <w:tcPr>
            <w:tcW w:type="dxa" w:w="916"/>
          </w:tcPr>
          <w:p>
            <w:pPr>
              <w:pStyle w:val="Compact"/>
              <w:spacing w:after="0" w:before="0" w:line="240" w:lineRule="auto"/>
              <w:jc w:val="left"/>
            </w:pPr>
            <w:r>
              <w:rPr>
                <w:rFonts w:ascii="Times New Roman" w:hAnsi="Times New Roman"/>
                <w:sz w:val="20"/>
              </w:rPr>
              <w:t xml:space="preserve">802 875</w:t>
            </w:r>
          </w:p>
        </w:tc>
        <w:tc>
          <w:tcPr>
            <w:tcW w:type="dxa" w:w="916"/>
          </w:tcPr>
          <w:p>
            <w:pPr>
              <w:pStyle w:val="Compact"/>
              <w:spacing w:after="0" w:before="0" w:line="240" w:lineRule="auto"/>
              <w:jc w:val="left"/>
            </w:pPr>
            <w:r>
              <w:rPr>
                <w:rFonts w:ascii="Times New Roman" w:hAnsi="Times New Roman"/>
                <w:sz w:val="20"/>
              </w:rPr>
              <w:t xml:space="preserve">775 721</w:t>
            </w:r>
          </w:p>
        </w:tc>
        <w:tc>
          <w:tcPr>
            <w:tcW w:type="dxa" w:w="1666"/>
          </w:tcPr>
          <w:p>
            <w:pPr>
              <w:pStyle w:val="Compact"/>
              <w:spacing w:after="0" w:before="0" w:line="240" w:lineRule="auto"/>
              <w:jc w:val="left"/>
            </w:pPr>
            <w:r>
              <w:rPr>
                <w:rFonts w:ascii="Times New Roman" w:hAnsi="Times New Roman"/>
                <w:sz w:val="20"/>
              </w:rPr>
              <w:t xml:space="preserve">855 118</w:t>
            </w:r>
          </w:p>
        </w:tc>
        <w:tc>
          <w:tcPr>
            <w:tcW w:type="dxa" w:w="1582"/>
          </w:tcPr>
          <w:p>
            <w:pPr>
              <w:pStyle w:val="Compact"/>
              <w:spacing w:after="0" w:before="0" w:line="240" w:lineRule="auto"/>
              <w:jc w:val="left"/>
            </w:pPr>
            <w:r>
              <w:rPr>
                <w:rFonts w:ascii="Times New Roman" w:hAnsi="Times New Roman"/>
                <w:sz w:val="20"/>
              </w:rPr>
              <w:t xml:space="preserve">+6.5</w:t>
            </w:r>
          </w:p>
        </w:tc>
        <w:tc>
          <w:tcPr>
            <w:tcW w:type="dxa" w:w="1832"/>
          </w:tcPr>
          <w:p>
            <w:pPr>
              <w:pStyle w:val="Compact"/>
              <w:spacing w:after="0" w:before="0" w:line="240" w:lineRule="auto"/>
              <w:jc w:val="left"/>
            </w:pPr>
            <w:r>
              <w:rPr>
                <w:rFonts w:ascii="Times New Roman" w:hAnsi="Times New Roman"/>
                <w:sz w:val="20"/>
              </w:rPr>
              <w:t xml:space="preserve">13.28 (13.15–13.41)</w:t>
            </w:r>
          </w:p>
        </w:tc>
      </w:tr>
      <w:tr>
        <w:tc>
          <w:tcPr>
            <w:tcW w:type="dxa" w:w="2499"/>
          </w:tcPr>
          <w:p>
            <w:pPr>
              <w:pStyle w:val="Compact"/>
              <w:spacing w:after="0" w:before="0" w:line="240" w:lineRule="auto"/>
              <w:jc w:val="left"/>
            </w:pPr>
            <w:r>
              <w:rPr>
                <w:rFonts w:ascii="Times New Roman" w:hAnsi="Times New Roman"/>
                <w:sz w:val="20"/>
              </w:rPr>
              <w:t xml:space="preserve">Ischaemic heart disease (I20, I25)</w:t>
            </w:r>
          </w:p>
        </w:tc>
        <w:tc>
          <w:tcPr>
            <w:tcW w:type="dxa" w:w="916"/>
          </w:tcPr>
          <w:p>
            <w:pPr>
              <w:pStyle w:val="Compact"/>
              <w:spacing w:after="0" w:before="0" w:line="240" w:lineRule="auto"/>
              <w:jc w:val="left"/>
            </w:pPr>
            <w:r>
              <w:rPr>
                <w:rFonts w:ascii="Times New Roman" w:hAnsi="Times New Roman"/>
                <w:sz w:val="20"/>
              </w:rPr>
              <w:t xml:space="preserve">306 981</w:t>
            </w:r>
          </w:p>
        </w:tc>
        <w:tc>
          <w:tcPr>
            <w:tcW w:type="dxa" w:w="916"/>
          </w:tcPr>
          <w:p>
            <w:pPr>
              <w:pStyle w:val="Compact"/>
              <w:spacing w:after="0" w:before="0" w:line="240" w:lineRule="auto"/>
              <w:jc w:val="left"/>
            </w:pPr>
            <w:r>
              <w:rPr>
                <w:rFonts w:ascii="Times New Roman" w:hAnsi="Times New Roman"/>
                <w:sz w:val="20"/>
              </w:rPr>
              <w:t xml:space="preserve">316 349</w:t>
            </w:r>
          </w:p>
        </w:tc>
        <w:tc>
          <w:tcPr>
            <w:tcW w:type="dxa" w:w="1666"/>
          </w:tcPr>
          <w:p>
            <w:pPr>
              <w:pStyle w:val="Compact"/>
              <w:spacing w:after="0" w:before="0" w:line="240" w:lineRule="auto"/>
              <w:jc w:val="left"/>
            </w:pPr>
            <w:r>
              <w:rPr>
                <w:rFonts w:ascii="Times New Roman" w:hAnsi="Times New Roman"/>
                <w:sz w:val="20"/>
              </w:rPr>
              <w:t xml:space="preserve">365 564</w:t>
            </w:r>
          </w:p>
        </w:tc>
        <w:tc>
          <w:tcPr>
            <w:tcW w:type="dxa" w:w="1582"/>
          </w:tcPr>
          <w:p>
            <w:pPr>
              <w:pStyle w:val="Compact"/>
              <w:spacing w:after="0" w:before="0" w:line="240" w:lineRule="auto"/>
              <w:jc w:val="left"/>
            </w:pPr>
            <w:r>
              <w:rPr>
                <w:rFonts w:ascii="Times New Roman" w:hAnsi="Times New Roman"/>
                <w:sz w:val="20"/>
              </w:rPr>
              <w:t xml:space="preserve">+19.1</w:t>
            </w:r>
          </w:p>
        </w:tc>
        <w:tc>
          <w:tcPr>
            <w:tcW w:type="dxa" w:w="1832"/>
          </w:tcPr>
          <w:p>
            <w:pPr>
              <w:pStyle w:val="Compact"/>
              <w:spacing w:after="0" w:before="0" w:line="240" w:lineRule="auto"/>
              <w:jc w:val="left"/>
            </w:pPr>
            <w:r>
              <w:rPr>
                <w:rFonts w:ascii="Times New Roman" w:hAnsi="Times New Roman"/>
                <w:sz w:val="20"/>
              </w:rPr>
              <w:t xml:space="preserve">5.68 (5.60–5.76)</w:t>
            </w:r>
          </w:p>
        </w:tc>
      </w:tr>
      <w:tr>
        <w:tc>
          <w:tcPr>
            <w:tcW w:type="dxa" w:w="2499"/>
          </w:tcPr>
          <w:p>
            <w:pPr>
              <w:pStyle w:val="Compact"/>
              <w:spacing w:after="0" w:before="0" w:line="240" w:lineRule="auto"/>
              <w:jc w:val="left"/>
            </w:pPr>
            <w:r>
              <w:rPr>
                <w:rFonts w:ascii="Times New Roman" w:hAnsi="Times New Roman"/>
                <w:sz w:val="20"/>
              </w:rPr>
              <w:t xml:space="preserve">Arrhythmias and heart failure (I44–I50)</w:t>
            </w:r>
          </w:p>
        </w:tc>
        <w:tc>
          <w:tcPr>
            <w:tcW w:type="dxa" w:w="916"/>
          </w:tcPr>
          <w:p>
            <w:pPr>
              <w:pStyle w:val="Compact"/>
              <w:spacing w:after="0" w:before="0" w:line="240" w:lineRule="auto"/>
              <w:jc w:val="left"/>
            </w:pPr>
            <w:r>
              <w:rPr>
                <w:rFonts w:ascii="Times New Roman" w:hAnsi="Times New Roman"/>
                <w:sz w:val="20"/>
              </w:rPr>
              <w:t xml:space="preserve">189 259</w:t>
            </w:r>
          </w:p>
        </w:tc>
        <w:tc>
          <w:tcPr>
            <w:tcW w:type="dxa" w:w="916"/>
          </w:tcPr>
          <w:p>
            <w:pPr>
              <w:pStyle w:val="Compact"/>
              <w:spacing w:after="0" w:before="0" w:line="240" w:lineRule="auto"/>
              <w:jc w:val="left"/>
            </w:pPr>
            <w:r>
              <w:rPr>
                <w:rFonts w:ascii="Times New Roman" w:hAnsi="Times New Roman"/>
                <w:sz w:val="20"/>
              </w:rPr>
              <w:t xml:space="preserve">219 218</w:t>
            </w:r>
          </w:p>
        </w:tc>
        <w:tc>
          <w:tcPr>
            <w:tcW w:type="dxa" w:w="1666"/>
          </w:tcPr>
          <w:p>
            <w:pPr>
              <w:pStyle w:val="Compact"/>
              <w:spacing w:after="0" w:before="0" w:line="240" w:lineRule="auto"/>
              <w:jc w:val="left"/>
            </w:pPr>
            <w:r>
              <w:rPr>
                <w:rFonts w:ascii="Times New Roman" w:hAnsi="Times New Roman"/>
                <w:sz w:val="20"/>
              </w:rPr>
              <w:t xml:space="preserve">295 239</w:t>
            </w:r>
          </w:p>
        </w:tc>
        <w:tc>
          <w:tcPr>
            <w:tcW w:type="dxa" w:w="1582"/>
          </w:tcPr>
          <w:p>
            <w:pPr>
              <w:pStyle w:val="Compact"/>
              <w:spacing w:after="0" w:before="0" w:line="240" w:lineRule="auto"/>
              <w:jc w:val="left"/>
            </w:pPr>
            <w:r>
              <w:rPr>
                <w:rFonts w:ascii="Times New Roman" w:hAnsi="Times New Roman"/>
                <w:sz w:val="20"/>
              </w:rPr>
              <w:t xml:space="preserve">+56.0</w:t>
            </w:r>
          </w:p>
        </w:tc>
        <w:tc>
          <w:tcPr>
            <w:tcW w:type="dxa" w:w="1832"/>
          </w:tcPr>
          <w:p>
            <w:pPr>
              <w:pStyle w:val="Compact"/>
              <w:spacing w:after="0" w:before="0" w:line="240" w:lineRule="auto"/>
              <w:jc w:val="left"/>
            </w:pPr>
            <w:r>
              <w:rPr>
                <w:rFonts w:ascii="Times New Roman" w:hAnsi="Times New Roman"/>
                <w:sz w:val="20"/>
              </w:rPr>
              <w:t xml:space="preserve">4.59 (4.47–4.71)</w:t>
            </w:r>
          </w:p>
        </w:tc>
      </w:tr>
      <w:tr>
        <w:tc>
          <w:tcPr>
            <w:tcW w:type="dxa" w:w="2499"/>
          </w:tcPr>
          <w:p>
            <w:pPr>
              <w:pStyle w:val="Compact"/>
              <w:spacing w:after="0" w:before="0" w:line="240" w:lineRule="auto"/>
              <w:jc w:val="left"/>
            </w:pPr>
            <w:r>
              <w:rPr>
                <w:rFonts w:ascii="Times New Roman" w:hAnsi="Times New Roman"/>
                <w:sz w:val="20"/>
              </w:rPr>
              <w:t xml:space="preserve">Sequelae of cerebrovascular disease (I69)</w:t>
            </w:r>
          </w:p>
        </w:tc>
        <w:tc>
          <w:tcPr>
            <w:tcW w:type="dxa" w:w="916"/>
          </w:tcPr>
          <w:p>
            <w:pPr>
              <w:pStyle w:val="Compact"/>
              <w:spacing w:after="0" w:before="0" w:line="240" w:lineRule="auto"/>
              <w:jc w:val="left"/>
            </w:pPr>
            <w:r>
              <w:rPr>
                <w:rFonts w:ascii="Times New Roman" w:hAnsi="Times New Roman"/>
                <w:sz w:val="20"/>
              </w:rPr>
              <w:t xml:space="preserve">144 260</w:t>
            </w:r>
          </w:p>
        </w:tc>
        <w:tc>
          <w:tcPr>
            <w:tcW w:type="dxa" w:w="916"/>
          </w:tcPr>
          <w:p>
            <w:pPr>
              <w:pStyle w:val="Compact"/>
              <w:spacing w:after="0" w:before="0" w:line="240" w:lineRule="auto"/>
              <w:jc w:val="left"/>
            </w:pPr>
            <w:r>
              <w:rPr>
                <w:rFonts w:ascii="Times New Roman" w:hAnsi="Times New Roman"/>
                <w:sz w:val="20"/>
              </w:rPr>
              <w:t xml:space="preserve">134 401</w:t>
            </w:r>
          </w:p>
        </w:tc>
        <w:tc>
          <w:tcPr>
            <w:tcW w:type="dxa" w:w="1666"/>
          </w:tcPr>
          <w:p>
            <w:pPr>
              <w:pStyle w:val="Compact"/>
              <w:spacing w:after="0" w:before="0" w:line="240" w:lineRule="auto"/>
              <w:jc w:val="left"/>
            </w:pPr>
            <w:r>
              <w:rPr>
                <w:rFonts w:ascii="Times New Roman" w:hAnsi="Times New Roman"/>
                <w:sz w:val="20"/>
              </w:rPr>
              <w:t xml:space="preserve">136 634</w:t>
            </w:r>
          </w:p>
        </w:tc>
        <w:tc>
          <w:tcPr>
            <w:tcW w:type="dxa" w:w="1582"/>
          </w:tcPr>
          <w:p>
            <w:pPr>
              <w:pStyle w:val="Compact"/>
              <w:spacing w:after="0" w:before="0" w:line="240" w:lineRule="auto"/>
              <w:jc w:val="left"/>
            </w:pPr>
            <w:r>
              <w:rPr>
                <w:rFonts w:ascii="Times New Roman" w:hAnsi="Times New Roman"/>
                <w:sz w:val="20"/>
              </w:rPr>
              <w:t xml:space="preserve">−5.3</w:t>
            </w:r>
          </w:p>
        </w:tc>
        <w:tc>
          <w:tcPr>
            <w:tcW w:type="dxa" w:w="1832"/>
          </w:tcPr>
          <w:p>
            <w:pPr>
              <w:pStyle w:val="Compact"/>
              <w:spacing w:after="0" w:before="0" w:line="240" w:lineRule="auto"/>
              <w:jc w:val="left"/>
            </w:pPr>
            <w:r>
              <w:rPr>
                <w:rFonts w:ascii="Times New Roman" w:hAnsi="Times New Roman"/>
                <w:sz w:val="20"/>
              </w:rPr>
              <w:t xml:space="preserve">2.12 (2.10–2.14)</w:t>
            </w:r>
          </w:p>
        </w:tc>
      </w:tr>
      <w:tr>
        <w:tc>
          <w:tcPr>
            <w:tcW w:type="dxa" w:w="2499"/>
          </w:tcPr>
          <w:p>
            <w:pPr>
              <w:pStyle w:val="Compact"/>
              <w:spacing w:after="0" w:before="0" w:line="240" w:lineRule="auto"/>
              <w:jc w:val="left"/>
            </w:pPr>
            <w:r>
              <w:rPr>
                <w:rFonts w:ascii="Times New Roman" w:hAnsi="Times New Roman"/>
                <w:sz w:val="20"/>
              </w:rPr>
              <w:t xml:space="preserve">Venous thromboembolism (I80)</w:t>
            </w:r>
          </w:p>
        </w:tc>
        <w:tc>
          <w:tcPr>
            <w:tcW w:type="dxa" w:w="916"/>
          </w:tcPr>
          <w:p>
            <w:pPr>
              <w:pStyle w:val="Compact"/>
              <w:spacing w:after="0" w:before="0" w:line="240" w:lineRule="auto"/>
              <w:jc w:val="left"/>
            </w:pPr>
            <w:r>
              <w:rPr>
                <w:rFonts w:ascii="Times New Roman" w:hAnsi="Times New Roman"/>
                <w:sz w:val="20"/>
              </w:rPr>
              <w:t xml:space="preserve">7 452</w:t>
            </w:r>
          </w:p>
        </w:tc>
        <w:tc>
          <w:tcPr>
            <w:tcW w:type="dxa" w:w="916"/>
          </w:tcPr>
          <w:p>
            <w:pPr>
              <w:pStyle w:val="Compact"/>
              <w:spacing w:after="0" w:before="0" w:line="240" w:lineRule="auto"/>
              <w:jc w:val="left"/>
            </w:pPr>
            <w:r>
              <w:rPr>
                <w:rFonts w:ascii="Times New Roman" w:hAnsi="Times New Roman"/>
                <w:sz w:val="20"/>
              </w:rPr>
              <w:t xml:space="preserve">9 762</w:t>
            </w:r>
          </w:p>
        </w:tc>
        <w:tc>
          <w:tcPr>
            <w:tcW w:type="dxa" w:w="1666"/>
          </w:tcPr>
          <w:p>
            <w:pPr>
              <w:pStyle w:val="Compact"/>
              <w:spacing w:after="0" w:before="0" w:line="240" w:lineRule="auto"/>
              <w:jc w:val="left"/>
            </w:pPr>
            <w:r>
              <w:rPr>
                <w:rFonts w:ascii="Times New Roman" w:hAnsi="Times New Roman"/>
                <w:sz w:val="20"/>
              </w:rPr>
              <w:t xml:space="preserve">12 623</w:t>
            </w:r>
          </w:p>
        </w:tc>
        <w:tc>
          <w:tcPr>
            <w:tcW w:type="dxa" w:w="1582"/>
          </w:tcPr>
          <w:p>
            <w:pPr>
              <w:pStyle w:val="Compact"/>
              <w:spacing w:after="0" w:before="0" w:line="240" w:lineRule="auto"/>
              <w:jc w:val="left"/>
            </w:pPr>
            <w:r>
              <w:rPr>
                <w:rFonts w:ascii="Times New Roman" w:hAnsi="Times New Roman"/>
                <w:sz w:val="20"/>
              </w:rPr>
              <w:t xml:space="preserve">+69.4</w:t>
            </w:r>
          </w:p>
        </w:tc>
        <w:tc>
          <w:tcPr>
            <w:tcW w:type="dxa" w:w="1832"/>
          </w:tcPr>
          <w:p>
            <w:pPr>
              <w:pStyle w:val="Compact"/>
              <w:spacing w:after="0" w:before="0" w:line="240" w:lineRule="auto"/>
              <w:jc w:val="left"/>
            </w:pPr>
            <w:r>
              <w:rPr>
                <w:rFonts w:ascii="Times New Roman" w:hAnsi="Times New Roman"/>
                <w:sz w:val="20"/>
              </w:rPr>
              <w:t xml:space="preserve">0.20 (0.19–0.20)</w:t>
            </w:r>
          </w:p>
        </w:tc>
      </w:tr>
      <w:tr>
        <w:tc>
          <w:tcPr>
            <w:tcW w:type="dxa" w:w="2499"/>
          </w:tcPr>
          <w:p>
            <w:pPr>
              <w:pStyle w:val="Compact"/>
              <w:spacing w:after="0" w:before="0" w:line="240" w:lineRule="auto"/>
              <w:jc w:val="left"/>
            </w:pPr>
            <w:r>
              <w:rPr>
                <w:rFonts w:ascii="Times New Roman" w:hAnsi="Times New Roman"/>
                <w:sz w:val="20"/>
              </w:rPr>
              <w:t xml:space="preserve">Pulmonary embolism and pulmonary hypertension (I26–I27)</w:t>
            </w:r>
          </w:p>
        </w:tc>
        <w:tc>
          <w:tcPr>
            <w:tcW w:type="dxa" w:w="916"/>
          </w:tcPr>
          <w:p>
            <w:pPr>
              <w:pStyle w:val="Compact"/>
              <w:spacing w:after="0" w:before="0" w:line="240" w:lineRule="auto"/>
              <w:jc w:val="left"/>
            </w:pPr>
            <w:r>
              <w:rPr>
                <w:rFonts w:ascii="Times New Roman" w:hAnsi="Times New Roman"/>
                <w:sz w:val="20"/>
              </w:rPr>
              <w:t xml:space="preserve">3 004</w:t>
            </w:r>
          </w:p>
        </w:tc>
        <w:tc>
          <w:tcPr>
            <w:tcW w:type="dxa" w:w="916"/>
          </w:tcPr>
          <w:p>
            <w:pPr>
              <w:pStyle w:val="Compact"/>
              <w:spacing w:after="0" w:before="0" w:line="240" w:lineRule="auto"/>
              <w:jc w:val="left"/>
            </w:pPr>
            <w:r>
              <w:rPr>
                <w:rFonts w:ascii="Times New Roman" w:hAnsi="Times New Roman"/>
                <w:sz w:val="20"/>
              </w:rPr>
              <w:t xml:space="preserve">3 763</w:t>
            </w:r>
          </w:p>
        </w:tc>
        <w:tc>
          <w:tcPr>
            <w:tcW w:type="dxa" w:w="1666"/>
          </w:tcPr>
          <w:p>
            <w:pPr>
              <w:pStyle w:val="Compact"/>
              <w:spacing w:after="0" w:before="0" w:line="240" w:lineRule="auto"/>
              <w:jc w:val="left"/>
            </w:pPr>
            <w:r>
              <w:rPr>
                <w:rFonts w:ascii="Times New Roman" w:hAnsi="Times New Roman"/>
                <w:sz w:val="20"/>
              </w:rPr>
              <w:t xml:space="preserve">4 969</w:t>
            </w:r>
          </w:p>
        </w:tc>
        <w:tc>
          <w:tcPr>
            <w:tcW w:type="dxa" w:w="1582"/>
          </w:tcPr>
          <w:p>
            <w:pPr>
              <w:pStyle w:val="Compact"/>
              <w:spacing w:after="0" w:before="0" w:line="240" w:lineRule="auto"/>
              <w:jc w:val="left"/>
            </w:pPr>
            <w:r>
              <w:rPr>
                <w:rFonts w:ascii="Times New Roman" w:hAnsi="Times New Roman"/>
                <w:sz w:val="20"/>
              </w:rPr>
              <w:t xml:space="preserve">+65.4</w:t>
            </w:r>
          </w:p>
        </w:tc>
        <w:tc>
          <w:tcPr>
            <w:tcW w:type="dxa" w:w="1832"/>
          </w:tcPr>
          <w:p>
            <w:pPr>
              <w:pStyle w:val="Compact"/>
              <w:spacing w:after="0" w:before="0" w:line="240" w:lineRule="auto"/>
              <w:jc w:val="left"/>
            </w:pPr>
            <w:r>
              <w:rPr>
                <w:rFonts w:ascii="Times New Roman" w:hAnsi="Times New Roman"/>
                <w:sz w:val="20"/>
              </w:rPr>
              <w:t xml:space="preserve">0.08 (0.08–0.08)</w:t>
            </w:r>
          </w:p>
        </w:tc>
      </w:tr>
      <w:tr>
        <w:tc>
          <w:tcPr>
            <w:tcW w:type="dxa" w:w="2499"/>
          </w:tcPr>
          <w:p>
            <w:pPr>
              <w:pStyle w:val="Compact"/>
              <w:spacing w:after="0" w:before="0" w:line="240" w:lineRule="auto"/>
              <w:jc w:val="left"/>
            </w:pPr>
            <w:r>
              <w:rPr>
                <w:rFonts w:ascii="Times New Roman" w:hAnsi="Times New Roman"/>
                <w:sz w:val="20"/>
              </w:rPr>
              <w:t xml:space="preserve">Arterial disease (I73–I74)</w:t>
            </w:r>
          </w:p>
        </w:tc>
        <w:tc>
          <w:tcPr>
            <w:tcW w:type="dxa" w:w="916"/>
          </w:tcPr>
          <w:p>
            <w:pPr>
              <w:pStyle w:val="Compact"/>
              <w:spacing w:after="0" w:before="0" w:line="240" w:lineRule="auto"/>
              <w:jc w:val="left"/>
            </w:pPr>
            <w:r>
              <w:rPr>
                <w:rFonts w:ascii="Times New Roman" w:hAnsi="Times New Roman"/>
                <w:sz w:val="20"/>
              </w:rPr>
              <w:t xml:space="preserve">2 514</w:t>
            </w:r>
          </w:p>
        </w:tc>
        <w:tc>
          <w:tcPr>
            <w:tcW w:type="dxa" w:w="916"/>
          </w:tcPr>
          <w:p>
            <w:pPr>
              <w:pStyle w:val="Compact"/>
              <w:spacing w:after="0" w:before="0" w:line="240" w:lineRule="auto"/>
              <w:jc w:val="left"/>
            </w:pPr>
            <w:r>
              <w:rPr>
                <w:rFonts w:ascii="Times New Roman" w:hAnsi="Times New Roman"/>
                <w:sz w:val="20"/>
              </w:rPr>
              <w:t xml:space="preserve">2 040</w:t>
            </w:r>
          </w:p>
        </w:tc>
        <w:tc>
          <w:tcPr>
            <w:tcW w:type="dxa" w:w="1666"/>
          </w:tcPr>
          <w:p>
            <w:pPr>
              <w:pStyle w:val="Compact"/>
              <w:spacing w:after="0" w:before="0" w:line="240" w:lineRule="auto"/>
              <w:jc w:val="left"/>
            </w:pPr>
            <w:r>
              <w:rPr>
                <w:rFonts w:ascii="Times New Roman" w:hAnsi="Times New Roman"/>
                <w:sz w:val="20"/>
              </w:rPr>
              <w:t xml:space="preserve">2 020</w:t>
            </w:r>
          </w:p>
        </w:tc>
        <w:tc>
          <w:tcPr>
            <w:tcW w:type="dxa" w:w="1582"/>
          </w:tcPr>
          <w:p>
            <w:pPr>
              <w:pStyle w:val="Compact"/>
              <w:spacing w:after="0" w:before="0" w:line="240" w:lineRule="auto"/>
              <w:jc w:val="left"/>
            </w:pPr>
            <w:r>
              <w:rPr>
                <w:rFonts w:ascii="Times New Roman" w:hAnsi="Times New Roman"/>
                <w:sz w:val="20"/>
              </w:rPr>
              <w:t xml:space="preserve">−19.7</w:t>
            </w:r>
          </w:p>
        </w:tc>
        <w:tc>
          <w:tcPr>
            <w:tcW w:type="dxa" w:w="1832"/>
          </w:tcPr>
          <w:p>
            <w:pPr>
              <w:pStyle w:val="Compact"/>
              <w:spacing w:after="0" w:before="0" w:line="240" w:lineRule="auto"/>
              <w:jc w:val="left"/>
            </w:pPr>
            <w:r>
              <w:rPr>
                <w:rFonts w:ascii="Times New Roman" w:hAnsi="Times New Roman"/>
                <w:sz w:val="20"/>
              </w:rPr>
              <w:t xml:space="preserve">0.03 (0.03–0.03)</w:t>
            </w:r>
          </w:p>
        </w:tc>
      </w:tr>
      <w:tr>
        <w:tc>
          <w:tcPr>
            <w:tcW w:type="dxa" w:w="2499"/>
          </w:tcPr>
          <w:p>
            <w:pPr>
              <w:pStyle w:val="Compact"/>
              <w:spacing w:after="0" w:before="0" w:line="240" w:lineRule="auto"/>
              <w:jc w:val="left"/>
            </w:pPr>
            <w:r>
              <w:rPr>
                <w:rFonts w:ascii="Times New Roman" w:hAnsi="Times New Roman"/>
                <w:sz w:val="20"/>
              </w:rPr>
              <w:t xml:space="preserve">All diagnoses, diagnosis-level count</w:t>
            </w:r>
          </w:p>
        </w:tc>
        <w:tc>
          <w:tcPr>
            <w:tcW w:type="dxa" w:w="916"/>
          </w:tcPr>
          <w:p>
            <w:pPr>
              <w:pStyle w:val="Compact"/>
              <w:spacing w:after="0" w:before="0" w:line="240" w:lineRule="auto"/>
              <w:jc w:val="left"/>
            </w:pPr>
            <w:r>
              <w:rPr>
                <w:rFonts w:ascii="Times New Roman" w:hAnsi="Times New Roman"/>
                <w:sz w:val="20"/>
              </w:rPr>
              <w:t xml:space="preserve">1 456 344</w:t>
            </w:r>
          </w:p>
        </w:tc>
        <w:tc>
          <w:tcPr>
            <w:tcW w:type="dxa" w:w="916"/>
          </w:tcPr>
          <w:p>
            <w:pPr>
              <w:pStyle w:val="Compact"/>
              <w:spacing w:after="0" w:before="0" w:line="240" w:lineRule="auto"/>
              <w:jc w:val="left"/>
            </w:pPr>
            <w:r>
              <w:rPr>
                <w:rFonts w:ascii="Times New Roman" w:hAnsi="Times New Roman"/>
                <w:sz w:val="20"/>
              </w:rPr>
              <w:t xml:space="preserve">1 461 254</w:t>
            </w:r>
          </w:p>
        </w:tc>
        <w:tc>
          <w:tcPr>
            <w:tcW w:type="dxa" w:w="1666"/>
          </w:tcPr>
          <w:p>
            <w:pPr>
              <w:pStyle w:val="Compact"/>
              <w:spacing w:after="0" w:before="0" w:line="240" w:lineRule="auto"/>
              <w:jc w:val="left"/>
            </w:pPr>
            <w:r>
              <w:rPr>
                <w:rFonts w:ascii="Times New Roman" w:hAnsi="Times New Roman"/>
                <w:sz w:val="20"/>
              </w:rPr>
              <w:t xml:space="preserve">1 672 168</w:t>
            </w:r>
          </w:p>
        </w:tc>
        <w:tc>
          <w:tcPr>
            <w:tcW w:type="dxa" w:w="1582"/>
          </w:tcPr>
          <w:p>
            <w:pPr>
              <w:pStyle w:val="Compact"/>
              <w:spacing w:after="0" w:before="0" w:line="240" w:lineRule="auto"/>
              <w:jc w:val="left"/>
            </w:pPr>
            <w:r>
              <w:rPr>
                <w:rFonts w:ascii="Times New Roman" w:hAnsi="Times New Roman"/>
                <w:sz w:val="20"/>
              </w:rPr>
              <w:t xml:space="preserve">+14.8</w:t>
            </w:r>
          </w:p>
        </w:tc>
        <w:tc>
          <w:tcPr>
            <w:tcW w:type="dxa" w:w="1832"/>
          </w:tcPr>
          <w:p>
            <w:pPr>
              <w:pStyle w:val="Compact"/>
              <w:spacing w:after="0" w:before="0" w:line="240" w:lineRule="auto"/>
              <w:jc w:val="left"/>
            </w:pPr>
            <w:r>
              <w:rPr>
                <w:rFonts w:ascii="Times New Roman" w:hAnsi="Times New Roman"/>
                <w:sz w:val="20"/>
              </w:rPr>
              <w:t xml:space="preserve">25.98</w:t>
            </w:r>
          </w:p>
        </w:tc>
      </w:tr>
      <w:tr>
        <w:tc>
          <w:tcPr>
            <w:tcW w:type="dxa" w:w="2499"/>
          </w:tcPr>
          <w:p>
            <w:pPr>
              <w:pStyle w:val="Compact"/>
              <w:spacing w:after="0" w:before="0" w:line="240" w:lineRule="auto"/>
              <w:jc w:val="left"/>
            </w:pPr>
            <w:r>
              <w:rPr>
                <w:rFonts w:ascii="Times New Roman" w:hAnsi="Times New Roman"/>
                <w:sz w:val="20"/>
              </w:rPr>
              <w:t xml:space="preserve">All diagnoses, unique persons (bounds)</w:t>
            </w:r>
          </w:p>
        </w:tc>
        <w:tc>
          <w:tcPr>
            <w:tcW w:type="dxa" w:w="916"/>
          </w:tcPr>
          <w:p>
            <w:pPr>
              <w:pStyle w:val="Compact"/>
              <w:spacing w:after="0" w:before="0" w:line="240" w:lineRule="auto"/>
              <w:jc w:val="left"/>
            </w:pPr>
            <w:r>
              <w:rPr>
                <w:rFonts w:ascii="Times New Roman" w:hAnsi="Times New Roman"/>
                <w:sz w:val="20"/>
              </w:rPr>
              <w:t xml:space="preserve">–</w:t>
            </w:r>
          </w:p>
        </w:tc>
        <w:tc>
          <w:tcPr>
            <w:tcW w:type="dxa" w:w="916"/>
          </w:tcPr>
          <w:p>
            <w:pPr>
              <w:pStyle w:val="Compact"/>
              <w:spacing w:after="0" w:before="0" w:line="240" w:lineRule="auto"/>
              <w:jc w:val="left"/>
            </w:pPr>
            <w:r>
              <w:rPr>
                <w:rFonts w:ascii="Times New Roman" w:hAnsi="Times New Roman"/>
                <w:sz w:val="20"/>
              </w:rPr>
              <w:t xml:space="preserve">–</w:t>
            </w:r>
          </w:p>
        </w:tc>
        <w:tc>
          <w:tcPr>
            <w:tcW w:type="dxa" w:w="1666"/>
          </w:tcPr>
          <w:p>
            <w:pPr>
              <w:pStyle w:val="Compact"/>
              <w:spacing w:after="0" w:before="0" w:line="240" w:lineRule="auto"/>
              <w:jc w:val="left"/>
            </w:pPr>
            <w:r>
              <w:rPr>
                <w:rFonts w:ascii="Times New Roman" w:hAnsi="Times New Roman"/>
                <w:sz w:val="20"/>
              </w:rPr>
              <w:t xml:space="preserve">855 118 to 1 150 000</w:t>
            </w:r>
          </w:p>
        </w:tc>
        <w:tc>
          <w:tcPr>
            <w:tcW w:type="dxa" w:w="1582"/>
          </w:tcPr>
          <w:p>
            <w:pPr>
              <w:pStyle w:val="Compact"/>
              <w:spacing w:after="0" w:before="0" w:line="240" w:lineRule="auto"/>
              <w:jc w:val="left"/>
            </w:pPr>
            <w:r>
              <w:rPr>
                <w:rFonts w:ascii="Times New Roman" w:hAnsi="Times New Roman"/>
                <w:sz w:val="20"/>
              </w:rPr>
              <w:t xml:space="preserve">–</w:t>
            </w:r>
          </w:p>
        </w:tc>
        <w:tc>
          <w:tcPr>
            <w:tcW w:type="dxa" w:w="1832"/>
          </w:tcPr>
          <w:p>
            <w:pPr>
              <w:pStyle w:val="Compact"/>
              <w:spacing w:after="0" w:before="0" w:line="240" w:lineRule="auto"/>
              <w:jc w:val="left"/>
            </w:pPr>
            <w:r>
              <w:rPr>
                <w:rFonts w:ascii="Times New Roman" w:hAnsi="Times New Roman"/>
                <w:sz w:val="20"/>
              </w:rPr>
              <w:t xml:space="preserve">13.3 to 17.9</w:t>
            </w:r>
          </w:p>
        </w:tc>
      </w:tr>
    </w:tbl>
    <w:p>
      <w:pPr>
        <w:pStyle w:val="BodyText"/>
      </w:pPr>
      <w:r>
        <w:t xml:space="preserve">Values are mean numbers of insured persons per month receiving at least one reimbursed medicine for the diagnosis group. The 95 % CI reflects month-to-month variation over 12 months. Diagnosis-level count: sum over diagnoses, in which a person treated for two diagnoses is counted twice. Unique-person bounds: lower, largest disease group; upper, unique insured persons receiving any Annex 1 medicine (NHIF). Population on 1 January 2025: 6 437 360.</w:t>
      </w:r>
    </w:p>
    <w:p>
      <w:pPr>
        <w:pStyle w:val="BodyText"/>
      </w:pPr>
      <w:r>
        <w:t xml:space="preserve">Abbreviations: CI, confidence interval; NHIF, National Health Insurance Fund.</w:t>
      </w:r>
    </w:p>
    <w:p>
      <w:pPr>
        <w:pStyle w:val="BodyText"/>
      </w:pPr>
      <w:r>
        <w:rPr>
          <w:bCs/>
          <w:b/>
        </w:rPr>
        <w:t xml:space="preserve">Table 2. Payer and patient costs of reimbursed outpatient cardiovascular medicines by disease group, Bulgaria, 2025</w:t>
      </w:r>
    </w:p>
    <w:tbl>
      <w:tblPr>
        <w:tblStyle w:val="Table"/>
        <w:tblW w:type="dxa" w:w="9411"/>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86"/>
        <w:gridCol w:w="898"/>
        <w:gridCol w:w="1110"/>
        <w:gridCol w:w="1163"/>
        <w:gridCol w:w="1163"/>
        <w:gridCol w:w="1163"/>
        <w:gridCol w:w="1163"/>
        <w:gridCol w:w="1163"/>
      </w:tblGrid>
      <w:tr>
        <w:trPr>
          <w:tblHeader w:val="true"/>
        </w:trPr>
        <w:tc>
          <w:tcPr>
            <w:tcW w:type="dxa" w:w="1586"/>
          </w:tcPr>
          <w:p>
            <w:pPr>
              <w:pStyle w:val="Compact"/>
              <w:spacing w:after="0" w:before="0" w:line="240" w:lineRule="auto"/>
              <w:jc w:val="left"/>
            </w:pPr>
            <w:r>
              <w:rPr>
                <w:rFonts w:ascii="Times New Roman" w:hAnsi="Times New Roman"/>
                <w:sz w:val="20"/>
              </w:rPr>
              <w:t xml:space="preserve">Disease group</w:t>
            </w:r>
          </w:p>
        </w:tc>
        <w:tc>
          <w:tcPr>
            <w:tcW w:type="dxa" w:w="899"/>
          </w:tcPr>
          <w:p>
            <w:pPr>
              <w:pStyle w:val="Compact"/>
              <w:spacing w:after="0" w:before="0" w:line="240" w:lineRule="auto"/>
              <w:jc w:val="left"/>
            </w:pPr>
            <w:r>
              <w:rPr>
                <w:rFonts w:ascii="Times New Roman" w:hAnsi="Times New Roman"/>
                <w:sz w:val="20"/>
              </w:rPr>
              <w:t xml:space="preserve">NHIF, EUR million</w:t>
            </w:r>
          </w:p>
        </w:tc>
        <w:tc>
          <w:tcPr>
            <w:tcW w:type="dxa" w:w="1110"/>
          </w:tcPr>
          <w:p>
            <w:pPr>
              <w:pStyle w:val="Compact"/>
              <w:spacing w:after="0" w:before="0" w:line="240" w:lineRule="auto"/>
              <w:jc w:val="left"/>
            </w:pPr>
            <w:r>
              <w:rPr>
                <w:rFonts w:ascii="Times New Roman" w:hAnsi="Times New Roman"/>
                <w:sz w:val="20"/>
              </w:rPr>
              <w:t xml:space="preserve">Patients, EUR million</w:t>
            </w:r>
          </w:p>
        </w:tc>
        <w:tc>
          <w:tcPr>
            <w:tcW w:type="dxa" w:w="1163"/>
          </w:tcPr>
          <w:p>
            <w:pPr>
              <w:pStyle w:val="Compact"/>
              <w:spacing w:after="0" w:before="0" w:line="240" w:lineRule="auto"/>
              <w:jc w:val="left"/>
            </w:pPr>
            <w:r>
              <w:rPr>
                <w:rFonts w:ascii="Times New Roman" w:hAnsi="Times New Roman"/>
                <w:sz w:val="20"/>
              </w:rPr>
              <w:t xml:space="preserve">Total, EUR million (% of total)</w:t>
            </w:r>
          </w:p>
        </w:tc>
        <w:tc>
          <w:tcPr>
            <w:tcW w:type="dxa" w:w="1163"/>
          </w:tcPr>
          <w:p>
            <w:pPr>
              <w:pStyle w:val="Compact"/>
              <w:spacing w:after="0" w:before="0" w:line="240" w:lineRule="auto"/>
              <w:jc w:val="left"/>
            </w:pPr>
            <w:r>
              <w:rPr>
                <w:rFonts w:ascii="Times New Roman" w:hAnsi="Times New Roman"/>
                <w:sz w:val="20"/>
              </w:rPr>
              <w:t xml:space="preserve">Patient share 2023 → 2025, %</w:t>
            </w:r>
          </w:p>
        </w:tc>
        <w:tc>
          <w:tcPr>
            <w:tcW w:type="dxa" w:w="1163"/>
          </w:tcPr>
          <w:p>
            <w:pPr>
              <w:pStyle w:val="Compact"/>
              <w:spacing w:after="0" w:before="0" w:line="240" w:lineRule="auto"/>
              <w:jc w:val="left"/>
            </w:pPr>
            <w:r>
              <w:rPr>
                <w:rFonts w:ascii="Times New Roman" w:hAnsi="Times New Roman"/>
                <w:sz w:val="20"/>
              </w:rPr>
              <w:t xml:space="preserve">NHIF per treated person, EUR</w:t>
            </w:r>
          </w:p>
        </w:tc>
        <w:tc>
          <w:tcPr>
            <w:tcW w:type="dxa" w:w="1163"/>
          </w:tcPr>
          <w:p>
            <w:pPr>
              <w:pStyle w:val="Compact"/>
              <w:spacing w:after="0" w:before="0" w:line="240" w:lineRule="auto"/>
              <w:jc w:val="left"/>
            </w:pPr>
            <w:r>
              <w:rPr>
                <w:rFonts w:ascii="Times New Roman" w:hAnsi="Times New Roman"/>
                <w:sz w:val="20"/>
              </w:rPr>
              <w:t xml:space="preserve">Patient per treated person, EUR</w:t>
            </w:r>
          </w:p>
        </w:tc>
        <w:tc>
          <w:tcPr>
            <w:tcW w:type="dxa" w:w="1163"/>
          </w:tcPr>
          <w:p>
            <w:pPr>
              <w:pStyle w:val="Compact"/>
              <w:spacing w:after="0" w:before="0" w:line="240" w:lineRule="auto"/>
              <w:jc w:val="left"/>
            </w:pPr>
            <w:r>
              <w:rPr>
                <w:rFonts w:ascii="Times New Roman" w:hAnsi="Times New Roman"/>
                <w:sz w:val="20"/>
              </w:rPr>
              <w:t xml:space="preserve">Total per treated person, EUR</w:t>
            </w:r>
          </w:p>
        </w:tc>
      </w:tr>
      <w:tr>
        <w:tc>
          <w:tcPr>
            <w:tcW w:type="dxa" w:w="1586"/>
          </w:tcPr>
          <w:p>
            <w:pPr>
              <w:pStyle w:val="Compact"/>
              <w:spacing w:after="0" w:before="0" w:line="240" w:lineRule="auto"/>
              <w:jc w:val="left"/>
            </w:pPr>
            <w:r>
              <w:rPr>
                <w:rFonts w:ascii="Times New Roman" w:hAnsi="Times New Roman"/>
                <w:sz w:val="20"/>
              </w:rPr>
              <w:t xml:space="preserve">Hypertensive diseases (I10–I13)</w:t>
            </w:r>
          </w:p>
        </w:tc>
        <w:tc>
          <w:tcPr>
            <w:tcW w:type="dxa" w:w="899"/>
          </w:tcPr>
          <w:p>
            <w:pPr>
              <w:pStyle w:val="Compact"/>
              <w:spacing w:after="0" w:before="0" w:line="240" w:lineRule="auto"/>
              <w:jc w:val="left"/>
            </w:pPr>
            <w:r>
              <w:rPr>
                <w:rFonts w:ascii="Times New Roman" w:hAnsi="Times New Roman"/>
                <w:sz w:val="20"/>
              </w:rPr>
              <w:t xml:space="preserve">45.2</w:t>
            </w:r>
          </w:p>
        </w:tc>
        <w:tc>
          <w:tcPr>
            <w:tcW w:type="dxa" w:w="1110"/>
          </w:tcPr>
          <w:p>
            <w:pPr>
              <w:pStyle w:val="Compact"/>
              <w:spacing w:after="0" w:before="0" w:line="240" w:lineRule="auto"/>
              <w:jc w:val="left"/>
            </w:pPr>
            <w:r>
              <w:rPr>
                <w:rFonts w:ascii="Times New Roman" w:hAnsi="Times New Roman"/>
                <w:sz w:val="20"/>
              </w:rPr>
              <w:t xml:space="preserve">80.1</w:t>
            </w:r>
          </w:p>
        </w:tc>
        <w:tc>
          <w:tcPr>
            <w:tcW w:type="dxa" w:w="1163"/>
          </w:tcPr>
          <w:p>
            <w:pPr>
              <w:pStyle w:val="Compact"/>
              <w:spacing w:after="0" w:before="0" w:line="240" w:lineRule="auto"/>
              <w:jc w:val="left"/>
            </w:pPr>
            <w:r>
              <w:rPr>
                <w:rFonts w:ascii="Times New Roman" w:hAnsi="Times New Roman"/>
                <w:sz w:val="20"/>
              </w:rPr>
              <w:t xml:space="preserve">125.3 (33.4)</w:t>
            </w:r>
          </w:p>
        </w:tc>
        <w:tc>
          <w:tcPr>
            <w:tcW w:type="dxa" w:w="1163"/>
          </w:tcPr>
          <w:p>
            <w:pPr>
              <w:pStyle w:val="Compact"/>
              <w:spacing w:after="0" w:before="0" w:line="240" w:lineRule="auto"/>
              <w:jc w:val="left"/>
            </w:pPr>
            <w:r>
              <w:rPr>
                <w:rFonts w:ascii="Times New Roman" w:hAnsi="Times New Roman"/>
                <w:sz w:val="20"/>
              </w:rPr>
              <w:t xml:space="preserve">79 → 64</w:t>
            </w:r>
          </w:p>
        </w:tc>
        <w:tc>
          <w:tcPr>
            <w:tcW w:type="dxa" w:w="1163"/>
          </w:tcPr>
          <w:p>
            <w:pPr>
              <w:pStyle w:val="Compact"/>
              <w:spacing w:after="0" w:before="0" w:line="240" w:lineRule="auto"/>
              <w:jc w:val="left"/>
            </w:pPr>
            <w:r>
              <w:rPr>
                <w:rFonts w:ascii="Times New Roman" w:hAnsi="Times New Roman"/>
                <w:sz w:val="20"/>
              </w:rPr>
              <w:t xml:space="preserve">53</w:t>
            </w:r>
          </w:p>
        </w:tc>
        <w:tc>
          <w:tcPr>
            <w:tcW w:type="dxa" w:w="1163"/>
          </w:tcPr>
          <w:p>
            <w:pPr>
              <w:pStyle w:val="Compact"/>
              <w:spacing w:after="0" w:before="0" w:line="240" w:lineRule="auto"/>
              <w:jc w:val="left"/>
            </w:pPr>
            <w:r>
              <w:rPr>
                <w:rFonts w:ascii="Times New Roman" w:hAnsi="Times New Roman"/>
                <w:sz w:val="20"/>
              </w:rPr>
              <w:t xml:space="preserve">94</w:t>
            </w:r>
          </w:p>
        </w:tc>
        <w:tc>
          <w:tcPr>
            <w:tcW w:type="dxa" w:w="1163"/>
          </w:tcPr>
          <w:p>
            <w:pPr>
              <w:pStyle w:val="Compact"/>
              <w:spacing w:after="0" w:before="0" w:line="240" w:lineRule="auto"/>
              <w:jc w:val="left"/>
            </w:pPr>
            <w:r>
              <w:rPr>
                <w:rFonts w:ascii="Times New Roman" w:hAnsi="Times New Roman"/>
                <w:sz w:val="20"/>
              </w:rPr>
              <w:t xml:space="preserve">147</w:t>
            </w:r>
          </w:p>
        </w:tc>
      </w:tr>
      <w:tr>
        <w:tc>
          <w:tcPr>
            <w:tcW w:type="dxa" w:w="1586"/>
          </w:tcPr>
          <w:p>
            <w:pPr>
              <w:pStyle w:val="Compact"/>
              <w:spacing w:after="0" w:before="0" w:line="240" w:lineRule="auto"/>
              <w:jc w:val="left"/>
            </w:pPr>
            <w:r>
              <w:rPr>
                <w:rFonts w:ascii="Times New Roman" w:hAnsi="Times New Roman"/>
                <w:sz w:val="20"/>
              </w:rPr>
              <w:t xml:space="preserve">Ischaemic heart disease (I20, I25)</w:t>
            </w:r>
          </w:p>
        </w:tc>
        <w:tc>
          <w:tcPr>
            <w:tcW w:type="dxa" w:w="899"/>
          </w:tcPr>
          <w:p>
            <w:pPr>
              <w:pStyle w:val="Compact"/>
              <w:spacing w:after="0" w:before="0" w:line="240" w:lineRule="auto"/>
              <w:jc w:val="left"/>
            </w:pPr>
            <w:r>
              <w:rPr>
                <w:rFonts w:ascii="Times New Roman" w:hAnsi="Times New Roman"/>
                <w:sz w:val="20"/>
              </w:rPr>
              <w:t xml:space="preserve">18.1</w:t>
            </w:r>
          </w:p>
        </w:tc>
        <w:tc>
          <w:tcPr>
            <w:tcW w:type="dxa" w:w="1110"/>
          </w:tcPr>
          <w:p>
            <w:pPr>
              <w:pStyle w:val="Compact"/>
              <w:spacing w:after="0" w:before="0" w:line="240" w:lineRule="auto"/>
              <w:jc w:val="left"/>
            </w:pPr>
            <w:r>
              <w:rPr>
                <w:rFonts w:ascii="Times New Roman" w:hAnsi="Times New Roman"/>
                <w:sz w:val="20"/>
              </w:rPr>
              <w:t xml:space="preserve">27.9</w:t>
            </w:r>
          </w:p>
        </w:tc>
        <w:tc>
          <w:tcPr>
            <w:tcW w:type="dxa" w:w="1163"/>
          </w:tcPr>
          <w:p>
            <w:pPr>
              <w:pStyle w:val="Compact"/>
              <w:spacing w:after="0" w:before="0" w:line="240" w:lineRule="auto"/>
              <w:jc w:val="left"/>
            </w:pPr>
            <w:r>
              <w:rPr>
                <w:rFonts w:ascii="Times New Roman" w:hAnsi="Times New Roman"/>
                <w:sz w:val="20"/>
              </w:rPr>
              <w:t xml:space="preserve">46.0 (12.3)</w:t>
            </w:r>
          </w:p>
        </w:tc>
        <w:tc>
          <w:tcPr>
            <w:tcW w:type="dxa" w:w="1163"/>
          </w:tcPr>
          <w:p>
            <w:pPr>
              <w:pStyle w:val="Compact"/>
              <w:spacing w:after="0" w:before="0" w:line="240" w:lineRule="auto"/>
              <w:jc w:val="left"/>
            </w:pPr>
            <w:r>
              <w:rPr>
                <w:rFonts w:ascii="Times New Roman" w:hAnsi="Times New Roman"/>
                <w:sz w:val="20"/>
              </w:rPr>
              <w:t xml:space="preserve">71 → 61</w:t>
            </w:r>
          </w:p>
        </w:tc>
        <w:tc>
          <w:tcPr>
            <w:tcW w:type="dxa" w:w="1163"/>
          </w:tcPr>
          <w:p>
            <w:pPr>
              <w:pStyle w:val="Compact"/>
              <w:spacing w:after="0" w:before="0" w:line="240" w:lineRule="auto"/>
              <w:jc w:val="left"/>
            </w:pPr>
            <w:r>
              <w:rPr>
                <w:rFonts w:ascii="Times New Roman" w:hAnsi="Times New Roman"/>
                <w:sz w:val="20"/>
              </w:rPr>
              <w:t xml:space="preserve">49</w:t>
            </w:r>
          </w:p>
        </w:tc>
        <w:tc>
          <w:tcPr>
            <w:tcW w:type="dxa" w:w="1163"/>
          </w:tcPr>
          <w:p>
            <w:pPr>
              <w:pStyle w:val="Compact"/>
              <w:spacing w:after="0" w:before="0" w:line="240" w:lineRule="auto"/>
              <w:jc w:val="left"/>
            </w:pPr>
            <w:r>
              <w:rPr>
                <w:rFonts w:ascii="Times New Roman" w:hAnsi="Times New Roman"/>
                <w:sz w:val="20"/>
              </w:rPr>
              <w:t xml:space="preserve">76</w:t>
            </w:r>
          </w:p>
        </w:tc>
        <w:tc>
          <w:tcPr>
            <w:tcW w:type="dxa" w:w="1163"/>
          </w:tcPr>
          <w:p>
            <w:pPr>
              <w:pStyle w:val="Compact"/>
              <w:spacing w:after="0" w:before="0" w:line="240" w:lineRule="auto"/>
              <w:jc w:val="left"/>
            </w:pPr>
            <w:r>
              <w:rPr>
                <w:rFonts w:ascii="Times New Roman" w:hAnsi="Times New Roman"/>
                <w:sz w:val="20"/>
              </w:rPr>
              <w:t xml:space="preserve">126</w:t>
            </w:r>
          </w:p>
        </w:tc>
      </w:tr>
      <w:tr>
        <w:tc>
          <w:tcPr>
            <w:tcW w:type="dxa" w:w="1586"/>
          </w:tcPr>
          <w:p>
            <w:pPr>
              <w:pStyle w:val="Compact"/>
              <w:spacing w:after="0" w:before="0" w:line="240" w:lineRule="auto"/>
              <w:jc w:val="left"/>
            </w:pPr>
            <w:r>
              <w:rPr>
                <w:rFonts w:ascii="Times New Roman" w:hAnsi="Times New Roman"/>
                <w:sz w:val="20"/>
              </w:rPr>
              <w:t xml:space="preserve">Arrhythmias and heart failure (I44–I50)</w:t>
            </w:r>
          </w:p>
        </w:tc>
        <w:tc>
          <w:tcPr>
            <w:tcW w:type="dxa" w:w="899"/>
          </w:tcPr>
          <w:p>
            <w:pPr>
              <w:pStyle w:val="Compact"/>
              <w:spacing w:after="0" w:before="0" w:line="240" w:lineRule="auto"/>
              <w:jc w:val="left"/>
            </w:pPr>
            <w:r>
              <w:rPr>
                <w:rFonts w:ascii="Times New Roman" w:hAnsi="Times New Roman"/>
                <w:sz w:val="20"/>
              </w:rPr>
              <w:t xml:space="preserve">90.6</w:t>
            </w:r>
          </w:p>
        </w:tc>
        <w:tc>
          <w:tcPr>
            <w:tcW w:type="dxa" w:w="1110"/>
          </w:tcPr>
          <w:p>
            <w:pPr>
              <w:pStyle w:val="Compact"/>
              <w:spacing w:after="0" w:before="0" w:line="240" w:lineRule="auto"/>
              <w:jc w:val="left"/>
            </w:pPr>
            <w:r>
              <w:rPr>
                <w:rFonts w:ascii="Times New Roman" w:hAnsi="Times New Roman"/>
                <w:sz w:val="20"/>
              </w:rPr>
              <w:t xml:space="preserve">73.2</w:t>
            </w:r>
          </w:p>
        </w:tc>
        <w:tc>
          <w:tcPr>
            <w:tcW w:type="dxa" w:w="1163"/>
          </w:tcPr>
          <w:p>
            <w:pPr>
              <w:pStyle w:val="Compact"/>
              <w:spacing w:after="0" w:before="0" w:line="240" w:lineRule="auto"/>
              <w:jc w:val="left"/>
            </w:pPr>
            <w:r>
              <w:rPr>
                <w:rFonts w:ascii="Times New Roman" w:hAnsi="Times New Roman"/>
                <w:sz w:val="20"/>
              </w:rPr>
              <w:t xml:space="preserve">163.8 (43.6)</w:t>
            </w:r>
          </w:p>
        </w:tc>
        <w:tc>
          <w:tcPr>
            <w:tcW w:type="dxa" w:w="1163"/>
          </w:tcPr>
          <w:p>
            <w:pPr>
              <w:pStyle w:val="Compact"/>
              <w:spacing w:after="0" w:before="0" w:line="240" w:lineRule="auto"/>
              <w:jc w:val="left"/>
            </w:pPr>
            <w:r>
              <w:rPr>
                <w:rFonts w:ascii="Times New Roman" w:hAnsi="Times New Roman"/>
                <w:sz w:val="20"/>
              </w:rPr>
              <w:t xml:space="preserve">47 → 45</w:t>
            </w:r>
          </w:p>
        </w:tc>
        <w:tc>
          <w:tcPr>
            <w:tcW w:type="dxa" w:w="1163"/>
          </w:tcPr>
          <w:p>
            <w:pPr>
              <w:pStyle w:val="Compact"/>
              <w:spacing w:after="0" w:before="0" w:line="240" w:lineRule="auto"/>
              <w:jc w:val="left"/>
            </w:pPr>
            <w:r>
              <w:rPr>
                <w:rFonts w:ascii="Times New Roman" w:hAnsi="Times New Roman"/>
                <w:sz w:val="20"/>
              </w:rPr>
              <w:t xml:space="preserve">307</w:t>
            </w:r>
          </w:p>
        </w:tc>
        <w:tc>
          <w:tcPr>
            <w:tcW w:type="dxa" w:w="1163"/>
          </w:tcPr>
          <w:p>
            <w:pPr>
              <w:pStyle w:val="Compact"/>
              <w:spacing w:after="0" w:before="0" w:line="240" w:lineRule="auto"/>
              <w:jc w:val="left"/>
            </w:pPr>
            <w:r>
              <w:rPr>
                <w:rFonts w:ascii="Times New Roman" w:hAnsi="Times New Roman"/>
                <w:sz w:val="20"/>
              </w:rPr>
              <w:t xml:space="preserve">248</w:t>
            </w:r>
          </w:p>
        </w:tc>
        <w:tc>
          <w:tcPr>
            <w:tcW w:type="dxa" w:w="1163"/>
          </w:tcPr>
          <w:p>
            <w:pPr>
              <w:pStyle w:val="Compact"/>
              <w:spacing w:after="0" w:before="0" w:line="240" w:lineRule="auto"/>
              <w:jc w:val="left"/>
            </w:pPr>
            <w:r>
              <w:rPr>
                <w:rFonts w:ascii="Times New Roman" w:hAnsi="Times New Roman"/>
                <w:sz w:val="20"/>
              </w:rPr>
              <w:t xml:space="preserve">555</w:t>
            </w:r>
          </w:p>
        </w:tc>
      </w:tr>
      <w:tr>
        <w:tc>
          <w:tcPr>
            <w:tcW w:type="dxa" w:w="1586"/>
          </w:tcPr>
          <w:p>
            <w:pPr>
              <w:pStyle w:val="Compact"/>
              <w:spacing w:after="0" w:before="0" w:line="240" w:lineRule="auto"/>
              <w:jc w:val="left"/>
            </w:pPr>
            <w:r>
              <w:rPr>
                <w:rFonts w:ascii="Times New Roman" w:hAnsi="Times New Roman"/>
                <w:sz w:val="20"/>
              </w:rPr>
              <w:t xml:space="preserve">Sequelae of cerebrovascular disease (I69)</w:t>
            </w:r>
          </w:p>
        </w:tc>
        <w:tc>
          <w:tcPr>
            <w:tcW w:type="dxa" w:w="899"/>
          </w:tcPr>
          <w:p>
            <w:pPr>
              <w:pStyle w:val="Compact"/>
              <w:spacing w:after="0" w:before="0" w:line="240" w:lineRule="auto"/>
              <w:jc w:val="left"/>
            </w:pPr>
            <w:r>
              <w:rPr>
                <w:rFonts w:ascii="Times New Roman" w:hAnsi="Times New Roman"/>
                <w:sz w:val="20"/>
              </w:rPr>
              <w:t xml:space="preserve">5.5</w:t>
            </w:r>
          </w:p>
        </w:tc>
        <w:tc>
          <w:tcPr>
            <w:tcW w:type="dxa" w:w="1110"/>
          </w:tcPr>
          <w:p>
            <w:pPr>
              <w:pStyle w:val="Compact"/>
              <w:spacing w:after="0" w:before="0" w:line="240" w:lineRule="auto"/>
              <w:jc w:val="left"/>
            </w:pPr>
            <w:r>
              <w:rPr>
                <w:rFonts w:ascii="Times New Roman" w:hAnsi="Times New Roman"/>
                <w:sz w:val="20"/>
              </w:rPr>
              <w:t xml:space="preserve">19.5</w:t>
            </w:r>
          </w:p>
        </w:tc>
        <w:tc>
          <w:tcPr>
            <w:tcW w:type="dxa" w:w="1163"/>
          </w:tcPr>
          <w:p>
            <w:pPr>
              <w:pStyle w:val="Compact"/>
              <w:spacing w:after="0" w:before="0" w:line="240" w:lineRule="auto"/>
              <w:jc w:val="left"/>
            </w:pPr>
            <w:r>
              <w:rPr>
                <w:rFonts w:ascii="Times New Roman" w:hAnsi="Times New Roman"/>
                <w:sz w:val="20"/>
              </w:rPr>
              <w:t xml:space="preserve">25.0 (6.7)</w:t>
            </w:r>
          </w:p>
        </w:tc>
        <w:tc>
          <w:tcPr>
            <w:tcW w:type="dxa" w:w="1163"/>
          </w:tcPr>
          <w:p>
            <w:pPr>
              <w:pStyle w:val="Compact"/>
              <w:spacing w:after="0" w:before="0" w:line="240" w:lineRule="auto"/>
              <w:jc w:val="left"/>
            </w:pPr>
            <w:r>
              <w:rPr>
                <w:rFonts w:ascii="Times New Roman" w:hAnsi="Times New Roman"/>
                <w:sz w:val="20"/>
              </w:rPr>
              <w:t xml:space="preserve">77 → 78</w:t>
            </w:r>
          </w:p>
        </w:tc>
        <w:tc>
          <w:tcPr>
            <w:tcW w:type="dxa" w:w="1163"/>
          </w:tcPr>
          <w:p>
            <w:pPr>
              <w:pStyle w:val="Compact"/>
              <w:spacing w:after="0" w:before="0" w:line="240" w:lineRule="auto"/>
              <w:jc w:val="left"/>
            </w:pPr>
            <w:r>
              <w:rPr>
                <w:rFonts w:ascii="Times New Roman" w:hAnsi="Times New Roman"/>
                <w:sz w:val="20"/>
              </w:rPr>
              <w:t xml:space="preserve">40</w:t>
            </w:r>
          </w:p>
        </w:tc>
        <w:tc>
          <w:tcPr>
            <w:tcW w:type="dxa" w:w="1163"/>
          </w:tcPr>
          <w:p>
            <w:pPr>
              <w:pStyle w:val="Compact"/>
              <w:spacing w:after="0" w:before="0" w:line="240" w:lineRule="auto"/>
              <w:jc w:val="left"/>
            </w:pPr>
            <w:r>
              <w:rPr>
                <w:rFonts w:ascii="Times New Roman" w:hAnsi="Times New Roman"/>
                <w:sz w:val="20"/>
              </w:rPr>
              <w:t xml:space="preserve">143</w:t>
            </w:r>
          </w:p>
        </w:tc>
        <w:tc>
          <w:tcPr>
            <w:tcW w:type="dxa" w:w="1163"/>
          </w:tcPr>
          <w:p>
            <w:pPr>
              <w:pStyle w:val="Compact"/>
              <w:spacing w:after="0" w:before="0" w:line="240" w:lineRule="auto"/>
              <w:jc w:val="left"/>
            </w:pPr>
            <w:r>
              <w:rPr>
                <w:rFonts w:ascii="Times New Roman" w:hAnsi="Times New Roman"/>
                <w:sz w:val="20"/>
              </w:rPr>
              <w:t xml:space="preserve">183</w:t>
            </w:r>
          </w:p>
        </w:tc>
      </w:tr>
      <w:tr>
        <w:tc>
          <w:tcPr>
            <w:tcW w:type="dxa" w:w="1586"/>
          </w:tcPr>
          <w:p>
            <w:pPr>
              <w:pStyle w:val="Compact"/>
              <w:spacing w:after="0" w:before="0" w:line="240" w:lineRule="auto"/>
              <w:jc w:val="left"/>
            </w:pPr>
            <w:r>
              <w:rPr>
                <w:rFonts w:ascii="Times New Roman" w:hAnsi="Times New Roman"/>
                <w:sz w:val="20"/>
              </w:rPr>
              <w:t xml:space="preserve">Venous thromboembolism (I80)</w:t>
            </w:r>
          </w:p>
        </w:tc>
        <w:tc>
          <w:tcPr>
            <w:tcW w:type="dxa" w:w="899"/>
          </w:tcPr>
          <w:p>
            <w:pPr>
              <w:pStyle w:val="Compact"/>
              <w:spacing w:after="0" w:before="0" w:line="240" w:lineRule="auto"/>
              <w:jc w:val="left"/>
            </w:pPr>
            <w:r>
              <w:rPr>
                <w:rFonts w:ascii="Times New Roman" w:hAnsi="Times New Roman"/>
                <w:sz w:val="20"/>
              </w:rPr>
              <w:t xml:space="preserve">3.8</w:t>
            </w:r>
          </w:p>
        </w:tc>
        <w:tc>
          <w:tcPr>
            <w:tcW w:type="dxa" w:w="1110"/>
          </w:tcPr>
          <w:p>
            <w:pPr>
              <w:pStyle w:val="Compact"/>
              <w:spacing w:after="0" w:before="0" w:line="240" w:lineRule="auto"/>
              <w:jc w:val="left"/>
            </w:pPr>
            <w:r>
              <w:rPr>
                <w:rFonts w:ascii="Times New Roman" w:hAnsi="Times New Roman"/>
                <w:sz w:val="20"/>
              </w:rPr>
              <w:t xml:space="preserve">6.2</w:t>
            </w:r>
          </w:p>
        </w:tc>
        <w:tc>
          <w:tcPr>
            <w:tcW w:type="dxa" w:w="1163"/>
          </w:tcPr>
          <w:p>
            <w:pPr>
              <w:pStyle w:val="Compact"/>
              <w:spacing w:after="0" w:before="0" w:line="240" w:lineRule="auto"/>
              <w:jc w:val="left"/>
            </w:pPr>
            <w:r>
              <w:rPr>
                <w:rFonts w:ascii="Times New Roman" w:hAnsi="Times New Roman"/>
                <w:sz w:val="20"/>
              </w:rPr>
              <w:t xml:space="preserve">10.0 (2.7)</w:t>
            </w:r>
          </w:p>
        </w:tc>
        <w:tc>
          <w:tcPr>
            <w:tcW w:type="dxa" w:w="1163"/>
          </w:tcPr>
          <w:p>
            <w:pPr>
              <w:pStyle w:val="Compact"/>
              <w:spacing w:after="0" w:before="0" w:line="240" w:lineRule="auto"/>
              <w:jc w:val="left"/>
            </w:pPr>
            <w:r>
              <w:rPr>
                <w:rFonts w:ascii="Times New Roman" w:hAnsi="Times New Roman"/>
                <w:sz w:val="20"/>
              </w:rPr>
              <w:t xml:space="preserve">51 → 62</w:t>
            </w:r>
          </w:p>
        </w:tc>
        <w:tc>
          <w:tcPr>
            <w:tcW w:type="dxa" w:w="1163"/>
          </w:tcPr>
          <w:p>
            <w:pPr>
              <w:pStyle w:val="Compact"/>
              <w:spacing w:after="0" w:before="0" w:line="240" w:lineRule="auto"/>
              <w:jc w:val="left"/>
            </w:pPr>
            <w:r>
              <w:rPr>
                <w:rFonts w:ascii="Times New Roman" w:hAnsi="Times New Roman"/>
                <w:sz w:val="20"/>
              </w:rPr>
              <w:t xml:space="preserve">298</w:t>
            </w:r>
          </w:p>
        </w:tc>
        <w:tc>
          <w:tcPr>
            <w:tcW w:type="dxa" w:w="1163"/>
          </w:tcPr>
          <w:p>
            <w:pPr>
              <w:pStyle w:val="Compact"/>
              <w:spacing w:after="0" w:before="0" w:line="240" w:lineRule="auto"/>
              <w:jc w:val="left"/>
            </w:pPr>
            <w:r>
              <w:rPr>
                <w:rFonts w:ascii="Times New Roman" w:hAnsi="Times New Roman"/>
                <w:sz w:val="20"/>
              </w:rPr>
              <w:t xml:space="preserve">493</w:t>
            </w:r>
          </w:p>
        </w:tc>
        <w:tc>
          <w:tcPr>
            <w:tcW w:type="dxa" w:w="1163"/>
          </w:tcPr>
          <w:p>
            <w:pPr>
              <w:pStyle w:val="Compact"/>
              <w:spacing w:after="0" w:before="0" w:line="240" w:lineRule="auto"/>
              <w:jc w:val="left"/>
            </w:pPr>
            <w:r>
              <w:rPr>
                <w:rFonts w:ascii="Times New Roman" w:hAnsi="Times New Roman"/>
                <w:sz w:val="20"/>
              </w:rPr>
              <w:t xml:space="preserve">790</w:t>
            </w:r>
          </w:p>
        </w:tc>
      </w:tr>
      <w:tr>
        <w:tc>
          <w:tcPr>
            <w:tcW w:type="dxa" w:w="1586"/>
          </w:tcPr>
          <w:p>
            <w:pPr>
              <w:pStyle w:val="Compact"/>
              <w:spacing w:after="0" w:before="0" w:line="240" w:lineRule="auto"/>
              <w:jc w:val="left"/>
            </w:pPr>
            <w:r>
              <w:rPr>
                <w:rFonts w:ascii="Times New Roman" w:hAnsi="Times New Roman"/>
                <w:sz w:val="20"/>
              </w:rPr>
              <w:t xml:space="preserve">Pulmonary embolism and pulmonary hypertension (I26–I27)</w:t>
            </w:r>
          </w:p>
        </w:tc>
        <w:tc>
          <w:tcPr>
            <w:tcW w:type="dxa" w:w="899"/>
          </w:tcPr>
          <w:p>
            <w:pPr>
              <w:pStyle w:val="Compact"/>
              <w:spacing w:after="0" w:before="0" w:line="240" w:lineRule="auto"/>
              <w:jc w:val="left"/>
            </w:pPr>
            <w:r>
              <w:rPr>
                <w:rFonts w:ascii="Times New Roman" w:hAnsi="Times New Roman"/>
                <w:sz w:val="20"/>
              </w:rPr>
              <w:t xml:space="preserve">2.1</w:t>
            </w:r>
          </w:p>
        </w:tc>
        <w:tc>
          <w:tcPr>
            <w:tcW w:type="dxa" w:w="1110"/>
          </w:tcPr>
          <w:p>
            <w:pPr>
              <w:pStyle w:val="Compact"/>
              <w:spacing w:after="0" w:before="0" w:line="240" w:lineRule="auto"/>
              <w:jc w:val="left"/>
            </w:pPr>
            <w:r>
              <w:rPr>
                <w:rFonts w:ascii="Times New Roman" w:hAnsi="Times New Roman"/>
                <w:sz w:val="20"/>
              </w:rPr>
              <w:t xml:space="preserve">2.9</w:t>
            </w:r>
          </w:p>
        </w:tc>
        <w:tc>
          <w:tcPr>
            <w:tcW w:type="dxa" w:w="1163"/>
          </w:tcPr>
          <w:p>
            <w:pPr>
              <w:pStyle w:val="Compact"/>
              <w:spacing w:after="0" w:before="0" w:line="240" w:lineRule="auto"/>
              <w:jc w:val="left"/>
            </w:pPr>
            <w:r>
              <w:rPr>
                <w:rFonts w:ascii="Times New Roman" w:hAnsi="Times New Roman"/>
                <w:sz w:val="20"/>
              </w:rPr>
              <w:t xml:space="preserve">4.9 (1.3)</w:t>
            </w:r>
          </w:p>
        </w:tc>
        <w:tc>
          <w:tcPr>
            <w:tcW w:type="dxa" w:w="1163"/>
          </w:tcPr>
          <w:p>
            <w:pPr>
              <w:pStyle w:val="Compact"/>
              <w:spacing w:after="0" w:before="0" w:line="240" w:lineRule="auto"/>
              <w:jc w:val="left"/>
            </w:pPr>
            <w:r>
              <w:rPr>
                <w:rFonts w:ascii="Times New Roman" w:hAnsi="Times New Roman"/>
                <w:sz w:val="20"/>
              </w:rPr>
              <w:t xml:space="preserve">46 → 58</w:t>
            </w:r>
          </w:p>
        </w:tc>
        <w:tc>
          <w:tcPr>
            <w:tcW w:type="dxa" w:w="1163"/>
          </w:tcPr>
          <w:p>
            <w:pPr>
              <w:pStyle w:val="Compact"/>
              <w:spacing w:after="0" w:before="0" w:line="240" w:lineRule="auto"/>
              <w:jc w:val="left"/>
            </w:pPr>
            <w:r>
              <w:rPr>
                <w:rFonts w:ascii="Times New Roman" w:hAnsi="Times New Roman"/>
                <w:sz w:val="20"/>
              </w:rPr>
              <w:t xml:space="preserve">414</w:t>
            </w:r>
          </w:p>
        </w:tc>
        <w:tc>
          <w:tcPr>
            <w:tcW w:type="dxa" w:w="1163"/>
          </w:tcPr>
          <w:p>
            <w:pPr>
              <w:pStyle w:val="Compact"/>
              <w:spacing w:after="0" w:before="0" w:line="240" w:lineRule="auto"/>
              <w:jc w:val="left"/>
            </w:pPr>
            <w:r>
              <w:rPr>
                <w:rFonts w:ascii="Times New Roman" w:hAnsi="Times New Roman"/>
                <w:sz w:val="20"/>
              </w:rPr>
              <w:t xml:space="preserve">575</w:t>
            </w:r>
          </w:p>
        </w:tc>
        <w:tc>
          <w:tcPr>
            <w:tcW w:type="dxa" w:w="1163"/>
          </w:tcPr>
          <w:p>
            <w:pPr>
              <w:pStyle w:val="Compact"/>
              <w:spacing w:after="0" w:before="0" w:line="240" w:lineRule="auto"/>
              <w:jc w:val="left"/>
            </w:pPr>
            <w:r>
              <w:rPr>
                <w:rFonts w:ascii="Times New Roman" w:hAnsi="Times New Roman"/>
                <w:sz w:val="20"/>
              </w:rPr>
              <w:t xml:space="preserve">990</w:t>
            </w:r>
          </w:p>
        </w:tc>
      </w:tr>
      <w:tr>
        <w:tc>
          <w:tcPr>
            <w:tcW w:type="dxa" w:w="1586"/>
          </w:tcPr>
          <w:p>
            <w:pPr>
              <w:pStyle w:val="Compact"/>
              <w:spacing w:after="0" w:before="0" w:line="240" w:lineRule="auto"/>
              <w:jc w:val="left"/>
            </w:pPr>
            <w:r>
              <w:rPr>
                <w:rFonts w:ascii="Times New Roman" w:hAnsi="Times New Roman"/>
                <w:sz w:val="20"/>
              </w:rPr>
              <w:t xml:space="preserve">Arterial disease (I73–I74)</w:t>
            </w:r>
          </w:p>
        </w:tc>
        <w:tc>
          <w:tcPr>
            <w:tcW w:type="dxa" w:w="899"/>
          </w:tcPr>
          <w:p>
            <w:pPr>
              <w:pStyle w:val="Compact"/>
              <w:spacing w:after="0" w:before="0" w:line="240" w:lineRule="auto"/>
              <w:jc w:val="left"/>
            </w:pPr>
            <w:r>
              <w:rPr>
                <w:rFonts w:ascii="Times New Roman" w:hAnsi="Times New Roman"/>
                <w:sz w:val="20"/>
              </w:rPr>
              <w:t xml:space="preserve">0.2</w:t>
            </w:r>
          </w:p>
        </w:tc>
        <w:tc>
          <w:tcPr>
            <w:tcW w:type="dxa" w:w="1110"/>
          </w:tcPr>
          <w:p>
            <w:pPr>
              <w:pStyle w:val="Compact"/>
              <w:spacing w:after="0" w:before="0" w:line="240" w:lineRule="auto"/>
              <w:jc w:val="left"/>
            </w:pPr>
            <w:r>
              <w:rPr>
                <w:rFonts w:ascii="Times New Roman" w:hAnsi="Times New Roman"/>
                <w:sz w:val="20"/>
              </w:rPr>
              <w:t xml:space="preserve">0.2</w:t>
            </w:r>
          </w:p>
        </w:tc>
        <w:tc>
          <w:tcPr>
            <w:tcW w:type="dxa" w:w="1163"/>
          </w:tcPr>
          <w:p>
            <w:pPr>
              <w:pStyle w:val="Compact"/>
              <w:spacing w:after="0" w:before="0" w:line="240" w:lineRule="auto"/>
              <w:jc w:val="left"/>
            </w:pPr>
            <w:r>
              <w:rPr>
                <w:rFonts w:ascii="Times New Roman" w:hAnsi="Times New Roman"/>
                <w:sz w:val="20"/>
              </w:rPr>
              <w:t xml:space="preserve">0.3 (0.1)</w:t>
            </w:r>
          </w:p>
        </w:tc>
        <w:tc>
          <w:tcPr>
            <w:tcW w:type="dxa" w:w="1163"/>
          </w:tcPr>
          <w:p>
            <w:pPr>
              <w:pStyle w:val="Compact"/>
              <w:spacing w:after="0" w:before="0" w:line="240" w:lineRule="auto"/>
              <w:jc w:val="left"/>
            </w:pPr>
            <w:r>
              <w:rPr>
                <w:rFonts w:ascii="Times New Roman" w:hAnsi="Times New Roman"/>
                <w:sz w:val="20"/>
              </w:rPr>
              <w:t xml:space="preserve">72 → 52</w:t>
            </w:r>
          </w:p>
        </w:tc>
        <w:tc>
          <w:tcPr>
            <w:tcW w:type="dxa" w:w="1163"/>
          </w:tcPr>
          <w:p>
            <w:pPr>
              <w:pStyle w:val="Compact"/>
              <w:spacing w:after="0" w:before="0" w:line="240" w:lineRule="auto"/>
              <w:jc w:val="left"/>
            </w:pPr>
            <w:r>
              <w:rPr>
                <w:rFonts w:ascii="Times New Roman" w:hAnsi="Times New Roman"/>
                <w:sz w:val="20"/>
              </w:rPr>
              <w:t xml:space="preserve">77</w:t>
            </w:r>
          </w:p>
        </w:tc>
        <w:tc>
          <w:tcPr>
            <w:tcW w:type="dxa" w:w="1163"/>
          </w:tcPr>
          <w:p>
            <w:pPr>
              <w:pStyle w:val="Compact"/>
              <w:spacing w:after="0" w:before="0" w:line="240" w:lineRule="auto"/>
              <w:jc w:val="left"/>
            </w:pPr>
            <w:r>
              <w:rPr>
                <w:rFonts w:ascii="Times New Roman" w:hAnsi="Times New Roman"/>
                <w:sz w:val="20"/>
              </w:rPr>
              <w:t xml:space="preserve">83</w:t>
            </w:r>
          </w:p>
        </w:tc>
        <w:tc>
          <w:tcPr>
            <w:tcW w:type="dxa" w:w="1163"/>
          </w:tcPr>
          <w:p>
            <w:pPr>
              <w:pStyle w:val="Compact"/>
              <w:spacing w:after="0" w:before="0" w:line="240" w:lineRule="auto"/>
              <w:jc w:val="left"/>
            </w:pPr>
            <w:r>
              <w:rPr>
                <w:rFonts w:ascii="Times New Roman" w:hAnsi="Times New Roman"/>
                <w:sz w:val="20"/>
              </w:rPr>
              <w:t xml:space="preserve">160</w:t>
            </w:r>
          </w:p>
        </w:tc>
      </w:tr>
      <w:tr>
        <w:tc>
          <w:tcPr>
            <w:tcW w:type="dxa" w:w="1586"/>
          </w:tcPr>
          <w:p>
            <w:pPr>
              <w:pStyle w:val="Compact"/>
              <w:spacing w:after="0" w:before="0" w:line="240" w:lineRule="auto"/>
              <w:jc w:val="left"/>
            </w:pPr>
            <w:r>
              <w:rPr>
                <w:rFonts w:ascii="Times New Roman" w:hAnsi="Times New Roman"/>
                <w:sz w:val="20"/>
              </w:rPr>
              <w:t xml:space="preserve">All cardiovascular diagnoses</w:t>
            </w:r>
          </w:p>
        </w:tc>
        <w:tc>
          <w:tcPr>
            <w:tcW w:type="dxa" w:w="899"/>
          </w:tcPr>
          <w:p>
            <w:pPr>
              <w:pStyle w:val="Compact"/>
              <w:spacing w:after="0" w:before="0" w:line="240" w:lineRule="auto"/>
              <w:jc w:val="left"/>
            </w:pPr>
            <w:r>
              <w:rPr>
                <w:rFonts w:ascii="Times New Roman" w:hAnsi="Times New Roman"/>
                <w:sz w:val="20"/>
              </w:rPr>
              <w:t xml:space="preserve">165.3</w:t>
            </w:r>
          </w:p>
        </w:tc>
        <w:tc>
          <w:tcPr>
            <w:tcW w:type="dxa" w:w="1110"/>
          </w:tcPr>
          <w:p>
            <w:pPr>
              <w:pStyle w:val="Compact"/>
              <w:spacing w:after="0" w:before="0" w:line="240" w:lineRule="auto"/>
              <w:jc w:val="left"/>
            </w:pPr>
            <w:r>
              <w:rPr>
                <w:rFonts w:ascii="Times New Roman" w:hAnsi="Times New Roman"/>
                <w:sz w:val="20"/>
              </w:rPr>
              <w:t xml:space="preserve">210.0</w:t>
            </w:r>
          </w:p>
        </w:tc>
        <w:tc>
          <w:tcPr>
            <w:tcW w:type="dxa" w:w="1163"/>
          </w:tcPr>
          <w:p>
            <w:pPr>
              <w:pStyle w:val="Compact"/>
              <w:spacing w:after="0" w:before="0" w:line="240" w:lineRule="auto"/>
              <w:jc w:val="left"/>
            </w:pPr>
            <w:r>
              <w:rPr>
                <w:rFonts w:ascii="Times New Roman" w:hAnsi="Times New Roman"/>
                <w:sz w:val="20"/>
              </w:rPr>
              <w:t xml:space="preserve">375.3 (100.0)</w:t>
            </w:r>
          </w:p>
        </w:tc>
        <w:tc>
          <w:tcPr>
            <w:tcW w:type="dxa" w:w="1163"/>
          </w:tcPr>
          <w:p>
            <w:pPr>
              <w:pStyle w:val="Compact"/>
              <w:spacing w:after="0" w:before="0" w:line="240" w:lineRule="auto"/>
              <w:jc w:val="left"/>
            </w:pPr>
            <w:r>
              <w:rPr>
                <w:rFonts w:ascii="Times New Roman" w:hAnsi="Times New Roman"/>
                <w:sz w:val="20"/>
              </w:rPr>
              <w:t xml:space="preserve">65 → 56</w:t>
            </w:r>
          </w:p>
        </w:tc>
        <w:tc>
          <w:tcPr>
            <w:tcW w:type="dxa" w:w="1163"/>
          </w:tcPr>
          <w:p>
            <w:pPr>
              <w:pStyle w:val="Compact"/>
              <w:spacing w:after="0" w:before="0" w:line="240" w:lineRule="auto"/>
              <w:jc w:val="left"/>
            </w:pPr>
            <w:r>
              <w:rPr>
                <w:rFonts w:ascii="Times New Roman" w:hAnsi="Times New Roman"/>
                <w:sz w:val="20"/>
              </w:rPr>
              <w:t xml:space="preserve">99</w:t>
            </w:r>
          </w:p>
        </w:tc>
        <w:tc>
          <w:tcPr>
            <w:tcW w:type="dxa" w:w="1163"/>
          </w:tcPr>
          <w:p>
            <w:pPr>
              <w:pStyle w:val="Compact"/>
              <w:spacing w:after="0" w:before="0" w:line="240" w:lineRule="auto"/>
              <w:jc w:val="left"/>
            </w:pPr>
            <w:r>
              <w:rPr>
                <w:rFonts w:ascii="Times New Roman" w:hAnsi="Times New Roman"/>
                <w:sz w:val="20"/>
              </w:rPr>
              <w:t xml:space="preserve">126</w:t>
            </w:r>
          </w:p>
        </w:tc>
        <w:tc>
          <w:tcPr>
            <w:tcW w:type="dxa" w:w="1163"/>
          </w:tcPr>
          <w:p>
            <w:pPr>
              <w:pStyle w:val="Compact"/>
              <w:spacing w:after="0" w:before="0" w:line="240" w:lineRule="auto"/>
              <w:jc w:val="left"/>
            </w:pPr>
            <w:r>
              <w:rPr>
                <w:rFonts w:ascii="Times New Roman" w:hAnsi="Times New Roman"/>
                <w:sz w:val="20"/>
              </w:rPr>
              <w:t xml:space="preserve">224</w:t>
            </w:r>
          </w:p>
        </w:tc>
      </w:tr>
    </w:tbl>
    <w:p>
      <w:pPr>
        <w:pStyle w:val="BodyText"/>
      </w:pPr>
      <w:r>
        <w:t xml:space="preserve">Nominal euro (BGN 1.95583 per EUR). Patient costs are estimated co-payments (base case; scenario range for the total patient cost EUR 193.9–210.8 million). Treated person: mean monthly treated persons (Table 1); for all diagnoses, the diagnosis-level count. Within the unique-person bounds, the total per person was EUR 326–439 and the patient cost EUR 183–246.</w:t>
      </w:r>
    </w:p>
    <w:p>
      <w:pPr>
        <w:pStyle w:val="BodyText"/>
      </w:pPr>
      <w:r>
        <w:t xml:space="preserve">Abbreviations: NHIF, National Health Insurance Fund.</w:t>
      </w:r>
    </w:p>
    <w:p>
      <w:pPr>
        <w:pStyle w:val="BodyText"/>
      </w:pPr>
      <w:r>
        <w:rPr>
          <w:bCs/>
          <w:b/>
        </w:rPr>
        <w:t xml:space="preserve">Table 3. Payer and patient costs by therapeutic group (ATC level 3), 10 largest groups, Bulgaria, 2025</w:t>
      </w:r>
    </w:p>
    <w:tbl>
      <w:tblPr>
        <w:tblStyle w:val="Table"/>
        <w:tblW w:type="dxa" w:w="9411"/>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663"/>
        <w:gridCol w:w="1509"/>
        <w:gridCol w:w="1864"/>
        <w:gridCol w:w="1953"/>
        <w:gridCol w:w="1420"/>
      </w:tblGrid>
      <w:tr>
        <w:trPr>
          <w:tblHeader w:val="true"/>
        </w:trPr>
        <w:tc>
          <w:tcPr>
            <w:tcW w:type="dxa" w:w="2663"/>
          </w:tcPr>
          <w:p>
            <w:pPr>
              <w:pStyle w:val="Compact"/>
              <w:spacing w:after="0" w:before="0" w:line="240" w:lineRule="auto"/>
              <w:jc w:val="left"/>
            </w:pPr>
            <w:r>
              <w:rPr>
                <w:rFonts w:ascii="Times New Roman" w:hAnsi="Times New Roman"/>
                <w:sz w:val="20"/>
              </w:rPr>
              <w:t xml:space="preserve">ATC group</w:t>
            </w:r>
          </w:p>
        </w:tc>
        <w:tc>
          <w:tcPr>
            <w:tcW w:type="dxa" w:w="1509"/>
          </w:tcPr>
          <w:p>
            <w:pPr>
              <w:pStyle w:val="Compact"/>
              <w:spacing w:after="0" w:before="0" w:line="240" w:lineRule="auto"/>
              <w:jc w:val="left"/>
            </w:pPr>
            <w:r>
              <w:rPr>
                <w:rFonts w:ascii="Times New Roman" w:hAnsi="Times New Roman"/>
                <w:sz w:val="20"/>
              </w:rPr>
              <w:t xml:space="preserve">NHIF, EUR million</w:t>
            </w:r>
          </w:p>
        </w:tc>
        <w:tc>
          <w:tcPr>
            <w:tcW w:type="dxa" w:w="1864"/>
          </w:tcPr>
          <w:p>
            <w:pPr>
              <w:pStyle w:val="Compact"/>
              <w:spacing w:after="0" w:before="0" w:line="240" w:lineRule="auto"/>
              <w:jc w:val="left"/>
            </w:pPr>
            <w:r>
              <w:rPr>
                <w:rFonts w:ascii="Times New Roman" w:hAnsi="Times New Roman"/>
                <w:sz w:val="20"/>
              </w:rPr>
              <w:t xml:space="preserve">Patients, EUR million</w:t>
            </w:r>
          </w:p>
        </w:tc>
        <w:tc>
          <w:tcPr>
            <w:tcW w:type="dxa" w:w="1953"/>
          </w:tcPr>
          <w:p>
            <w:pPr>
              <w:pStyle w:val="Compact"/>
              <w:spacing w:after="0" w:before="0" w:line="240" w:lineRule="auto"/>
              <w:jc w:val="left"/>
            </w:pPr>
            <w:r>
              <w:rPr>
                <w:rFonts w:ascii="Times New Roman" w:hAnsi="Times New Roman"/>
                <w:sz w:val="20"/>
              </w:rPr>
              <w:t xml:space="preserve">Total, EUR million (% of total)</w:t>
            </w:r>
          </w:p>
        </w:tc>
        <w:tc>
          <w:tcPr>
            <w:tcW w:type="dxa" w:w="1421"/>
          </w:tcPr>
          <w:p>
            <w:pPr>
              <w:pStyle w:val="Compact"/>
              <w:spacing w:after="0" w:before="0" w:line="240" w:lineRule="auto"/>
              <w:jc w:val="left"/>
            </w:pPr>
            <w:r>
              <w:rPr>
                <w:rFonts w:ascii="Times New Roman" w:hAnsi="Times New Roman"/>
                <w:sz w:val="20"/>
              </w:rPr>
              <w:t xml:space="preserve">Patient share, %</w:t>
            </w:r>
          </w:p>
        </w:tc>
      </w:tr>
      <w:tr>
        <w:tc>
          <w:tcPr>
            <w:tcW w:type="dxa" w:w="2663"/>
          </w:tcPr>
          <w:p>
            <w:pPr>
              <w:pStyle w:val="Compact"/>
              <w:spacing w:after="0" w:before="0" w:line="240" w:lineRule="auto"/>
              <w:jc w:val="left"/>
            </w:pPr>
            <w:r>
              <w:rPr>
                <w:rFonts w:ascii="Times New Roman" w:hAnsi="Times New Roman"/>
                <w:sz w:val="20"/>
              </w:rPr>
              <w:t xml:space="preserve">B01A Antithrombotic agents</w:t>
            </w:r>
          </w:p>
        </w:tc>
        <w:tc>
          <w:tcPr>
            <w:tcW w:type="dxa" w:w="1509"/>
          </w:tcPr>
          <w:p>
            <w:pPr>
              <w:pStyle w:val="Compact"/>
              <w:spacing w:after="0" w:before="0" w:line="240" w:lineRule="auto"/>
              <w:jc w:val="left"/>
            </w:pPr>
            <w:r>
              <w:rPr>
                <w:rFonts w:ascii="Times New Roman" w:hAnsi="Times New Roman"/>
                <w:sz w:val="20"/>
              </w:rPr>
              <w:t xml:space="preserve">42.9</w:t>
            </w:r>
          </w:p>
        </w:tc>
        <w:tc>
          <w:tcPr>
            <w:tcW w:type="dxa" w:w="1864"/>
          </w:tcPr>
          <w:p>
            <w:pPr>
              <w:pStyle w:val="Compact"/>
              <w:spacing w:after="0" w:before="0" w:line="240" w:lineRule="auto"/>
              <w:jc w:val="left"/>
            </w:pPr>
            <w:r>
              <w:rPr>
                <w:rFonts w:ascii="Times New Roman" w:hAnsi="Times New Roman"/>
                <w:sz w:val="20"/>
              </w:rPr>
              <w:t xml:space="preserve">68.3</w:t>
            </w:r>
          </w:p>
        </w:tc>
        <w:tc>
          <w:tcPr>
            <w:tcW w:type="dxa" w:w="1953"/>
          </w:tcPr>
          <w:p>
            <w:pPr>
              <w:pStyle w:val="Compact"/>
              <w:spacing w:after="0" w:before="0" w:line="240" w:lineRule="auto"/>
              <w:jc w:val="left"/>
            </w:pPr>
            <w:r>
              <w:rPr>
                <w:rFonts w:ascii="Times New Roman" w:hAnsi="Times New Roman"/>
                <w:sz w:val="20"/>
              </w:rPr>
              <w:t xml:space="preserve">111.3 (29.6)</w:t>
            </w:r>
          </w:p>
        </w:tc>
        <w:tc>
          <w:tcPr>
            <w:tcW w:type="dxa" w:w="1421"/>
          </w:tcPr>
          <w:p>
            <w:pPr>
              <w:pStyle w:val="Compact"/>
              <w:spacing w:after="0" w:before="0" w:line="240" w:lineRule="auto"/>
              <w:jc w:val="left"/>
            </w:pPr>
            <w:r>
              <w:rPr>
                <w:rFonts w:ascii="Times New Roman" w:hAnsi="Times New Roman"/>
                <w:sz w:val="20"/>
              </w:rPr>
              <w:t xml:space="preserve">61</w:t>
            </w:r>
          </w:p>
        </w:tc>
      </w:tr>
      <w:tr>
        <w:tc>
          <w:tcPr>
            <w:tcW w:type="dxa" w:w="2663"/>
          </w:tcPr>
          <w:p>
            <w:pPr>
              <w:pStyle w:val="Compact"/>
              <w:spacing w:after="0" w:before="0" w:line="240" w:lineRule="auto"/>
              <w:jc w:val="left"/>
            </w:pPr>
            <w:r>
              <w:rPr>
                <w:rFonts w:ascii="Times New Roman" w:hAnsi="Times New Roman"/>
                <w:sz w:val="20"/>
              </w:rPr>
              <w:t xml:space="preserve">C09D Angiotensin II receptor blockers, combinations (incl. sacubitril/valsartan)</w:t>
            </w:r>
          </w:p>
        </w:tc>
        <w:tc>
          <w:tcPr>
            <w:tcW w:type="dxa" w:w="1509"/>
          </w:tcPr>
          <w:p>
            <w:pPr>
              <w:pStyle w:val="Compact"/>
              <w:spacing w:after="0" w:before="0" w:line="240" w:lineRule="auto"/>
              <w:jc w:val="left"/>
            </w:pPr>
            <w:r>
              <w:rPr>
                <w:rFonts w:ascii="Times New Roman" w:hAnsi="Times New Roman"/>
                <w:sz w:val="20"/>
              </w:rPr>
              <w:t xml:space="preserve">25.8</w:t>
            </w:r>
          </w:p>
        </w:tc>
        <w:tc>
          <w:tcPr>
            <w:tcW w:type="dxa" w:w="1864"/>
          </w:tcPr>
          <w:p>
            <w:pPr>
              <w:pStyle w:val="Compact"/>
              <w:spacing w:after="0" w:before="0" w:line="240" w:lineRule="auto"/>
              <w:jc w:val="left"/>
            </w:pPr>
            <w:r>
              <w:rPr>
                <w:rFonts w:ascii="Times New Roman" w:hAnsi="Times New Roman"/>
                <w:sz w:val="20"/>
              </w:rPr>
              <w:t xml:space="preserve">37.0</w:t>
            </w:r>
          </w:p>
        </w:tc>
        <w:tc>
          <w:tcPr>
            <w:tcW w:type="dxa" w:w="1953"/>
          </w:tcPr>
          <w:p>
            <w:pPr>
              <w:pStyle w:val="Compact"/>
              <w:spacing w:after="0" w:before="0" w:line="240" w:lineRule="auto"/>
              <w:jc w:val="left"/>
            </w:pPr>
            <w:r>
              <w:rPr>
                <w:rFonts w:ascii="Times New Roman" w:hAnsi="Times New Roman"/>
                <w:sz w:val="20"/>
              </w:rPr>
              <w:t xml:space="preserve">62.8 (16.7)</w:t>
            </w:r>
          </w:p>
        </w:tc>
        <w:tc>
          <w:tcPr>
            <w:tcW w:type="dxa" w:w="1421"/>
          </w:tcPr>
          <w:p>
            <w:pPr>
              <w:pStyle w:val="Compact"/>
              <w:spacing w:after="0" w:before="0" w:line="240" w:lineRule="auto"/>
              <w:jc w:val="left"/>
            </w:pPr>
            <w:r>
              <w:rPr>
                <w:rFonts w:ascii="Times New Roman" w:hAnsi="Times New Roman"/>
                <w:sz w:val="20"/>
              </w:rPr>
              <w:t xml:space="preserve">59</w:t>
            </w:r>
          </w:p>
        </w:tc>
      </w:tr>
      <w:tr>
        <w:tc>
          <w:tcPr>
            <w:tcW w:type="dxa" w:w="2663"/>
          </w:tcPr>
          <w:p>
            <w:pPr>
              <w:pStyle w:val="Compact"/>
              <w:spacing w:after="0" w:before="0" w:line="240" w:lineRule="auto"/>
              <w:jc w:val="left"/>
            </w:pPr>
            <w:r>
              <w:rPr>
                <w:rFonts w:ascii="Times New Roman" w:hAnsi="Times New Roman"/>
                <w:sz w:val="20"/>
              </w:rPr>
              <w:t xml:space="preserve">A10B Blood glucose-lowering drugs excl. insulins (mainly SGLT2 inhibitors for heart failure)</w:t>
            </w:r>
          </w:p>
        </w:tc>
        <w:tc>
          <w:tcPr>
            <w:tcW w:type="dxa" w:w="1509"/>
          </w:tcPr>
          <w:p>
            <w:pPr>
              <w:pStyle w:val="Compact"/>
              <w:spacing w:after="0" w:before="0" w:line="240" w:lineRule="auto"/>
              <w:jc w:val="left"/>
            </w:pPr>
            <w:r>
              <w:rPr>
                <w:rFonts w:ascii="Times New Roman" w:hAnsi="Times New Roman"/>
                <w:sz w:val="20"/>
              </w:rPr>
              <w:t xml:space="preserve">32.5</w:t>
            </w:r>
          </w:p>
        </w:tc>
        <w:tc>
          <w:tcPr>
            <w:tcW w:type="dxa" w:w="1864"/>
          </w:tcPr>
          <w:p>
            <w:pPr>
              <w:pStyle w:val="Compact"/>
              <w:spacing w:after="0" w:before="0" w:line="240" w:lineRule="auto"/>
              <w:jc w:val="left"/>
            </w:pPr>
            <w:r>
              <w:rPr>
                <w:rFonts w:ascii="Times New Roman" w:hAnsi="Times New Roman"/>
                <w:sz w:val="20"/>
              </w:rPr>
              <w:t xml:space="preserve">10.8</w:t>
            </w:r>
          </w:p>
        </w:tc>
        <w:tc>
          <w:tcPr>
            <w:tcW w:type="dxa" w:w="1953"/>
          </w:tcPr>
          <w:p>
            <w:pPr>
              <w:pStyle w:val="Compact"/>
              <w:spacing w:after="0" w:before="0" w:line="240" w:lineRule="auto"/>
              <w:jc w:val="left"/>
            </w:pPr>
            <w:r>
              <w:rPr>
                <w:rFonts w:ascii="Times New Roman" w:hAnsi="Times New Roman"/>
                <w:sz w:val="20"/>
              </w:rPr>
              <w:t xml:space="preserve">43.3 (11.5)</w:t>
            </w:r>
          </w:p>
        </w:tc>
        <w:tc>
          <w:tcPr>
            <w:tcW w:type="dxa" w:w="1421"/>
          </w:tcPr>
          <w:p>
            <w:pPr>
              <w:pStyle w:val="Compact"/>
              <w:spacing w:after="0" w:before="0" w:line="240" w:lineRule="auto"/>
              <w:jc w:val="left"/>
            </w:pPr>
            <w:r>
              <w:rPr>
                <w:rFonts w:ascii="Times New Roman" w:hAnsi="Times New Roman"/>
                <w:sz w:val="20"/>
              </w:rPr>
              <w:t xml:space="preserve">25</w:t>
            </w:r>
          </w:p>
        </w:tc>
      </w:tr>
      <w:tr>
        <w:tc>
          <w:tcPr>
            <w:tcW w:type="dxa" w:w="2663"/>
          </w:tcPr>
          <w:p>
            <w:pPr>
              <w:pStyle w:val="Compact"/>
              <w:spacing w:after="0" w:before="0" w:line="240" w:lineRule="auto"/>
              <w:jc w:val="left"/>
            </w:pPr>
            <w:r>
              <w:rPr>
                <w:rFonts w:ascii="Times New Roman" w:hAnsi="Times New Roman"/>
                <w:sz w:val="20"/>
              </w:rPr>
              <w:t xml:space="preserve">C07A Beta-blocking agents</w:t>
            </w:r>
          </w:p>
        </w:tc>
        <w:tc>
          <w:tcPr>
            <w:tcW w:type="dxa" w:w="1509"/>
          </w:tcPr>
          <w:p>
            <w:pPr>
              <w:pStyle w:val="Compact"/>
              <w:spacing w:after="0" w:before="0" w:line="240" w:lineRule="auto"/>
              <w:jc w:val="left"/>
            </w:pPr>
            <w:r>
              <w:rPr>
                <w:rFonts w:ascii="Times New Roman" w:hAnsi="Times New Roman"/>
                <w:sz w:val="20"/>
              </w:rPr>
              <w:t xml:space="preserve">7.2</w:t>
            </w:r>
          </w:p>
        </w:tc>
        <w:tc>
          <w:tcPr>
            <w:tcW w:type="dxa" w:w="1864"/>
          </w:tcPr>
          <w:p>
            <w:pPr>
              <w:pStyle w:val="Compact"/>
              <w:spacing w:after="0" w:before="0" w:line="240" w:lineRule="auto"/>
              <w:jc w:val="left"/>
            </w:pPr>
            <w:r>
              <w:rPr>
                <w:rFonts w:ascii="Times New Roman" w:hAnsi="Times New Roman"/>
                <w:sz w:val="20"/>
              </w:rPr>
              <w:t xml:space="preserve">16.2</w:t>
            </w:r>
          </w:p>
        </w:tc>
        <w:tc>
          <w:tcPr>
            <w:tcW w:type="dxa" w:w="1953"/>
          </w:tcPr>
          <w:p>
            <w:pPr>
              <w:pStyle w:val="Compact"/>
              <w:spacing w:after="0" w:before="0" w:line="240" w:lineRule="auto"/>
              <w:jc w:val="left"/>
            </w:pPr>
            <w:r>
              <w:rPr>
                <w:rFonts w:ascii="Times New Roman" w:hAnsi="Times New Roman"/>
                <w:sz w:val="20"/>
              </w:rPr>
              <w:t xml:space="preserve">23.4 (6.2)</w:t>
            </w:r>
          </w:p>
        </w:tc>
        <w:tc>
          <w:tcPr>
            <w:tcW w:type="dxa" w:w="1421"/>
          </w:tcPr>
          <w:p>
            <w:pPr>
              <w:pStyle w:val="Compact"/>
              <w:spacing w:after="0" w:before="0" w:line="240" w:lineRule="auto"/>
              <w:jc w:val="left"/>
            </w:pPr>
            <w:r>
              <w:rPr>
                <w:rFonts w:ascii="Times New Roman" w:hAnsi="Times New Roman"/>
                <w:sz w:val="20"/>
              </w:rPr>
              <w:t xml:space="preserve">69</w:t>
            </w:r>
          </w:p>
        </w:tc>
      </w:tr>
      <w:tr>
        <w:tc>
          <w:tcPr>
            <w:tcW w:type="dxa" w:w="2663"/>
          </w:tcPr>
          <w:p>
            <w:pPr>
              <w:pStyle w:val="Compact"/>
              <w:spacing w:after="0" w:before="0" w:line="240" w:lineRule="auto"/>
              <w:jc w:val="left"/>
            </w:pPr>
            <w:r>
              <w:rPr>
                <w:rFonts w:ascii="Times New Roman" w:hAnsi="Times New Roman"/>
                <w:sz w:val="20"/>
              </w:rPr>
              <w:t xml:space="preserve">C10A Lipid-modifying agents, plain</w:t>
            </w:r>
          </w:p>
        </w:tc>
        <w:tc>
          <w:tcPr>
            <w:tcW w:type="dxa" w:w="1509"/>
          </w:tcPr>
          <w:p>
            <w:pPr>
              <w:pStyle w:val="Compact"/>
              <w:spacing w:after="0" w:before="0" w:line="240" w:lineRule="auto"/>
              <w:jc w:val="left"/>
            </w:pPr>
            <w:r>
              <w:rPr>
                <w:rFonts w:ascii="Times New Roman" w:hAnsi="Times New Roman"/>
                <w:sz w:val="20"/>
              </w:rPr>
              <w:t xml:space="preserve">3.2</w:t>
            </w:r>
          </w:p>
        </w:tc>
        <w:tc>
          <w:tcPr>
            <w:tcW w:type="dxa" w:w="1864"/>
          </w:tcPr>
          <w:p>
            <w:pPr>
              <w:pStyle w:val="Compact"/>
              <w:spacing w:after="0" w:before="0" w:line="240" w:lineRule="auto"/>
              <w:jc w:val="left"/>
            </w:pPr>
            <w:r>
              <w:rPr>
                <w:rFonts w:ascii="Times New Roman" w:hAnsi="Times New Roman"/>
                <w:sz w:val="20"/>
              </w:rPr>
              <w:t xml:space="preserve">16.3</w:t>
            </w:r>
          </w:p>
        </w:tc>
        <w:tc>
          <w:tcPr>
            <w:tcW w:type="dxa" w:w="1953"/>
          </w:tcPr>
          <w:p>
            <w:pPr>
              <w:pStyle w:val="Compact"/>
              <w:spacing w:after="0" w:before="0" w:line="240" w:lineRule="auto"/>
              <w:jc w:val="left"/>
            </w:pPr>
            <w:r>
              <w:rPr>
                <w:rFonts w:ascii="Times New Roman" w:hAnsi="Times New Roman"/>
                <w:sz w:val="20"/>
              </w:rPr>
              <w:t xml:space="preserve">19.4 (5.2)</w:t>
            </w:r>
          </w:p>
        </w:tc>
        <w:tc>
          <w:tcPr>
            <w:tcW w:type="dxa" w:w="1421"/>
          </w:tcPr>
          <w:p>
            <w:pPr>
              <w:pStyle w:val="Compact"/>
              <w:spacing w:after="0" w:before="0" w:line="240" w:lineRule="auto"/>
              <w:jc w:val="left"/>
            </w:pPr>
            <w:r>
              <w:rPr>
                <w:rFonts w:ascii="Times New Roman" w:hAnsi="Times New Roman"/>
                <w:sz w:val="20"/>
              </w:rPr>
              <w:t xml:space="preserve">84</w:t>
            </w:r>
          </w:p>
        </w:tc>
      </w:tr>
      <w:tr>
        <w:tc>
          <w:tcPr>
            <w:tcW w:type="dxa" w:w="2663"/>
          </w:tcPr>
          <w:p>
            <w:pPr>
              <w:pStyle w:val="Compact"/>
              <w:spacing w:after="0" w:before="0" w:line="240" w:lineRule="auto"/>
              <w:jc w:val="left"/>
            </w:pPr>
            <w:r>
              <w:rPr>
                <w:rFonts w:ascii="Times New Roman" w:hAnsi="Times New Roman"/>
                <w:sz w:val="20"/>
              </w:rPr>
              <w:t xml:space="preserve">C09B ACE inhibitors, combinations</w:t>
            </w:r>
          </w:p>
        </w:tc>
        <w:tc>
          <w:tcPr>
            <w:tcW w:type="dxa" w:w="1509"/>
          </w:tcPr>
          <w:p>
            <w:pPr>
              <w:pStyle w:val="Compact"/>
              <w:spacing w:after="0" w:before="0" w:line="240" w:lineRule="auto"/>
              <w:jc w:val="left"/>
            </w:pPr>
            <w:r>
              <w:rPr>
                <w:rFonts w:ascii="Times New Roman" w:hAnsi="Times New Roman"/>
                <w:sz w:val="20"/>
              </w:rPr>
              <w:t xml:space="preserve">4.7</w:t>
            </w:r>
          </w:p>
        </w:tc>
        <w:tc>
          <w:tcPr>
            <w:tcW w:type="dxa" w:w="1864"/>
          </w:tcPr>
          <w:p>
            <w:pPr>
              <w:pStyle w:val="Compact"/>
              <w:spacing w:after="0" w:before="0" w:line="240" w:lineRule="auto"/>
              <w:jc w:val="left"/>
            </w:pPr>
            <w:r>
              <w:rPr>
                <w:rFonts w:ascii="Times New Roman" w:hAnsi="Times New Roman"/>
                <w:sz w:val="20"/>
              </w:rPr>
              <w:t xml:space="preserve">12.9</w:t>
            </w:r>
          </w:p>
        </w:tc>
        <w:tc>
          <w:tcPr>
            <w:tcW w:type="dxa" w:w="1953"/>
          </w:tcPr>
          <w:p>
            <w:pPr>
              <w:pStyle w:val="Compact"/>
              <w:spacing w:after="0" w:before="0" w:line="240" w:lineRule="auto"/>
              <w:jc w:val="left"/>
            </w:pPr>
            <w:r>
              <w:rPr>
                <w:rFonts w:ascii="Times New Roman" w:hAnsi="Times New Roman"/>
                <w:sz w:val="20"/>
              </w:rPr>
              <w:t xml:space="preserve">17.7 (4.7)</w:t>
            </w:r>
          </w:p>
        </w:tc>
        <w:tc>
          <w:tcPr>
            <w:tcW w:type="dxa" w:w="1421"/>
          </w:tcPr>
          <w:p>
            <w:pPr>
              <w:pStyle w:val="Compact"/>
              <w:spacing w:after="0" w:before="0" w:line="240" w:lineRule="auto"/>
              <w:jc w:val="left"/>
            </w:pPr>
            <w:r>
              <w:rPr>
                <w:rFonts w:ascii="Times New Roman" w:hAnsi="Times New Roman"/>
                <w:sz w:val="20"/>
              </w:rPr>
              <w:t xml:space="preserve">73</w:t>
            </w:r>
          </w:p>
        </w:tc>
      </w:tr>
      <w:tr>
        <w:tc>
          <w:tcPr>
            <w:tcW w:type="dxa" w:w="2663"/>
          </w:tcPr>
          <w:p>
            <w:pPr>
              <w:pStyle w:val="Compact"/>
              <w:spacing w:after="0" w:before="0" w:line="240" w:lineRule="auto"/>
              <w:jc w:val="left"/>
            </w:pPr>
            <w:r>
              <w:rPr>
                <w:rFonts w:ascii="Times New Roman" w:hAnsi="Times New Roman"/>
                <w:sz w:val="20"/>
              </w:rPr>
              <w:t xml:space="preserve">N06B Psychostimulants and nootropics</w:t>
            </w:r>
          </w:p>
        </w:tc>
        <w:tc>
          <w:tcPr>
            <w:tcW w:type="dxa" w:w="1509"/>
          </w:tcPr>
          <w:p>
            <w:pPr>
              <w:pStyle w:val="Compact"/>
              <w:spacing w:after="0" w:before="0" w:line="240" w:lineRule="auto"/>
              <w:jc w:val="left"/>
            </w:pPr>
            <w:r>
              <w:rPr>
                <w:rFonts w:ascii="Times New Roman" w:hAnsi="Times New Roman"/>
                <w:sz w:val="20"/>
              </w:rPr>
              <w:t xml:space="preserve">2.6</w:t>
            </w:r>
          </w:p>
        </w:tc>
        <w:tc>
          <w:tcPr>
            <w:tcW w:type="dxa" w:w="1864"/>
          </w:tcPr>
          <w:p>
            <w:pPr>
              <w:pStyle w:val="Compact"/>
              <w:spacing w:after="0" w:before="0" w:line="240" w:lineRule="auto"/>
              <w:jc w:val="left"/>
            </w:pPr>
            <w:r>
              <w:rPr>
                <w:rFonts w:ascii="Times New Roman" w:hAnsi="Times New Roman"/>
                <w:sz w:val="20"/>
              </w:rPr>
              <w:t xml:space="preserve">11.4</w:t>
            </w:r>
          </w:p>
        </w:tc>
        <w:tc>
          <w:tcPr>
            <w:tcW w:type="dxa" w:w="1953"/>
          </w:tcPr>
          <w:p>
            <w:pPr>
              <w:pStyle w:val="Compact"/>
              <w:spacing w:after="0" w:before="0" w:line="240" w:lineRule="auto"/>
              <w:jc w:val="left"/>
            </w:pPr>
            <w:r>
              <w:rPr>
                <w:rFonts w:ascii="Times New Roman" w:hAnsi="Times New Roman"/>
                <w:sz w:val="20"/>
              </w:rPr>
              <w:t xml:space="preserve">14.0 (3.7)</w:t>
            </w:r>
          </w:p>
        </w:tc>
        <w:tc>
          <w:tcPr>
            <w:tcW w:type="dxa" w:w="1421"/>
          </w:tcPr>
          <w:p>
            <w:pPr>
              <w:pStyle w:val="Compact"/>
              <w:spacing w:after="0" w:before="0" w:line="240" w:lineRule="auto"/>
              <w:jc w:val="left"/>
            </w:pPr>
            <w:r>
              <w:rPr>
                <w:rFonts w:ascii="Times New Roman" w:hAnsi="Times New Roman"/>
                <w:sz w:val="20"/>
              </w:rPr>
              <w:t xml:space="preserve">81</w:t>
            </w:r>
          </w:p>
        </w:tc>
      </w:tr>
      <w:tr>
        <w:tc>
          <w:tcPr>
            <w:tcW w:type="dxa" w:w="2663"/>
          </w:tcPr>
          <w:p>
            <w:pPr>
              <w:pStyle w:val="Compact"/>
              <w:spacing w:after="0" w:before="0" w:line="240" w:lineRule="auto"/>
              <w:jc w:val="left"/>
            </w:pPr>
            <w:r>
              <w:rPr>
                <w:rFonts w:ascii="Times New Roman" w:hAnsi="Times New Roman"/>
                <w:sz w:val="20"/>
              </w:rPr>
              <w:t xml:space="preserve">C09C Angiotensin II receptor blockers, plain</w:t>
            </w:r>
          </w:p>
        </w:tc>
        <w:tc>
          <w:tcPr>
            <w:tcW w:type="dxa" w:w="1509"/>
          </w:tcPr>
          <w:p>
            <w:pPr>
              <w:pStyle w:val="Compact"/>
              <w:spacing w:after="0" w:before="0" w:line="240" w:lineRule="auto"/>
              <w:jc w:val="left"/>
            </w:pPr>
            <w:r>
              <w:rPr>
                <w:rFonts w:ascii="Times New Roman" w:hAnsi="Times New Roman"/>
                <w:sz w:val="20"/>
              </w:rPr>
              <w:t xml:space="preserve">5.2</w:t>
            </w:r>
          </w:p>
        </w:tc>
        <w:tc>
          <w:tcPr>
            <w:tcW w:type="dxa" w:w="1864"/>
          </w:tcPr>
          <w:p>
            <w:pPr>
              <w:pStyle w:val="Compact"/>
              <w:spacing w:after="0" w:before="0" w:line="240" w:lineRule="auto"/>
              <w:jc w:val="left"/>
            </w:pPr>
            <w:r>
              <w:rPr>
                <w:rFonts w:ascii="Times New Roman" w:hAnsi="Times New Roman"/>
                <w:sz w:val="20"/>
              </w:rPr>
              <w:t xml:space="preserve">3.9</w:t>
            </w:r>
          </w:p>
        </w:tc>
        <w:tc>
          <w:tcPr>
            <w:tcW w:type="dxa" w:w="1953"/>
          </w:tcPr>
          <w:p>
            <w:pPr>
              <w:pStyle w:val="Compact"/>
              <w:spacing w:after="0" w:before="0" w:line="240" w:lineRule="auto"/>
              <w:jc w:val="left"/>
            </w:pPr>
            <w:r>
              <w:rPr>
                <w:rFonts w:ascii="Times New Roman" w:hAnsi="Times New Roman"/>
                <w:sz w:val="20"/>
              </w:rPr>
              <w:t xml:space="preserve">9.1 (2.4)</w:t>
            </w:r>
          </w:p>
        </w:tc>
        <w:tc>
          <w:tcPr>
            <w:tcW w:type="dxa" w:w="1421"/>
          </w:tcPr>
          <w:p>
            <w:pPr>
              <w:pStyle w:val="Compact"/>
              <w:spacing w:after="0" w:before="0" w:line="240" w:lineRule="auto"/>
              <w:jc w:val="left"/>
            </w:pPr>
            <w:r>
              <w:rPr>
                <w:rFonts w:ascii="Times New Roman" w:hAnsi="Times New Roman"/>
                <w:sz w:val="20"/>
              </w:rPr>
              <w:t xml:space="preserve">43</w:t>
            </w:r>
          </w:p>
        </w:tc>
      </w:tr>
      <w:tr>
        <w:tc>
          <w:tcPr>
            <w:tcW w:type="dxa" w:w="2663"/>
          </w:tcPr>
          <w:p>
            <w:pPr>
              <w:pStyle w:val="Compact"/>
              <w:spacing w:after="0" w:before="0" w:line="240" w:lineRule="auto"/>
              <w:jc w:val="left"/>
            </w:pPr>
            <w:r>
              <w:rPr>
                <w:rFonts w:ascii="Times New Roman" w:hAnsi="Times New Roman"/>
                <w:sz w:val="20"/>
              </w:rPr>
              <w:t xml:space="preserve">C08C Dihydropyridine calcium channel blockers</w:t>
            </w:r>
          </w:p>
        </w:tc>
        <w:tc>
          <w:tcPr>
            <w:tcW w:type="dxa" w:w="1509"/>
          </w:tcPr>
          <w:p>
            <w:pPr>
              <w:pStyle w:val="Compact"/>
              <w:spacing w:after="0" w:before="0" w:line="240" w:lineRule="auto"/>
              <w:jc w:val="left"/>
            </w:pPr>
            <w:r>
              <w:rPr>
                <w:rFonts w:ascii="Times New Roman" w:hAnsi="Times New Roman"/>
                <w:sz w:val="20"/>
              </w:rPr>
              <w:t xml:space="preserve">4.2</w:t>
            </w:r>
          </w:p>
        </w:tc>
        <w:tc>
          <w:tcPr>
            <w:tcW w:type="dxa" w:w="1864"/>
          </w:tcPr>
          <w:p>
            <w:pPr>
              <w:pStyle w:val="Compact"/>
              <w:spacing w:after="0" w:before="0" w:line="240" w:lineRule="auto"/>
              <w:jc w:val="left"/>
            </w:pPr>
            <w:r>
              <w:rPr>
                <w:rFonts w:ascii="Times New Roman" w:hAnsi="Times New Roman"/>
                <w:sz w:val="20"/>
              </w:rPr>
              <w:t xml:space="preserve">4.6</w:t>
            </w:r>
          </w:p>
        </w:tc>
        <w:tc>
          <w:tcPr>
            <w:tcW w:type="dxa" w:w="1953"/>
          </w:tcPr>
          <w:p>
            <w:pPr>
              <w:pStyle w:val="Compact"/>
              <w:spacing w:after="0" w:before="0" w:line="240" w:lineRule="auto"/>
              <w:jc w:val="left"/>
            </w:pPr>
            <w:r>
              <w:rPr>
                <w:rFonts w:ascii="Times New Roman" w:hAnsi="Times New Roman"/>
                <w:sz w:val="20"/>
              </w:rPr>
              <w:t xml:space="preserve">8.8 (2.4)</w:t>
            </w:r>
          </w:p>
        </w:tc>
        <w:tc>
          <w:tcPr>
            <w:tcW w:type="dxa" w:w="1421"/>
          </w:tcPr>
          <w:p>
            <w:pPr>
              <w:pStyle w:val="Compact"/>
              <w:spacing w:after="0" w:before="0" w:line="240" w:lineRule="auto"/>
              <w:jc w:val="left"/>
            </w:pPr>
            <w:r>
              <w:rPr>
                <w:rFonts w:ascii="Times New Roman" w:hAnsi="Times New Roman"/>
                <w:sz w:val="20"/>
              </w:rPr>
              <w:t xml:space="preserve">52</w:t>
            </w:r>
          </w:p>
        </w:tc>
      </w:tr>
      <w:tr>
        <w:tc>
          <w:tcPr>
            <w:tcW w:type="dxa" w:w="2663"/>
          </w:tcPr>
          <w:p>
            <w:pPr>
              <w:pStyle w:val="Compact"/>
              <w:spacing w:after="0" w:before="0" w:line="240" w:lineRule="auto"/>
              <w:jc w:val="left"/>
            </w:pPr>
            <w:r>
              <w:rPr>
                <w:rFonts w:ascii="Times New Roman" w:hAnsi="Times New Roman"/>
                <w:sz w:val="20"/>
              </w:rPr>
              <w:t xml:space="preserve">C02A Centrally acting antiadrenergic agents</w:t>
            </w:r>
          </w:p>
        </w:tc>
        <w:tc>
          <w:tcPr>
            <w:tcW w:type="dxa" w:w="1509"/>
          </w:tcPr>
          <w:p>
            <w:pPr>
              <w:pStyle w:val="Compact"/>
              <w:spacing w:after="0" w:before="0" w:line="240" w:lineRule="auto"/>
              <w:jc w:val="left"/>
            </w:pPr>
            <w:r>
              <w:rPr>
                <w:rFonts w:ascii="Times New Roman" w:hAnsi="Times New Roman"/>
                <w:sz w:val="20"/>
              </w:rPr>
              <w:t xml:space="preserve">5.6</w:t>
            </w:r>
          </w:p>
        </w:tc>
        <w:tc>
          <w:tcPr>
            <w:tcW w:type="dxa" w:w="1864"/>
          </w:tcPr>
          <w:p>
            <w:pPr>
              <w:pStyle w:val="Compact"/>
              <w:spacing w:after="0" w:before="0" w:line="240" w:lineRule="auto"/>
              <w:jc w:val="left"/>
            </w:pPr>
            <w:r>
              <w:rPr>
                <w:rFonts w:ascii="Times New Roman" w:hAnsi="Times New Roman"/>
                <w:sz w:val="20"/>
              </w:rPr>
              <w:t xml:space="preserve">2.4</w:t>
            </w:r>
          </w:p>
        </w:tc>
        <w:tc>
          <w:tcPr>
            <w:tcW w:type="dxa" w:w="1953"/>
          </w:tcPr>
          <w:p>
            <w:pPr>
              <w:pStyle w:val="Compact"/>
              <w:spacing w:after="0" w:before="0" w:line="240" w:lineRule="auto"/>
              <w:jc w:val="left"/>
            </w:pPr>
            <w:r>
              <w:rPr>
                <w:rFonts w:ascii="Times New Roman" w:hAnsi="Times New Roman"/>
                <w:sz w:val="20"/>
              </w:rPr>
              <w:t xml:space="preserve">8.0 (2.1)</w:t>
            </w:r>
          </w:p>
        </w:tc>
        <w:tc>
          <w:tcPr>
            <w:tcW w:type="dxa" w:w="1421"/>
          </w:tcPr>
          <w:p>
            <w:pPr>
              <w:pStyle w:val="Compact"/>
              <w:spacing w:after="0" w:before="0" w:line="240" w:lineRule="auto"/>
              <w:jc w:val="left"/>
            </w:pPr>
            <w:r>
              <w:rPr>
                <w:rFonts w:ascii="Times New Roman" w:hAnsi="Times New Roman"/>
                <w:sz w:val="20"/>
              </w:rPr>
              <w:t xml:space="preserve">30</w:t>
            </w:r>
          </w:p>
        </w:tc>
      </w:tr>
      <w:tr>
        <w:tc>
          <w:tcPr>
            <w:tcW w:type="dxa" w:w="2663"/>
          </w:tcPr>
          <w:p>
            <w:pPr>
              <w:pStyle w:val="Compact"/>
              <w:spacing w:after="0" w:before="0" w:line="240" w:lineRule="auto"/>
              <w:jc w:val="left"/>
            </w:pPr>
            <w:r>
              <w:rPr>
                <w:rFonts w:ascii="Times New Roman" w:hAnsi="Times New Roman"/>
                <w:sz w:val="20"/>
              </w:rPr>
              <w:t xml:space="preserve">All other groups</w:t>
            </w:r>
          </w:p>
        </w:tc>
        <w:tc>
          <w:tcPr>
            <w:tcW w:type="dxa" w:w="1509"/>
          </w:tcPr>
          <w:p>
            <w:pPr>
              <w:pStyle w:val="Compact"/>
              <w:spacing w:after="0" w:before="0" w:line="240" w:lineRule="auto"/>
              <w:jc w:val="left"/>
            </w:pPr>
            <w:r>
              <w:rPr>
                <w:rFonts w:ascii="Times New Roman" w:hAnsi="Times New Roman"/>
                <w:sz w:val="20"/>
              </w:rPr>
              <w:t xml:space="preserve">31.4</w:t>
            </w:r>
          </w:p>
        </w:tc>
        <w:tc>
          <w:tcPr>
            <w:tcW w:type="dxa" w:w="1864"/>
          </w:tcPr>
          <w:p>
            <w:pPr>
              <w:pStyle w:val="Compact"/>
              <w:spacing w:after="0" w:before="0" w:line="240" w:lineRule="auto"/>
              <w:jc w:val="left"/>
            </w:pPr>
            <w:r>
              <w:rPr>
                <w:rFonts w:ascii="Times New Roman" w:hAnsi="Times New Roman"/>
                <w:sz w:val="20"/>
              </w:rPr>
              <w:t xml:space="preserve">26.2</w:t>
            </w:r>
          </w:p>
        </w:tc>
        <w:tc>
          <w:tcPr>
            <w:tcW w:type="dxa" w:w="1953"/>
          </w:tcPr>
          <w:p>
            <w:pPr>
              <w:pStyle w:val="Compact"/>
              <w:spacing w:after="0" w:before="0" w:line="240" w:lineRule="auto"/>
              <w:jc w:val="left"/>
            </w:pPr>
            <w:r>
              <w:rPr>
                <w:rFonts w:ascii="Times New Roman" w:hAnsi="Times New Roman"/>
                <w:sz w:val="20"/>
              </w:rPr>
              <w:t xml:space="preserve">57.5 (15.3)</w:t>
            </w:r>
          </w:p>
        </w:tc>
        <w:tc>
          <w:tcPr>
            <w:tcW w:type="dxa" w:w="1421"/>
          </w:tcPr>
          <w:p>
            <w:pPr>
              <w:pStyle w:val="Compact"/>
              <w:spacing w:after="0" w:before="0" w:line="240" w:lineRule="auto"/>
              <w:jc w:val="left"/>
            </w:pPr>
            <w:r>
              <w:rPr>
                <w:rFonts w:ascii="Times New Roman" w:hAnsi="Times New Roman"/>
                <w:sz w:val="20"/>
              </w:rPr>
              <w:t xml:space="preserve">45</w:t>
            </w:r>
          </w:p>
        </w:tc>
      </w:tr>
    </w:tbl>
    <w:p>
      <w:pPr>
        <w:pStyle w:val="BodyText"/>
      </w:pPr>
      <w:r>
        <w:t xml:space="preserve">Medicines dispensed under cardiovascular diagnoses (ICD-10 I10–I99) only.</w:t>
      </w:r>
    </w:p>
    <w:p>
      <w:pPr>
        <w:pStyle w:val="BodyText"/>
      </w:pPr>
      <w:r>
        <w:t xml:space="preserve">Abbreviations: ACE, angiotensin-converting enzyme; ATC, Anatomical Therapeutic Chemical classification; NHIF, National Health Insurance Fund; SGLT2, sodium–glucose co-transporter 2.</w:t>
      </w:r>
    </w:p>
    <w:p>
      <w:r>
        <w:pict>
          <v:rect style="width:0;height:1.5pt" o:hralign="center" o:hrstd="t" o:hr="t"/>
        </w:pict>
      </w:r>
    </w:p>
    <w:p>
      <w:r>
        <w:br w:type="page"/>
      </w:r>
    </w:p>
    <w:bookmarkEnd w:id="48"/>
    <w:bookmarkStart w:id="49" w:name="figure-titles-and-legends"/>
    <w:p>
      <w:pPr>
        <w:pStyle w:val="Heading2"/>
      </w:pPr>
      <w:r>
        <w:t xml:space="preserve">Figure titles and legends</w:t>
      </w:r>
    </w:p>
    <w:p>
      <w:pPr>
        <w:pStyle w:val="FirstParagraph"/>
      </w:pPr>
      <w:r>
        <w:rPr>
          <w:bCs/>
          <w:b/>
        </w:rPr>
        <w:t xml:space="preserve">Figure 1. Monthly NHIF reimbursement and estimated patient co-payments for cardiovascular medicines, Bulgaria, January 2023–December 2025</w:t>
      </w:r>
    </w:p>
    <w:p>
      <w:pPr>
        <w:pStyle w:val="BodyText"/>
      </w:pPr>
      <w:r>
        <w:t xml:space="preserve">Medicines dispensed under ICD-10 I10–I99. Nominal euro. The dotted line marks 1 April 2024, when reimbursement was raised to 100 % for 407 single-substance cardiovascular products.</w:t>
      </w:r>
    </w:p>
    <w:p>
      <w:pPr>
        <w:pStyle w:val="BodyText"/>
      </w:pPr>
      <w:r>
        <w:t xml:space="preserve">Abbreviation: NHIF, National Health Insurance Fund.</w:t>
      </w:r>
    </w:p>
    <w:p>
      <w:pPr>
        <w:pStyle w:val="BodyText"/>
      </w:pPr>
      <w:r>
        <w:rPr>
          <w:bCs/>
          <w:b/>
        </w:rPr>
        <w:t xml:space="preserve">Figure 2. Treated hypertensive disease by region and share of population aged 65 or over, Bulgaria, 2024</w:t>
      </w:r>
    </w:p>
    <w:p>
      <w:pPr>
        <w:pStyle w:val="BodyText"/>
      </w:pPr>
      <w:r>
        <w:t xml:space="preserve">Each point is one of 28 NUTS-3 regions; point area is proportional to population. Treated hypertensive disease: mean monthly persons receiving reimbursed medicines for ICD-10 I10–I13 per 100 population. The dashed line is the population-weighted least-squares fit (slope 0.67 per percentage point; R</w:t>
      </w:r>
      <w:r>
        <w:rPr>
          <w:vertAlign w:val="superscript"/>
        </w:rPr>
        <w:t xml:space="preserve">2</w:t>
      </w:r>
      <w:r>
        <w:t xml:space="preserve"> </w:t>
      </w:r>
      <w:r>
        <w:t xml:space="preserve">= 0.67).</w:t>
      </w:r>
    </w:p>
    <w:bookmarkEnd w:id="49"/>
    <w:sectPr>
      <w:footerReference w:type="default" r:id="rId9"/>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eastAsia="Times New Roman" w:cs="Times New Roman"/>
      <w:color w:val="000000"/>
      <w:sz w:val="24"/>
    </w:rPr>
  </w:style>
  <w:style w:styleId="BodyText" w:type="paragraph">
    <w:name w:val="Body Text"/>
    <w:basedOn w:val="Normal"/>
    <w:link w:val="BodyTextChar"/>
    <w:pPr>
      <w:spacing w:after="180" w:before="180" w:line="480" w:lineRule="auto"/>
    </w:pPr>
    <w:qFormat/>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480" w:lineRule="auto"/>
    </w:pPr>
    <w:rPr>
      <w:rFonts w:ascii="Times New Roman" w:hAnsi="Times New Roman" w:eastAsia="Times New Roman" w:cs="Times New Roman"/>
      <w:color w:val="000000"/>
      <w:sz w:val="24"/>
    </w:rPr>
  </w:style>
  <w:style w:customStyle="1" w:styleId="Compact" w:type="paragraph">
    <w:name w:val="Compact"/>
    <w:basedOn w:val="BodyText"/>
    <w:qFormat/>
    <w:pPr>
      <w:spacing w:after="36" w:before="36"/>
    </w:pPr>
    <w:rPr>
      <w:rFonts w:ascii="Times New Roman" w:hAnsi="Times New Roman" w:eastAsia="Times New Roman" w:cs="Times New Roman"/>
      <w:color w:val="000000"/>
      <w:sz w:val="24"/>
    </w:rPr>
  </w:style>
  <w:style w:styleId="Title" w:type="paragraph">
    <w:name w:val="Title"/>
    <w:basedOn w:val="Normal"/>
    <w:next w:val="BodyText"/>
    <w:qFormat/>
    <w:pPr>
      <w:keepNext/>
      <w:keepLines/>
      <w:spacing w:after="240" w:before="480" w:line="480" w:lineRule="auto"/>
      <w:jc w:val="center"/>
    </w:pPr>
    <w:rPr>
      <w:rFonts w:ascii="Times New Roman" w:hAnsi="Times New Roman" w:eastAsia="Times New Roman" w:cs="Times New Roman"/>
      <w:b/>
      <w:bCs/>
      <w:i w:val="0"/>
      <w:color w:val="000000"/>
      <w:sz w:val="2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line="480" w:lineRule="auto"/>
      <w:outlineLvl w:val="0"/>
    </w:pPr>
    <w:rPr>
      <w:rFonts w:ascii="Times New Roman" w:hAnsi="Times New Roman" w:eastAsia="Times New Roman" w:cs="Times New Roman"/>
      <w:b/>
      <w:bCs/>
      <w:i w:val="0"/>
      <w:color w:val="000000"/>
      <w:sz w:val="24"/>
      <w:szCs w:val="32"/>
    </w:rPr>
  </w:style>
  <w:style w:styleId="Heading2" w:type="paragraph">
    <w:name w:val="Heading 2"/>
    <w:basedOn w:val="Normal"/>
    <w:next w:val="BodyText"/>
    <w:uiPriority w:val="9"/>
    <w:unhideWhenUsed/>
    <w:qFormat/>
    <w:pPr>
      <w:keepNext/>
      <w:keepLines/>
      <w:spacing w:after="0" w:before="200" w:line="480" w:lineRule="auto"/>
      <w:outlineLvl w:val="1"/>
    </w:pPr>
    <w:rPr>
      <w:rFonts w:ascii="Times New Roman" w:hAnsi="Times New Roman" w:eastAsia="Times New Roman" w:cs="Times New Roman"/>
      <w:b/>
      <w:bCs/>
      <w:i w:val="0"/>
      <w:color w:val="000000"/>
      <w:sz w:val="24"/>
      <w:szCs w:val="28"/>
    </w:rPr>
  </w:style>
  <w:style w:styleId="Heading3" w:type="paragraph">
    <w:name w:val="Heading 3"/>
    <w:basedOn w:val="Normal"/>
    <w:next w:val="BodyText"/>
    <w:uiPriority w:val="9"/>
    <w:unhideWhenUsed/>
    <w:qFormat/>
    <w:pPr>
      <w:keepNext/>
      <w:keepLines/>
      <w:spacing w:after="0" w:before="200" w:line="480" w:lineRule="auto"/>
      <w:outlineLvl w:val="2"/>
    </w:pPr>
    <w:rPr>
      <w:rFonts w:ascii="Times New Roman" w:hAnsi="Times New Roman" w:eastAsia="Times New Roman" w:cs="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Pays for Cardiovascular Pharmacotherapy in Bulgaria? Payer and Patient Costs and Treated Prevalence From National Claims Data, 2021–2025</dc:title>
  <dc:creator/>
  <cp:keywords/>
  <dcterms:created xsi:type="dcterms:W3CDTF">2026-10-28T09:13:35Z</dcterms:created>
  <dcterms:modified xsi:type="dcterms:W3CDTF">2026-10-28T09:13:35Z</dcterms:modified>
</cp:coreProperties>
</file>

<file path=docProps/custom.xml><?xml version="1.0" encoding="utf-8"?>
<Properties xmlns="http://schemas.openxmlformats.org/officeDocument/2006/custom-properties" xmlns:vt="http://schemas.openxmlformats.org/officeDocument/2006/docPropsVTypes"/>
</file>