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Appendix</w:t>
      </w:r>
      <w:r>
        <w:t xml:space="preserve"> </w:t>
      </w:r>
      <w:r>
        <w:t xml:space="preserve">(for</w:t>
      </w:r>
      <w:r>
        <w:t xml:space="preserve"> </w:t>
      </w:r>
      <w:r>
        <w:t xml:space="preserve">web</w:t>
      </w:r>
      <w:r>
        <w:t xml:space="preserve"> </w:t>
      </w:r>
      <w:r>
        <w:t xml:space="preserve">publication)</w:t>
      </w:r>
    </w:p>
    <w:p>
      <w:pPr>
        <w:pStyle w:val="FirstParagraph"/>
      </w:pPr>
      <w:r>
        <w:rPr>
          <w:bCs/>
          <w:b/>
        </w:rPr>
        <w:t xml:space="preserve">Who Pays for Cardiovascular Pharmacotherapy in Bulgaria? Payer and Patient Costs and Treated Prevalence From National Claims Data, 2021–2025</w:t>
      </w:r>
    </w:p>
    <w:bookmarkStart w:id="20" w:name="Xc7b991848a9c603afbe701274d4cc93be5a9efd"/>
    <w:p>
      <w:pPr>
        <w:pStyle w:val="Heading2"/>
      </w:pPr>
      <w:r>
        <w:t xml:space="preserve">Supplementary Table S1. NHIF reimbursement in Report 1 (product level) and Report 3 (diagnosis level), EUR million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352"/>
        <w:gridCol w:w="2352"/>
        <w:gridCol w:w="2352"/>
        <w:gridCol w:w="2352"/>
      </w:tblGrid>
      <w:tr>
        <w:trPr>
          <w:tblHeader w:val="true"/>
        </w:trPr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Year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Report 1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Report 3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Ratio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2021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84.34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84.34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1.0000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2022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92.19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92.19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1.0000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2023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106.87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106.87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1.0000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2024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139.63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139.63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1.0000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2025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165.32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165.32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1.0000</w:t>
            </w:r>
          </w:p>
        </w:tc>
      </w:tr>
    </w:tbl>
    <w:bookmarkEnd w:id="20"/>
    <w:bookmarkStart w:id="21" w:name="X2d23f74b9f1dec9959525a0cf9774766982ed18"/>
    <w:p>
      <w:pPr>
        <w:pStyle w:val="Heading2"/>
      </w:pPr>
      <w:r>
        <w:t xml:space="preserve">Supplementary Table S2. ICD-10 codes observed and disease groups, with treated persons per month in 2025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418"/>
        <w:gridCol w:w="2836"/>
        <w:gridCol w:w="2836"/>
        <w:gridCol w:w="2320"/>
      </w:tblGrid>
      <w:tr>
        <w:trPr>
          <w:tblHeader w:val="true"/>
        </w:trP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ICD-10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Disease group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Treated persons per month, 2025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Per 100 population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67 565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1.050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I11.0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120 207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1.867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I11.9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664 550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10.323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I12.0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255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0.004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I12.9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188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0.003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I13.0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2 040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0.032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I13.1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157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0.002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I13.2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157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0.002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I20.0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13 889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0.216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I20.1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4 266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0.066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I20.8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324 478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5.041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I20.9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5 049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0.078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I25.5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17 882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0.278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I26.0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Pulmonary embolism and pulmonary hypertension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4 883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0.076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I26.9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Pulmonary embolism and pulmonary hypertension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0.000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I27.0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Pulmonary embolism and pulmonary hypertension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74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I44.2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0.000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I45.6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733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0.011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I47.1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6 522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0.101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I48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145 181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2.255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I49.5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0.000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I50.0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118 074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1.834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I50.1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24 724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0.384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188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0.003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446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0.007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I69.2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36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I69.3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63 823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0.991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I69.4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2 815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0.044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I69.8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69 325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1.077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I73.1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Arterial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1 972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0.031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I74.3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Arterial disease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96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0.001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I80.0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Venous thromboembolism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166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0.003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I80.1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Venous thromboembolism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1 024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0.016</w:t>
            </w:r>
          </w:p>
        </w:tc>
      </w:tr>
      <w:tr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I80.2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Venous thromboembolism</w:t>
            </w:r>
          </w:p>
        </w:tc>
        <w:tc>
          <w:tcPr>
            <w:tcW w:type="dxa" w:w="28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11 433</w:t>
            </w:r>
          </w:p>
        </w:tc>
        <w:tc>
          <w:tcPr>
            <w:tcW w:type="dxa" w:w="232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0.178</w:t>
            </w:r>
          </w:p>
        </w:tc>
      </w:tr>
    </w:tbl>
    <w:p>
      <w:pPr>
        <w:pStyle w:val="BodyText"/>
      </w:pPr>
      <w:r>
        <w:t xml:space="preserve">ICD-10 code names follow the NHIF reports (Bulgarian). I25.5 is the only I25 code observed in the extract.</w:t>
      </w:r>
    </w:p>
    <w:bookmarkEnd w:id="21"/>
    <w:bookmarkStart w:id="22" w:name="X92b40630b0195c6337bf633831cbebabc959ad0"/>
    <w:p>
      <w:pPr>
        <w:pStyle w:val="Heading2"/>
      </w:pPr>
      <w:r>
        <w:t xml:space="preserve">Supplementary Table S3. Linkage of NHIF product codes to Positive Drug List entries, 2021–2025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815"/>
        <w:gridCol w:w="1653"/>
        <w:gridCol w:w="2289"/>
        <w:gridCol w:w="1653"/>
      </w:tblGrid>
      <w:tr>
        <w:trPr>
          <w:tblHeader w:val="true"/>
        </w:trP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Linkage step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NHIF products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% of reimbursement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% of packages</w:t>
            </w:r>
          </w:p>
        </w:tc>
      </w:tr>
      <w:t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ATC + trade name + strength + pack size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1379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95.6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90.9</w:t>
            </w:r>
          </w:p>
        </w:tc>
      </w:tr>
      <w:t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ATC + trade name without trailing digits + strength + pack size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4.5</w:t>
            </w:r>
          </w:p>
        </w:tc>
      </w:tr>
      <w:t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ATC + first word of trade name + strength + pack size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56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0.6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1.1</w:t>
            </w:r>
          </w:p>
        </w:tc>
      </w:tr>
      <w:t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ATC + first word of trade name + pack size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40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0.9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2.3</w:t>
            </w:r>
          </w:p>
        </w:tc>
      </w:tr>
      <w:t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ATC + strength + pack size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82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0.5</w:t>
            </w:r>
          </w:p>
        </w:tc>
      </w:tr>
      <w:tr>
        <w:tc>
          <w:tcPr>
            <w:tcW w:type="dxa" w:w="381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Not linked (ATC-group ratio applied)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67</w:t>
            </w:r>
          </w:p>
        </w:tc>
        <w:tc>
          <w:tcPr>
            <w:tcW w:type="dxa" w:w="2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0.6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0.8</w:t>
            </w:r>
          </w:p>
        </w:tc>
      </w:tr>
    </w:tbl>
    <w:p>
      <w:pPr>
        <w:pStyle w:val="BodyText"/>
      </w:pPr>
      <w:r>
        <w:t xml:space="preserve">Co-payments were estimated for 2023–2025. Price source by share of 2023–2025 reimbursement: same-month list 99.4 %, nearest available month 0.2 %, ATC-group imputation 0.4 %.</w:t>
      </w:r>
    </w:p>
    <w:bookmarkEnd w:id="22"/>
    <w:bookmarkStart w:id="23" w:name="X70e877eaa85813a5d40984e4c9eaa906c4bc4fc"/>
    <w:p>
      <w:pPr>
        <w:pStyle w:val="Heading2"/>
      </w:pPr>
      <w:r>
        <w:t xml:space="preserve">Supplementary Table S4. The 12 most frequent diagnoses, treated persons per month, 2021 and 2025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882"/>
        <w:gridCol w:w="1882"/>
        <w:gridCol w:w="1882"/>
        <w:gridCol w:w="3764"/>
      </w:tblGrid>
      <w:tr>
        <w:trPr>
          <w:tblHeader w:val="true"/>
        </w:trP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ICD-10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2021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2025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Per 100 population, 2025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I11.9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618 531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664 550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10.32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I20.8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266 012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324 478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5.04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I48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107 168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145 181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2.26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I11.0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107 088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120 207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1.87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I50.0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63 300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118 074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1.83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71 855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69 325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1.08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I10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73 914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67 565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1.05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I69.3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67 415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63 823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0.99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I50.1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12 658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24 724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0.38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I25.5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19 453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17 882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0.28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I20.0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11 267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13 889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0.22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I80.2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6 358</w:t>
            </w:r>
          </w:p>
        </w:tc>
        <w:tc>
          <w:tcPr>
            <w:tcW w:type="dxa" w:w="18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11 433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0.18</w:t>
            </w:r>
          </w:p>
        </w:tc>
      </w:tr>
    </w:tbl>
    <w:bookmarkEnd w:id="23"/>
    <w:bookmarkStart w:id="24" w:name="X23c5b81674e8e5d5fe037f8dfb04e4261c1b486"/>
    <w:p>
      <w:pPr>
        <w:pStyle w:val="Heading2"/>
      </w:pPr>
      <w:r>
        <w:t xml:space="preserve">Supplementary Table S5. NHIF reimbursement by disease group, 2021–2025, EUR million (nominal; 2025 prices in brackets)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035"/>
        <w:gridCol w:w="1214"/>
        <w:gridCol w:w="1214"/>
        <w:gridCol w:w="1315"/>
        <w:gridCol w:w="1315"/>
        <w:gridCol w:w="1315"/>
      </w:tblGrid>
      <w:tr>
        <w:trPr>
          <w:tblHeader w:val="true"/>
        </w:trP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Disease group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2021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2022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2023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2024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2025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 (I44–I50)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37.3 (48.6)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45.2 (52.1)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58.7 (62.3)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74.0 (76.6)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90.6 (90.6)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Arterial disease (I73–I74)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 (0.1)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 (0.1)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 (0.1)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 (0.1)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 (0.2)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 (I10–I13)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25.9 (33.8)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25.2 (29.0)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25.1 (26.7)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38.5 (39.8)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45.2 (45.2)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 (I20, I25)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10.7 (13.9)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11.0 (12.7)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11.4 (12.1)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16.2 (16.7)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18.1 (18.1)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Pulmonary embolism and pulmonary hypertension (I26–I27)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1.9 (2.5)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2.0 (2.3)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2.4 (2.5)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1.9 (2.0)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 (2.1)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 (I69)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5.5 (7.2)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5.3 (6.1)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5.3 (5.6)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5.2 (5.4)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5.5 (5.5)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Venous thromboembolism (I80)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3.0 (3.9)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3.5 (4.0)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3.9 (4.2)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 (3.9)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 (3.8)</w:t>
            </w:r>
          </w:p>
        </w:tc>
      </w:tr>
      <w:tr>
        <w:tc>
          <w:tcPr>
            <w:tcW w:type="dxa" w:w="30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All cardiovascular diagnoses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84.3 (110.0)</w:t>
            </w:r>
          </w:p>
        </w:tc>
        <w:tc>
          <w:tcPr>
            <w:tcW w:type="dxa" w:w="121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92.2 (106.4)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106.9 (113.5)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139.6 (144.6)</w:t>
            </w:r>
          </w:p>
        </w:tc>
        <w:tc>
          <w:tcPr>
            <w:tcW w:type="dxa" w:w="13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165.3 (165.3)</w:t>
            </w:r>
          </w:p>
        </w:tc>
      </w:tr>
    </w:tbl>
    <w:p>
      <w:pPr>
        <w:pStyle w:val="BodyText"/>
      </w:pPr>
      <w:r>
        <w:t xml:space="preserve">Deflated with the Bulgarian all-items HICP (annual average, 2015 = 100: 2021 109.30; 2022 123.52; 2023 134.15; 2024 137.63; 2025 142.50).</w:t>
      </w:r>
    </w:p>
    <w:p>
      <w:pPr>
        <w:pStyle w:val="BodyText"/>
      </w:pPr>
      <w:r>
        <w:t xml:space="preserve">Patient co-payments by disease group, EUR million (nominal):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481"/>
        <w:gridCol w:w="1643"/>
        <w:gridCol w:w="1643"/>
        <w:gridCol w:w="1643"/>
      </w:tblGrid>
      <w:tr>
        <w:trPr>
          <w:tblHeader w:val="true"/>
        </w:trPr>
        <w:tc>
          <w:tcPr>
            <w:tcW w:type="dxa" w:w="44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Disease group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2023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2024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2025</w:t>
            </w:r>
          </w:p>
        </w:tc>
      </w:tr>
      <w:tr>
        <w:tc>
          <w:tcPr>
            <w:tcW w:type="dxa" w:w="44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 (I44–I50)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52.7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64.4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73.2</w:t>
            </w:r>
          </w:p>
        </w:tc>
      </w:tr>
      <w:tr>
        <w:tc>
          <w:tcPr>
            <w:tcW w:type="dxa" w:w="44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Arterial disease (I73–I74)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</w:t>
            </w:r>
          </w:p>
        </w:tc>
      </w:tr>
      <w:tr>
        <w:tc>
          <w:tcPr>
            <w:tcW w:type="dxa" w:w="44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 (I10–I13)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93.4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80.1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80.1</w:t>
            </w:r>
          </w:p>
        </w:tc>
      </w:tr>
      <w:tr>
        <w:tc>
          <w:tcPr>
            <w:tcW w:type="dxa" w:w="44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 (I20, I25)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28.5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26.3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27.9</w:t>
            </w:r>
          </w:p>
        </w:tc>
      </w:tr>
      <w:tr>
        <w:tc>
          <w:tcPr>
            <w:tcW w:type="dxa" w:w="44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Pulmonary embolism and pulmonary hypertension (I26–I27)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2.0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2.7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2.9</w:t>
            </w:r>
          </w:p>
        </w:tc>
      </w:tr>
      <w:tr>
        <w:tc>
          <w:tcPr>
            <w:tcW w:type="dxa" w:w="44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 (I69)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17.6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19.1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19.5</w:t>
            </w:r>
          </w:p>
        </w:tc>
      </w:tr>
      <w:tr>
        <w:tc>
          <w:tcPr>
            <w:tcW w:type="dxa" w:w="44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Venous thromboembolism (I80)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4.1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5.5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6.2</w:t>
            </w:r>
          </w:p>
        </w:tc>
      </w:tr>
      <w:tr>
        <w:tc>
          <w:tcPr>
            <w:tcW w:type="dxa" w:w="44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All cardiovascular diagnoses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198.5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198.1</w:t>
            </w:r>
          </w:p>
        </w:tc>
        <w:tc>
          <w:tcPr>
            <w:tcW w:type="dxa" w:w="16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210.0</w:t>
            </w:r>
          </w:p>
        </w:tc>
      </w:tr>
    </w:tbl>
    <w:bookmarkEnd w:id="24"/>
    <w:bookmarkStart w:id="25" w:name="X0268fe72d92383055312f8858b6d14754be8f8b"/>
    <w:p>
      <w:pPr>
        <w:pStyle w:val="Heading2"/>
      </w:pPr>
      <w:r>
        <w:t xml:space="preserve">Supplementary Table S6. Treated prevalence and NHIF cost per capita by region (NUTS-3), 2024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031"/>
        <w:gridCol w:w="709"/>
        <w:gridCol w:w="709"/>
        <w:gridCol w:w="1418"/>
        <w:gridCol w:w="1418"/>
        <w:gridCol w:w="1418"/>
        <w:gridCol w:w="1418"/>
        <w:gridCol w:w="1289"/>
      </w:tblGrid>
      <w:tr>
        <w:trPr>
          <w:tblHeader w:val="true"/>
        </w:trP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Region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Population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Aged 65+, %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All diagnoses, diagnosis-level per 100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 per 100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Age-adjusted hypertensive per 100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 per 100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NHIF, EUR per capita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Sofia (capital)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1 286 965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19.2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16.6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11.5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3.0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16.6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Kardzhali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146 562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10.7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1.9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11.9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Sofia (province)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226 420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24.0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20.8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11.3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20.4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Sliven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170 051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11.3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12.2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4.2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22.2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Blagoevgrad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287 077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22.2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21.7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13.0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3.6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20.7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Burgas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384 446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22.5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13.0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3.6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21.6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Pernik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111 032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24.6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10.8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4.3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23.4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Pazardzhik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225 261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24.3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12.7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21.3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Haskovo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207 114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25.8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22.7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11.8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3.3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20.1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Yambol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106 320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26.8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11.3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4.2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25.2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Silistra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94 739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27.7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13.8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4.2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25.0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Varna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434 191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21.5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3.7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23.1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Ruse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187 830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11.8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4.6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22.7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Stara Zagora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290 350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24.6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4.7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24.2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Razgrad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100 696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25.0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26.0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24.5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Plovdiv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633 586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22.5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4.8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22.9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Dobrich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146 635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26.8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23.8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Montana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114 526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28.2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29.9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11.2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4.9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23.8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Lovech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112 225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28.0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14.3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5.7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24.8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Targovishte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95 609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13.3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3.8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23.7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Kyustendil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107 673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28.5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11.2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5.0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24.9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Shumen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149 699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25.2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27.0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14.7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13.7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3.6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24.5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Vratsa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147 619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25.0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29.6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4.4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24.1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Veliko Tarnovo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202 232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16.1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13.6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4.8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26.9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Pleven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217 881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28.2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31.7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4.9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24.7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Smolyan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92 107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28.9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31.8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6.0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26.5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Vidin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71 773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31.3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33.0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12.9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4.9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27.1</w:t>
            </w:r>
          </w:p>
        </w:tc>
      </w:tr>
      <w:tr>
        <w:tc>
          <w:tcPr>
            <w:tcW w:type="dxa" w:w="10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Gabrovo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94 862</w:t>
            </w:r>
          </w:p>
        </w:tc>
        <w:tc>
          <w:tcPr>
            <w:tcW w:type="dxa" w:w="7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30.3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32.4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18.2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13.8</w:t>
            </w:r>
          </w:p>
        </w:tc>
        <w:tc>
          <w:tcPr>
            <w:tcW w:type="dxa" w:w="14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5.6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27.5</w:t>
            </w:r>
          </w:p>
        </w:tc>
      </w:tr>
    </w:tbl>
    <w:p>
      <w:pPr>
        <w:pStyle w:val="BodyText"/>
      </w:pPr>
      <w:r>
        <w:t xml:space="preserve">Population-weighted least squares on the percentage of population aged 65 or over (28 regions):</w:t>
      </w:r>
    </w:p>
    <w:p>
      <w:pPr>
        <w:numPr>
          <w:ilvl w:val="0"/>
          <w:numId w:val="1001"/>
        </w:numPr>
        <w:pStyle w:val="Compact"/>
      </w:pPr>
      <w:r>
        <w:t xml:space="preserve">Hypertensive diseases per 100: slope 0.67 per percentage point (95 % CI 0.48 to 0.87);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0.67</w:t>
      </w:r>
    </w:p>
    <w:p>
      <w:pPr>
        <w:numPr>
          <w:ilvl w:val="0"/>
          <w:numId w:val="1001"/>
        </w:numPr>
        <w:pStyle w:val="Compact"/>
      </w:pPr>
      <w:r>
        <w:t xml:space="preserve">All diagnoses (diagnosis-level) per 100: slope 1.15 per percentage point (95 % CI 0.71 to 1.58);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0.53</w:t>
      </w:r>
    </w:p>
    <w:p>
      <w:pPr>
        <w:numPr>
          <w:ilvl w:val="0"/>
          <w:numId w:val="1001"/>
        </w:numPr>
        <w:pStyle w:val="Compact"/>
      </w:pPr>
      <w:r>
        <w:t xml:space="preserve">NHIF EUR per capita: slope 0.77 per percentage point (95 % CI 0.45 to 1.08); 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0.49</w:t>
      </w:r>
    </w:p>
    <w:p>
      <w:pPr>
        <w:pStyle w:val="FirstParagraph"/>
      </w:pPr>
      <w:r>
        <w:t xml:space="preserve">Age-adjusted value: observed value minus slope × (regional − national percentage aged 65 or over).</w:t>
      </w:r>
    </w:p>
    <w:bookmarkEnd w:id="25"/>
    <w:bookmarkStart w:id="26" w:name="Xad6316398786dfaacfae6e19ac4870f1761667f"/>
    <w:p>
      <w:pPr>
        <w:pStyle w:val="Heading2"/>
      </w:pPr>
      <w:r>
        <w:t xml:space="preserve">Supplementary Table S7. Sensitivity analyses: patient co-payments, EUR million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8"/>
        <w:gridCol w:w="1176"/>
        <w:gridCol w:w="1497"/>
        <w:gridCol w:w="1176"/>
        <w:gridCol w:w="2352"/>
      </w:tblGrid>
      <w:tr>
        <w:trPr>
          <w:tblHeader w:val="true"/>
        </w:trPr>
        <w:tc>
          <w:tcPr>
            <w:tcW w:type="dxa" w:w="32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Scenario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2023</w:t>
            </w:r>
          </w:p>
        </w:tc>
        <w:tc>
          <w:tcPr>
            <w:tcW w:type="dxa" w:w="149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2024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2025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2025 change vs base, %</w:t>
            </w:r>
          </w:p>
        </w:tc>
      </w:tr>
      <w:tr>
        <w:tc>
          <w:tcPr>
            <w:tcW w:type="dxa" w:w="32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Base case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198.5</w:t>
            </w:r>
          </w:p>
        </w:tc>
        <w:tc>
          <w:tcPr>
            <w:tcW w:type="dxa" w:w="149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198.1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210.0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+0.0</w:t>
            </w:r>
          </w:p>
        </w:tc>
      </w:tr>
      <w:tr>
        <w:tc>
          <w:tcPr>
            <w:tcW w:type="dxa" w:w="32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(a) PDL NHIF amount instead of observed amount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194.2</w:t>
            </w:r>
          </w:p>
        </w:tc>
        <w:tc>
          <w:tcPr>
            <w:tcW w:type="dxa" w:w="149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193.3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205.3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-2.2</w:t>
            </w:r>
          </w:p>
        </w:tc>
      </w:tr>
      <w:tr>
        <w:tc>
          <w:tcPr>
            <w:tcW w:type="dxa" w:w="32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(b) Poorly matched rows replaced by ATC-group ratio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198.7</w:t>
            </w:r>
          </w:p>
        </w:tc>
        <w:tc>
          <w:tcPr>
            <w:tcW w:type="dxa" w:w="149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194.9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209.9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-0.1</w:t>
            </w:r>
          </w:p>
        </w:tc>
      </w:tr>
      <w:tr>
        <w:tc>
          <w:tcPr>
            <w:tcW w:type="dxa" w:w="32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(c) 2025 priced at the December 2024 list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198.5</w:t>
            </w:r>
          </w:p>
        </w:tc>
        <w:tc>
          <w:tcPr>
            <w:tcW w:type="dxa" w:w="149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198.1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210.8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+0.4</w:t>
            </w:r>
          </w:p>
        </w:tc>
      </w:tr>
      <w:tr>
        <w:tc>
          <w:tcPr>
            <w:tcW w:type="dxa" w:w="32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(d) 2025 priced at the January 2026 list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198.5</w:t>
            </w:r>
          </w:p>
        </w:tc>
        <w:tc>
          <w:tcPr>
            <w:tcW w:type="dxa" w:w="149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198.1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193.9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-7.7</w:t>
            </w:r>
          </w:p>
        </w:tc>
      </w:tr>
      <w:tr>
        <w:tc>
          <w:tcPr>
            <w:tcW w:type="dxa" w:w="32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(e) 2024 priced at the Annex 4 maximum retail price (99.4 % of 2024 reimbursement covered)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–</w:t>
            </w:r>
          </w:p>
        </w:tc>
        <w:tc>
          <w:tcPr>
            <w:tcW w:type="dxa" w:w="149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204.5 vs 193.4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–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+5.8 (2024)</w:t>
            </w:r>
          </w:p>
        </w:tc>
      </w:tr>
    </w:tbl>
    <w:p>
      <w:pPr>
        <w:pStyle w:val="BodyText"/>
      </w:pPr>
      <w:r>
        <w:t xml:space="preserve">Treated prevalence scenarios, 2025, per 100 population (mean monthly; annual if 10 treated months per person; annual if 8):</w:t>
      </w:r>
    </w:p>
    <w:tbl>
      <w:tblPr>
        <w:tblStyle w:val="Table"/>
        <w:tblW w:type="dxa" w:w="9411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411"/>
        <w:gridCol w:w="1764"/>
        <w:gridCol w:w="1617"/>
        <w:gridCol w:w="1617"/>
      </w:tblGrid>
      <w:tr>
        <w:trPr>
          <w:tblHeader w:val="true"/>
        </w:trP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Disease group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Mean monthly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 months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 months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Arrhythmias and heart failure (I44–I50)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4.59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5.50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6.88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Arterial disease (I73–I74)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0.03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0.04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0.05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Hypertensive diseases (I10–I13)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13.28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15.94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19.93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Ischaemic heart disease (I20, I25)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5.68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6.81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8.52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Pulmonary embolism and pulmonary hypertension (I26–I27)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0.08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0.09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0.12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Sequelae of cerebrovascular disease (I69)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2.12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2.55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3.18</w:t>
            </w:r>
          </w:p>
        </w:tc>
      </w:tr>
      <w:tr>
        <w:tc>
          <w:tcPr>
            <w:tcW w:type="dxa" w:w="441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Venous thromboembolism (I80)</w:t>
            </w:r>
          </w:p>
        </w:tc>
        <w:tc>
          <w:tcPr>
            <w:tcW w:type="dxa" w:w="176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0.20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0.24</w:t>
            </w:r>
          </w:p>
        </w:tc>
        <w:tc>
          <w:tcPr>
            <w:tcW w:type="dxa" w:w="16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0.29</w:t>
            </w:r>
          </w:p>
        </w:tc>
      </w:tr>
    </w:tbl>
    <w:bookmarkEnd w:id="26"/>
    <w:sectPr>
      <w:footerReference w:type="default" r:id="rId9"/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hAnsi="Times New Roman" w:eastAsia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 w:line="480" w:lineRule="auto"/>
    </w:pPr>
    <w:qFormat/>
    <w:rPr>
      <w:rFonts w:ascii="Times New Roman" w:hAnsi="Times New Roman" w:eastAsia="Times New Roman" w:cs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hAnsi="Times New Roman" w:eastAsia="Times New Roman" w:cs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480" w:lineRule="auto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 w:line="480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 w:line="480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480" w:lineRule="auto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Appendix (for web publication)</dc:title>
  <dc:creator/>
  <cp:keywords/>
  <dcterms:created xsi:type="dcterms:W3CDTF">2026-10-28T07:05:57Z</dcterms:created>
  <dcterms:modified xsi:type="dcterms:W3CDTF">2026-10-28T07:05:57Z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