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KTB ERP × Canias ERP — Araştırma, Gap ve Öncelik Raporu</w:t>
      </w:r>
    </w:p>
    <w:p>
      <w:r>
        <w:rPr>
          <w:rFonts w:ascii="Calibri" w:hAnsi="Calibri"/>
          <w:b w:val="0"/>
        </w:rPr>
        <w:t>Tarih: 2026-10-15 · Kodlama: UTF-8</w:t>
      </w:r>
    </w:p>
    <w:p>
      <w:r>
        <w:rPr>
          <w:rFonts w:ascii="Calibri" w:hAnsi="Calibri"/>
          <w:b w:val="0"/>
        </w:rPr>
        <w:t>Kaynaklar: Canias resmi modül kitapları (TR/EN), canias.com modül sayfaları (BAS/INV/WMS/TRO/VER/MRP/SAL), FAB Teknoloji süreç haritası, FromDual IASSALITEM şema notları, CaniasForum (IASVERHEAD/ITEM), YouTube kullanıcı seviyesi envanteri (önceki çalışma).</w:t>
      </w:r>
    </w:p>
    <w:p>
      <w:r>
        <w:rPr>
          <w:rFonts w:ascii="Calibri" w:hAnsi="Calibri"/>
          <w:b/>
        </w:rPr>
        <w:t>Amaç: Sizin bilmediğiniz / atladığımız Canias mantığını ortaya koymak; KTB’deki eksik, unutulan ve düzeltilecek noktaları yapılabilirlik + öncelik (1–5) ile sıralamak.</w:t>
      </w:r>
    </w:p>
    <w:p>
      <w:pPr>
        <w:pStyle w:val="Heading1"/>
      </w:pPr>
      <w:r>
        <w:t>1. Canias’ın tablo ve belge mantığı (özet)</w:t>
      </w:r>
    </w:p>
    <w:p>
      <w:r>
        <w:rPr>
          <w:rFonts w:ascii="Calibri" w:hAnsi="Calibri"/>
          <w:b w:val="0"/>
        </w:rPr>
        <w:t>Canias’ta her işlem belgesi tipik olarak şu anahtarlarla yaşar:</w:t>
      </w:r>
    </w:p>
    <w:p>
      <w:pPr>
        <w:pStyle w:val="ListBullet"/>
      </w:pPr>
      <w:r>
        <w:t>CLIENT + COMPANY + DOCTYPE + DOCNUM (başlık) → ITEMNUM (kalem). Örnek: IASSALHEAD / IASSALITEM (satış), IASVERHEAD / IASVERITEM (alış fatura kontrol).</w:t>
      </w:r>
    </w:p>
    <w:p>
      <w:pPr>
        <w:pStyle w:val="ListBullet"/>
      </w:pPr>
      <w:r>
        <w:t>Belge tipi (DOCTYPE) süreci ayırır: teklif, sipariş, irsaliye, fatura aynı “satış kalemi” ailesinde farklı DOCTYPE ile tutulabilir; REFDOCTYPE/REFDOCNUM ile zincir kurulur.</w:t>
      </w:r>
    </w:p>
    <w:p>
      <w:pPr>
        <w:pStyle w:val="ListBullet"/>
      </w:pPr>
      <w:r>
        <w:t>Destek tabloları (check tables) yüzlercedir: malzeme tipi, belge tipi, tedarik tipi, depo yeri, durum kodları… Parametre değişince sistem genelinde anında etkili olur.</w:t>
      </w:r>
    </w:p>
    <w:p>
      <w:pPr>
        <w:pStyle w:val="ListBullet"/>
      </w:pPr>
      <w:r>
        <w:t>Malzeme kartı (BAS) tek merkez: depo izinleri, MRP parametreleri, satış/satınalma varsayılanları, dil metinleri, barkod, birim çevrimi, kalite bayrakları.</w:t>
      </w:r>
    </w:p>
    <w:p>
      <w:pPr>
        <w:pStyle w:val="ListBullet"/>
      </w:pPr>
      <w:r>
        <w:t>Stok (INV) tek bakiyeden ibaret değil: kullanılabilir, rezerve, bloke, kalite, konsinye, fason, müşteri siparişi stoğu gibi stok türleri.</w:t>
      </w:r>
    </w:p>
    <w:p>
      <w:r>
        <w:rPr>
          <w:rFonts w:ascii="Calibri" w:hAnsi="Calibri"/>
          <w:b w:val="0"/>
        </w:rPr>
        <w:t>KTB bugün: her belge için ayrı tablo (satis_teklifleri, siparisler, sevk_emirleri, irsaliyeler, faturalar…). Bu daha okunaklıdır ama Canias’taki “tek belge motoru + DOCTYPE + referans zinciri” henüz yok. Hareket kodları yeni eklendi; DOCTYPE/numaratör/hareket kodu üçlüsü henüz zorunlu bağlanmadı.</w:t>
      </w:r>
    </w:p>
    <w:p>
      <w:pPr>
        <w:pStyle w:val="Heading1"/>
      </w:pPr>
      <w:r>
        <w:t>2. Canias uçtan uca süreç (sizin bilmeniz gereken akış)</w:t>
      </w:r>
    </w:p>
    <w:p>
      <w:r>
        <w:rPr>
          <w:rFonts w:ascii="Calibri" w:hAnsi="Calibri"/>
          <w:b w:val="0"/>
        </w:rPr>
        <w:t>Resmi / partner kaynaklarda tekrarlanan ana zincir:</w:t>
      </w:r>
    </w:p>
    <w:p>
      <w:pPr>
        <w:pStyle w:val="ListBullet"/>
      </w:pPr>
      <w:r>
        <w:t>SAL sipariş → MRP (BOM+stok+açık sipariş) → PUR talep/sipariş → INV/WMS mal kabul (+ parti/raf) → VER fatura kontrol → FIN muhasebe</w:t>
      </w:r>
    </w:p>
    <w:p>
      <w:pPr>
        <w:pStyle w:val="ListBullet"/>
      </w:pPr>
      <w:r>
        <w:t>Paralel: PRD iş emri (ROU+CAP) → tüketim/giriş → QLT → mamul stok → PRC fiili maliyet</w:t>
      </w:r>
    </w:p>
    <w:p>
      <w:pPr>
        <w:pStyle w:val="ListBullet"/>
      </w:pPr>
      <w:r>
        <w:t>Satış çıkış: sevk/toplama (SHM/PAC/WMS) → irsaliye (EDN) → fatura (EIN) → FIN tahsilat</w:t>
      </w:r>
    </w:p>
    <w:p>
      <w:pPr>
        <w:pStyle w:val="ListBullet"/>
      </w:pPr>
      <w:r>
        <w:t>ATP/CTP: teklif/siparişte teslim tarihi stok+kapasite ile doğrulanır</w:t>
      </w:r>
    </w:p>
    <w:p>
      <w:pPr>
        <w:pStyle w:val="ListBullet"/>
      </w:pPr>
      <w:r>
        <w:t>Her stok hareketi bir belgeye bağlıdır; aynı belgeye eşzamanlı çakışan hareket engellenir; rezervasyon kullanılabilir stoğu düşer</w:t>
      </w:r>
    </w:p>
    <w:p>
      <w:pPr>
        <w:pStyle w:val="Heading1"/>
      </w:pPr>
      <w:r>
        <w:t>3. KTB mevcut durum (kısa envanter)</w:t>
      </w:r>
    </w:p>
    <w:p>
      <w:pPr>
        <w:pStyle w:val="ListBullet"/>
      </w:pPr>
      <w:r>
        <w:t>~60 tablo; menüler: Sabit Tanımlar, Sistem, Ana Veri, Stok, Cari, Üretim, Satınalma, Satış, Finans</w:t>
      </w:r>
    </w:p>
    <w:p>
      <w:pPr>
        <w:pStyle w:val="ListBullet"/>
      </w:pPr>
      <w:r>
        <w:t>Satış zinciri yeni: Teklif→Sipariş→Sevk→İrsaliye→Fatura (e-belge alan iskeleti var)</w:t>
      </w:r>
    </w:p>
    <w:p>
      <w:pPr>
        <w:pStyle w:val="ListBullet"/>
      </w:pPr>
      <w:r>
        <w:t>Satınalma: talep/teklif/anlaşma/sipariş/mal kabul/alış fatura (VER 3-yönlü eşleşme yok)</w:t>
      </w:r>
    </w:p>
    <w:p>
      <w:pPr>
        <w:pStyle w:val="ListBullet"/>
      </w:pPr>
      <w:r>
        <w:t>Üretim: BOM ağaç UI, rota akış, emir, giriş; MRP/kapasite/fiili maliyet yok</w:t>
      </w:r>
    </w:p>
    <w:p>
      <w:pPr>
        <w:pStyle w:val="ListBullet"/>
      </w:pPr>
      <w:r>
        <w:t>Finans: hesap planı, muhasebe belgesi, mizan (portföy/kredi/DBS/dönem kapama yok)</w:t>
      </w:r>
    </w:p>
    <w:p>
      <w:pPr>
        <w:pStyle w:val="ListBullet"/>
      </w:pPr>
      <w:r>
        <w:t>SYS: kullanıcı/grup/parametre (JWT yetki, menü hak, audit log yok)</w:t>
      </w:r>
    </w:p>
    <w:p>
      <w:pPr>
        <w:pStyle w:val="Heading1"/>
      </w:pPr>
      <w:r>
        <w:t>4. Öncelikli liste — Yapılabilirlik × Öncelik (1–5)</w:t>
      </w:r>
    </w:p>
    <w:p>
      <w:r>
        <w:rPr>
          <w:rFonts w:ascii="Calibri" w:hAnsi="Calibri"/>
          <w:b w:val="0"/>
        </w:rPr>
        <w:t>Skala: Öncelik 5 = iş değeri/acil; Yapılabilirlik 5 = mevcut stack ile hızlı yapılabilir. Skor = Öncelik×Yapılabilirlik (yüksek = önce yap).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Kod</w:t>
            </w:r>
          </w:p>
        </w:tc>
        <w:tc>
          <w:tcPr>
            <w:tcW w:type="dxa" w:w="1662"/>
          </w:tcPr>
          <w:p>
            <w:r>
              <w:t>Kategori</w:t>
            </w:r>
          </w:p>
        </w:tc>
        <w:tc>
          <w:tcPr>
            <w:tcW w:type="dxa" w:w="1662"/>
          </w:tcPr>
          <w:p>
            <w:r>
              <w:t>Madde</w:t>
            </w:r>
          </w:p>
        </w:tc>
        <w:tc>
          <w:tcPr>
            <w:tcW w:type="dxa" w:w="1662"/>
          </w:tcPr>
          <w:p>
            <w:r>
              <w:t>Öncelik</w:t>
            </w:r>
          </w:p>
        </w:tc>
        <w:tc>
          <w:tcPr>
            <w:tcW w:type="dxa" w:w="1662"/>
          </w:tcPr>
          <w:p>
            <w:r>
              <w:t>Yapılabilirlik</w:t>
            </w:r>
          </w:p>
        </w:tc>
        <w:tc>
          <w:tcPr>
            <w:tcW w:type="dxa" w:w="1662"/>
          </w:tcPr>
          <w:p>
            <w:r>
              <w:t>Skor</w:t>
            </w:r>
          </w:p>
        </w:tc>
      </w:tr>
      <w:tr>
        <w:tc>
          <w:tcPr>
            <w:tcW w:type="dxa" w:w="1662"/>
          </w:tcPr>
          <w:p>
            <w:r>
              <w:t>P01</w:t>
            </w:r>
          </w:p>
        </w:tc>
        <w:tc>
          <w:tcPr>
            <w:tcW w:type="dxa" w:w="1662"/>
          </w:tcPr>
          <w:p>
            <w:r>
              <w:t>Tablo mantığı</w:t>
            </w:r>
          </w:p>
        </w:tc>
        <w:tc>
          <w:tcPr>
            <w:tcW w:type="dxa" w:w="1662"/>
          </w:tcPr>
          <w:p>
            <w:r>
              <w:t>Belge referans omurgası (DOCTYPE + REFDOC)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25</w:t>
            </w:r>
          </w:p>
        </w:tc>
      </w:tr>
      <w:tr>
        <w:tc>
          <w:tcPr>
            <w:tcW w:type="dxa" w:w="1662"/>
          </w:tcPr>
          <w:p>
            <w:r>
              <w:t>P02</w:t>
            </w:r>
          </w:p>
        </w:tc>
        <w:tc>
          <w:tcPr>
            <w:tcW w:type="dxa" w:w="1662"/>
          </w:tcPr>
          <w:p>
            <w:r>
              <w:t>Tablo mantığı</w:t>
            </w:r>
          </w:p>
        </w:tc>
        <w:tc>
          <w:tcPr>
            <w:tcW w:type="dxa" w:w="1662"/>
          </w:tcPr>
          <w:p>
            <w:r>
              <w:t>Hareket kodu zorunlu bağ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25</w:t>
            </w:r>
          </w:p>
        </w:tc>
      </w:tr>
      <w:tr>
        <w:tc>
          <w:tcPr>
            <w:tcW w:type="dxa" w:w="1662"/>
          </w:tcPr>
          <w:p>
            <w:r>
              <w:t>P04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İrsaliye onayı depo doğrulama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25</w:t>
            </w:r>
          </w:p>
        </w:tc>
      </w:tr>
      <w:tr>
        <w:tc>
          <w:tcPr>
            <w:tcW w:type="dxa" w:w="1662"/>
          </w:tcPr>
          <w:p>
            <w:r>
              <w:t>P39</w:t>
            </w:r>
          </w:p>
        </w:tc>
        <w:tc>
          <w:tcPr>
            <w:tcW w:type="dxa" w:w="1662"/>
          </w:tcPr>
          <w:p>
            <w:r>
              <w:t>Düzeltme</w:t>
            </w:r>
          </w:p>
        </w:tc>
        <w:tc>
          <w:tcPr>
            <w:tcW w:type="dxa" w:w="1662"/>
          </w:tcPr>
          <w:p>
            <w:r>
              <w:t>İrsaliye→fatura durum kilidi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25</w:t>
            </w:r>
          </w:p>
        </w:tc>
      </w:tr>
      <w:tr>
        <w:tc>
          <w:tcPr>
            <w:tcW w:type="dxa" w:w="1662"/>
          </w:tcPr>
          <w:p>
            <w:r>
              <w:t>P03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Satış rezervasyonu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P32</w:t>
            </w:r>
          </w:p>
        </w:tc>
        <w:tc>
          <w:tcPr>
            <w:tcW w:type="dxa" w:w="1662"/>
          </w:tcPr>
          <w:p>
            <w:r>
              <w:t>Geliştirme</w:t>
            </w:r>
          </w:p>
        </w:tc>
        <w:tc>
          <w:tcPr>
            <w:tcW w:type="dxa" w:w="1662"/>
          </w:tcPr>
          <w:p>
            <w:r>
              <w:t>Açık miktar takibi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P09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Sayım / stok düzeltme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P12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Üretim: satış siparişinden emir UI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P31</w:t>
            </w:r>
          </w:p>
        </w:tc>
        <w:tc>
          <w:tcPr>
            <w:tcW w:type="dxa" w:w="1662"/>
          </w:tcPr>
          <w:p>
            <w:r>
              <w:t>Geliştirme</w:t>
            </w:r>
          </w:p>
        </w:tc>
        <w:tc>
          <w:tcPr>
            <w:tcW w:type="dxa" w:w="1662"/>
          </w:tcPr>
          <w:p>
            <w:r>
              <w:t>Dönüştür UX iyileştirme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P37</w:t>
            </w:r>
          </w:p>
        </w:tc>
        <w:tc>
          <w:tcPr>
            <w:tcW w:type="dxa" w:w="1662"/>
          </w:tcPr>
          <w:p>
            <w:r>
              <w:t>Düzeltme</w:t>
            </w:r>
          </w:p>
        </w:tc>
        <w:tc>
          <w:tcPr>
            <w:tcW w:type="dxa" w:w="1662"/>
          </w:tcPr>
          <w:p>
            <w:r>
              <w:t>Fatura liste filtresi tutarlılığı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P38</w:t>
            </w:r>
          </w:p>
        </w:tc>
        <w:tc>
          <w:tcPr>
            <w:tcW w:type="dxa" w:w="1662"/>
          </w:tcPr>
          <w:p>
            <w:r>
              <w:t>Düzeltme</w:t>
            </w:r>
          </w:p>
        </w:tc>
        <w:tc>
          <w:tcPr>
            <w:tcW w:type="dxa" w:w="1662"/>
          </w:tcPr>
          <w:p>
            <w:r>
              <w:t>Negatif stok parametresi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P40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Satınalma: teklif→sipariş dönüşüm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P08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Depolar arası transfer (TRO)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16</w:t>
            </w:r>
          </w:p>
        </w:tc>
      </w:tr>
      <w:tr>
        <w:tc>
          <w:tcPr>
            <w:tcW w:type="dxa" w:w="1662"/>
          </w:tcPr>
          <w:p>
            <w:r>
              <w:t>P11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ATP basit kontrol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16</w:t>
            </w:r>
          </w:p>
        </w:tc>
      </w:tr>
      <w:tr>
        <w:tc>
          <w:tcPr>
            <w:tcW w:type="dxa" w:w="1662"/>
          </w:tcPr>
          <w:p>
            <w:r>
              <w:t>P13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Mal kabul → alış fatura bağ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16</w:t>
            </w:r>
          </w:p>
        </w:tc>
      </w:tr>
      <w:tr>
        <w:tc>
          <w:tcPr>
            <w:tcW w:type="dxa" w:w="1662"/>
          </w:tcPr>
          <w:p>
            <w:r>
              <w:t>P14</w:t>
            </w:r>
          </w:p>
        </w:tc>
        <w:tc>
          <w:tcPr>
            <w:tcW w:type="dxa" w:w="1662"/>
          </w:tcPr>
          <w:p>
            <w:r>
              <w:t>Tablo mantığı</w:t>
            </w:r>
          </w:p>
        </w:tc>
        <w:tc>
          <w:tcPr>
            <w:tcW w:type="dxa" w:w="1662"/>
          </w:tcPr>
          <w:p>
            <w:r>
              <w:t>Firma/şirket çoklu yapı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16</w:t>
            </w:r>
          </w:p>
        </w:tc>
      </w:tr>
      <w:tr>
        <w:tc>
          <w:tcPr>
            <w:tcW w:type="dxa" w:w="1662"/>
          </w:tcPr>
          <w:p>
            <w:r>
              <w:t>P18</w:t>
            </w:r>
          </w:p>
        </w:tc>
        <w:tc>
          <w:tcPr>
            <w:tcW w:type="dxa" w:w="1662"/>
          </w:tcPr>
          <w:p>
            <w:r>
              <w:t>e-Dönüşüm</w:t>
            </w:r>
          </w:p>
        </w:tc>
        <w:tc>
          <w:tcPr>
            <w:tcW w:type="dxa" w:w="1662"/>
          </w:tcPr>
          <w:p>
            <w:r>
              <w:t>PDF/QR irsaliye-fatura çıktısı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16</w:t>
            </w:r>
          </w:p>
        </w:tc>
      </w:tr>
      <w:tr>
        <w:tc>
          <w:tcPr>
            <w:tcW w:type="dxa" w:w="1662"/>
          </w:tcPr>
          <w:p>
            <w:r>
              <w:t>P27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İade süreçleri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16</w:t>
            </w:r>
          </w:p>
        </w:tc>
      </w:tr>
      <w:tr>
        <w:tc>
          <w:tcPr>
            <w:tcW w:type="dxa" w:w="1662"/>
          </w:tcPr>
          <w:p>
            <w:r>
              <w:t>P05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VER 3-yönlü fatura kontrol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15</w:t>
            </w:r>
          </w:p>
        </w:tc>
      </w:tr>
      <w:tr>
        <w:tc>
          <w:tcPr>
            <w:tcW w:type="dxa" w:w="1662"/>
          </w:tcPr>
          <w:p>
            <w:r>
              <w:t>P06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MRP iskeleti (v1)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15</w:t>
            </w:r>
          </w:p>
        </w:tc>
      </w:tr>
      <w:tr>
        <w:tc>
          <w:tcPr>
            <w:tcW w:type="dxa" w:w="1662"/>
          </w:tcPr>
          <w:p>
            <w:r>
              <w:t>P16</w:t>
            </w:r>
          </w:p>
        </w:tc>
        <w:tc>
          <w:tcPr>
            <w:tcW w:type="dxa" w:w="1662"/>
          </w:tcPr>
          <w:p>
            <w:r>
              <w:t>Finans</w:t>
            </w:r>
          </w:p>
        </w:tc>
        <w:tc>
          <w:tcPr>
            <w:tcW w:type="dxa" w:w="1662"/>
          </w:tcPr>
          <w:p>
            <w:r>
              <w:t>Belge→muhasebe entegrasyonu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15</w:t>
            </w:r>
          </w:p>
        </w:tc>
      </w:tr>
      <w:tr>
        <w:tc>
          <w:tcPr>
            <w:tcW w:type="dxa" w:w="1662"/>
          </w:tcPr>
          <w:p>
            <w:r>
              <w:t>P15</w:t>
            </w:r>
          </w:p>
        </w:tc>
        <w:tc>
          <w:tcPr>
            <w:tcW w:type="dxa" w:w="1662"/>
          </w:tcPr>
          <w:p>
            <w:r>
              <w:t>Tablo mantığı</w:t>
            </w:r>
          </w:p>
        </w:tc>
        <w:tc>
          <w:tcPr>
            <w:tcW w:type="dxa" w:w="1662"/>
          </w:tcPr>
          <w:p>
            <w:r>
              <w:t>Destek tablosu genişletme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15</w:t>
            </w:r>
          </w:p>
        </w:tc>
      </w:tr>
      <w:tr>
        <w:tc>
          <w:tcPr>
            <w:tcW w:type="dxa" w:w="1662"/>
          </w:tcPr>
          <w:p>
            <w:r>
              <w:t>P07</w:t>
            </w:r>
          </w:p>
        </w:tc>
        <w:tc>
          <w:tcPr>
            <w:tcW w:type="dxa" w:w="1662"/>
          </w:tcPr>
          <w:p>
            <w:r>
              <w:t>Tablo mantığı</w:t>
            </w:r>
          </w:p>
        </w:tc>
        <w:tc>
          <w:tcPr>
            <w:tcW w:type="dxa" w:w="1662"/>
          </w:tcPr>
          <w:p>
            <w:r>
              <w:t>Stok türleri / durumlar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P17</w:t>
            </w:r>
          </w:p>
        </w:tc>
        <w:tc>
          <w:tcPr>
            <w:tcW w:type="dxa" w:w="1662"/>
          </w:tcPr>
          <w:p>
            <w:r>
              <w:t>Finans</w:t>
            </w:r>
          </w:p>
        </w:tc>
        <w:tc>
          <w:tcPr>
            <w:tcW w:type="dxa" w:w="1662"/>
          </w:tcPr>
          <w:p>
            <w:r>
              <w:t>Cari borç/alacak ekstre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P20</w:t>
            </w:r>
          </w:p>
        </w:tc>
        <w:tc>
          <w:tcPr>
            <w:tcW w:type="dxa" w:w="1662"/>
          </w:tcPr>
          <w:p>
            <w:r>
              <w:t>SYS</w:t>
            </w:r>
          </w:p>
        </w:tc>
        <w:tc>
          <w:tcPr>
            <w:tcW w:type="dxa" w:w="1662"/>
          </w:tcPr>
          <w:p>
            <w:r>
              <w:t>JWT + menü/depo yetkisi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P28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Fiyat listesi / iskonto koşulu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P21</w:t>
            </w:r>
          </w:p>
        </w:tc>
        <w:tc>
          <w:tcPr>
            <w:tcW w:type="dxa" w:w="1662"/>
          </w:tcPr>
          <w:p>
            <w:r>
              <w:t>SYS</w:t>
            </w:r>
          </w:p>
        </w:tc>
        <w:tc>
          <w:tcPr>
            <w:tcW w:type="dxa" w:w="1662"/>
          </w:tcPr>
          <w:p>
            <w:r>
              <w:t>Audit / alan tarihçesi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P29</w:t>
            </w:r>
          </w:p>
        </w:tc>
        <w:tc>
          <w:tcPr>
            <w:tcW w:type="dxa" w:w="1662"/>
          </w:tcPr>
          <w:p>
            <w:r>
              <w:t>Süreç</w:t>
            </w:r>
          </w:p>
        </w:tc>
        <w:tc>
          <w:tcPr>
            <w:tcW w:type="dxa" w:w="1662"/>
          </w:tcPr>
          <w:p>
            <w:r>
              <w:t>Ödeme koşulları / vade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P33</w:t>
            </w:r>
          </w:p>
        </w:tc>
        <w:tc>
          <w:tcPr>
            <w:tcW w:type="dxa" w:w="1662"/>
          </w:tcPr>
          <w:p>
            <w:r>
              <w:t>Rapor</w:t>
            </w:r>
          </w:p>
        </w:tc>
        <w:tc>
          <w:tcPr>
            <w:tcW w:type="dxa" w:w="1662"/>
          </w:tcPr>
          <w:p>
            <w:r>
              <w:t>Operasyonel kokpit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P25</w:t>
            </w:r>
          </w:p>
        </w:tc>
        <w:tc>
          <w:tcPr>
            <w:tcW w:type="dxa" w:w="1662"/>
          </w:tcPr>
          <w:p>
            <w:r>
              <w:t>Stok</w:t>
            </w:r>
          </w:p>
        </w:tc>
        <w:tc>
          <w:tcPr>
            <w:tcW w:type="dxa" w:w="1662"/>
          </w:tcPr>
          <w:p>
            <w:r>
              <w:t>Parti / seri takibi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9</w:t>
            </w:r>
          </w:p>
        </w:tc>
      </w:tr>
      <w:tr>
        <w:tc>
          <w:tcPr>
            <w:tcW w:type="dxa" w:w="1662"/>
          </w:tcPr>
          <w:p>
            <w:r>
              <w:t>P26</w:t>
            </w:r>
          </w:p>
        </w:tc>
        <w:tc>
          <w:tcPr>
            <w:tcW w:type="dxa" w:w="1662"/>
          </w:tcPr>
          <w:p>
            <w:r>
              <w:t>Stok</w:t>
            </w:r>
          </w:p>
        </w:tc>
        <w:tc>
          <w:tcPr>
            <w:tcW w:type="dxa" w:w="1662"/>
          </w:tcPr>
          <w:p>
            <w:r>
              <w:t>WMS raf/konum hareketi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9</w:t>
            </w:r>
          </w:p>
        </w:tc>
      </w:tr>
      <w:tr>
        <w:tc>
          <w:tcPr>
            <w:tcW w:type="dxa" w:w="1662"/>
          </w:tcPr>
          <w:p>
            <w:r>
              <w:t>P22</w:t>
            </w:r>
          </w:p>
        </w:tc>
        <w:tc>
          <w:tcPr>
            <w:tcW w:type="dxa" w:w="1662"/>
          </w:tcPr>
          <w:p>
            <w:r>
              <w:t>Üretim</w:t>
            </w:r>
          </w:p>
        </w:tc>
        <w:tc>
          <w:tcPr>
            <w:tcW w:type="dxa" w:w="1662"/>
          </w:tcPr>
          <w:p>
            <w:r>
              <w:t>Fiili maliyet (PRC/CAL sade)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8</w:t>
            </w:r>
          </w:p>
        </w:tc>
      </w:tr>
      <w:tr>
        <w:tc>
          <w:tcPr>
            <w:tcW w:type="dxa" w:w="1662"/>
          </w:tcPr>
          <w:p>
            <w:r>
              <w:t>P34</w:t>
            </w:r>
          </w:p>
        </w:tc>
        <w:tc>
          <w:tcPr>
            <w:tcW w:type="dxa" w:w="1662"/>
          </w:tcPr>
          <w:p>
            <w:r>
              <w:t>Unutulan</w:t>
            </w:r>
          </w:p>
        </w:tc>
        <w:tc>
          <w:tcPr>
            <w:tcW w:type="dxa" w:w="1662"/>
          </w:tcPr>
          <w:p>
            <w:r>
              <w:t>E-posta / bildirim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8</w:t>
            </w:r>
          </w:p>
        </w:tc>
      </w:tr>
      <w:tr>
        <w:tc>
          <w:tcPr>
            <w:tcW w:type="dxa" w:w="1662"/>
          </w:tcPr>
          <w:p>
            <w:r>
              <w:t>P23</w:t>
            </w:r>
          </w:p>
        </w:tc>
        <w:tc>
          <w:tcPr>
            <w:tcW w:type="dxa" w:w="1662"/>
          </w:tcPr>
          <w:p>
            <w:r>
              <w:t>Üretim</w:t>
            </w:r>
          </w:p>
        </w:tc>
        <w:tc>
          <w:tcPr>
            <w:tcW w:type="dxa" w:w="1662"/>
          </w:tcPr>
          <w:p>
            <w:r>
              <w:t>Kapasite / çizelgeleme (CAP)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6</w:t>
            </w:r>
          </w:p>
        </w:tc>
      </w:tr>
      <w:tr>
        <w:tc>
          <w:tcPr>
            <w:tcW w:type="dxa" w:w="1662"/>
          </w:tcPr>
          <w:p>
            <w:r>
              <w:t>P24</w:t>
            </w:r>
          </w:p>
        </w:tc>
        <w:tc>
          <w:tcPr>
            <w:tcW w:type="dxa" w:w="1662"/>
          </w:tcPr>
          <w:p>
            <w:r>
              <w:t>BOM</w:t>
            </w:r>
          </w:p>
        </w:tc>
        <w:tc>
          <w:tcPr>
            <w:tcW w:type="dxa" w:w="1662"/>
          </w:tcPr>
          <w:p>
            <w:r>
              <w:t>Varyant / konfigüratör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6</w:t>
            </w:r>
          </w:p>
        </w:tc>
      </w:tr>
      <w:tr>
        <w:tc>
          <w:tcPr>
            <w:tcW w:type="dxa" w:w="1662"/>
          </w:tcPr>
          <w:p>
            <w:r>
              <w:t>P30</w:t>
            </w:r>
          </w:p>
        </w:tc>
        <w:tc>
          <w:tcPr>
            <w:tcW w:type="dxa" w:w="1662"/>
          </w:tcPr>
          <w:p>
            <w:r>
              <w:t>Kalite</w:t>
            </w:r>
          </w:p>
        </w:tc>
        <w:tc>
          <w:tcPr>
            <w:tcW w:type="dxa" w:w="1662"/>
          </w:tcPr>
          <w:p>
            <w:r>
              <w:t>QLT kontrol noktası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6</w:t>
            </w:r>
          </w:p>
        </w:tc>
      </w:tr>
      <w:tr>
        <w:tc>
          <w:tcPr>
            <w:tcW w:type="dxa" w:w="1662"/>
          </w:tcPr>
          <w:p>
            <w:r>
              <w:t>P35</w:t>
            </w:r>
          </w:p>
        </w:tc>
        <w:tc>
          <w:tcPr>
            <w:tcW w:type="dxa" w:w="1662"/>
          </w:tcPr>
          <w:p>
            <w:r>
              <w:t>Unutulan</w:t>
            </w:r>
          </w:p>
        </w:tc>
        <w:tc>
          <w:tcPr>
            <w:tcW w:type="dxa" w:w="1662"/>
          </w:tcPr>
          <w:p>
            <w:r>
              <w:t>Çoklu dil etiketleri UI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6</w:t>
            </w:r>
          </w:p>
        </w:tc>
      </w:tr>
      <w:tr>
        <w:tc>
          <w:tcPr>
            <w:tcW w:type="dxa" w:w="1662"/>
          </w:tcPr>
          <w:p>
            <w:r>
              <w:t>P36</w:t>
            </w:r>
          </w:p>
        </w:tc>
        <w:tc>
          <w:tcPr>
            <w:tcW w:type="dxa" w:w="1662"/>
          </w:tcPr>
          <w:p>
            <w:r>
              <w:t>Unutulan</w:t>
            </w:r>
          </w:p>
        </w:tc>
        <w:tc>
          <w:tcPr>
            <w:tcW w:type="dxa" w:w="1662"/>
          </w:tcPr>
          <w:p>
            <w:r>
              <w:t>Alternatif stok / ikame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6</w:t>
            </w:r>
          </w:p>
        </w:tc>
      </w:tr>
      <w:tr>
        <w:tc>
          <w:tcPr>
            <w:tcW w:type="dxa" w:w="1662"/>
          </w:tcPr>
          <w:p>
            <w:r>
              <w:t>P10</w:t>
            </w:r>
          </w:p>
        </w:tc>
        <w:tc>
          <w:tcPr>
            <w:tcW w:type="dxa" w:w="1662"/>
          </w:tcPr>
          <w:p>
            <w:r>
              <w:t>Geliştirme</w:t>
            </w:r>
          </w:p>
        </w:tc>
        <w:tc>
          <w:tcPr>
            <w:tcW w:type="dxa" w:w="1662"/>
          </w:tcPr>
          <w:p>
            <w:r>
              <w:t>Tek belge kalem motoru (opsiyonel)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4</w:t>
            </w:r>
          </w:p>
        </w:tc>
      </w:tr>
      <w:tr>
        <w:tc>
          <w:tcPr>
            <w:tcW w:type="dxa" w:w="1662"/>
          </w:tcPr>
          <w:p>
            <w:r>
              <w:t>P19</w:t>
            </w:r>
          </w:p>
        </w:tc>
        <w:tc>
          <w:tcPr>
            <w:tcW w:type="dxa" w:w="1662"/>
          </w:tcPr>
          <w:p>
            <w:r>
              <w:t>e-Dönüşüm</w:t>
            </w:r>
          </w:p>
        </w:tc>
        <w:tc>
          <w:tcPr>
            <w:tcW w:type="dxa" w:w="1662"/>
          </w:tcPr>
          <w:p>
            <w:r>
              <w:t>GİB entegrasyonu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3</w:t>
            </w:r>
          </w:p>
        </w:tc>
      </w:tr>
    </w:tbl>
    <w:p>
      <w:pPr>
        <w:pStyle w:val="Heading1"/>
      </w:pPr>
      <w:r>
        <w:t>5. Detaylı açıklamalar (yüksek skorlu maddeler)</w:t>
      </w:r>
    </w:p>
    <w:p>
      <w:pPr>
        <w:pStyle w:val="Heading2"/>
      </w:pPr>
      <w:r>
        <w:t>P01 — Belge referans omurgası (DOCTYPE + REFDOC) (Ö:5 Y:5 Skor:25)</w:t>
      </w:r>
    </w:p>
    <w:p>
      <w:r>
        <w:rPr>
          <w:rFonts w:ascii="Calibri" w:hAnsi="Calibri"/>
          <w:b w:val="0"/>
        </w:rPr>
        <w:t>Tüm satış/satınalma belgelerinde kaynak_belge_tipi + kaynak_belge_id (+ kalem ref). Canias REFDOCTYPE/REFDOCNUM karşılığı. Dönüşüm ve izlenebilirlik için zorunlu.</w:t>
      </w:r>
    </w:p>
    <w:p>
      <w:r>
        <w:rPr>
          <w:rFonts w:ascii="Calibri" w:hAnsi="Calibri"/>
          <w:b w:val="0"/>
        </w:rPr>
        <w:t>Not: 1–2 gün; mevcut zinciri bozmadan</w:t>
      </w:r>
    </w:p>
    <w:p>
      <w:pPr>
        <w:pStyle w:val="Heading2"/>
      </w:pPr>
      <w:r>
        <w:t>P02 — Hareket kodu zorunlu bağ (Ö:5 Y:5 Skor:25)</w:t>
      </w:r>
    </w:p>
    <w:p>
      <w:r>
        <w:rPr>
          <w:rFonts w:ascii="Calibri" w:hAnsi="Calibri"/>
          <w:b w:val="0"/>
        </w:rPr>
        <w:t>İrsaliye/mal kabul/üretim girişi/fatura kayıtlarında hareket_kodu_id zorunlu; stok_hareketleri’ne yaz. Numaratör↔hareket kodu eşlemesi.</w:t>
      </w:r>
    </w:p>
    <w:p>
      <w:r>
        <w:rPr>
          <w:rFonts w:ascii="Calibri" w:hAnsi="Calibri"/>
          <w:b w:val="0"/>
        </w:rPr>
        <w:t>Not: Hareket kodları zaten var</w:t>
      </w:r>
    </w:p>
    <w:p>
      <w:pPr>
        <w:pStyle w:val="Heading2"/>
      </w:pPr>
      <w:r>
        <w:t>P04 — İrsaliye onayı depo doğrulama (Ö:5 Y:5 Skor:25)</w:t>
      </w:r>
    </w:p>
    <w:p>
      <w:r>
        <w:rPr>
          <w:rFonts w:ascii="Calibri" w:hAnsi="Calibri"/>
          <w:b w:val="0"/>
        </w:rPr>
        <w:t>Sevk/irsaliye depo bakiyesi UI’da seçilir (prompt değil); yetersiz stokta net hata + önerilen depo.</w:t>
      </w:r>
    </w:p>
    <w:p>
      <w:r>
        <w:rPr>
          <w:rFonts w:ascii="Calibri" w:hAnsi="Calibri"/>
          <w:b w:val="0"/>
        </w:rPr>
        <w:t>Not: UX düzeltme</w:t>
      </w:r>
    </w:p>
    <w:p>
      <w:pPr>
        <w:pStyle w:val="Heading2"/>
      </w:pPr>
      <w:r>
        <w:t>P39 — İrsaliye→fatura durum kilidi (Ö:5 Y:5 Skor:25)</w:t>
      </w:r>
    </w:p>
    <w:p>
      <w:r>
        <w:rPr>
          <w:rFonts w:ascii="Calibri" w:hAnsi="Calibri"/>
          <w:b w:val="0"/>
        </w:rPr>
        <w:t>Taslak irsaliyeden fatura açılabiliyor; yalnızca Onayli’dan izin ver.</w:t>
      </w:r>
    </w:p>
    <w:p>
      <w:r>
        <w:rPr>
          <w:rFonts w:ascii="Calibri" w:hAnsi="Calibri"/>
          <w:b w:val="0"/>
        </w:rPr>
        <w:t>Not: İş kuralı bug</w:t>
      </w:r>
    </w:p>
    <w:p>
      <w:pPr>
        <w:pStyle w:val="Heading2"/>
      </w:pPr>
      <w:r>
        <w:t>P03 — Satış rezervasyonu (Ö:5 Y:4 Skor:20)</w:t>
      </w:r>
    </w:p>
    <w:p>
      <w:r>
        <w:rPr>
          <w:rFonts w:ascii="Calibri" w:hAnsi="Calibri"/>
          <w:b w:val="0"/>
        </w:rPr>
        <w:t>Sipariş onayında kullanılabilir stoktan rezerve; irsaliye onayı rezervi tüketir. INV’deki “rezerve stok” karşılığı.</w:t>
      </w:r>
    </w:p>
    <w:p>
      <w:r>
        <w:rPr>
          <w:rFonts w:ascii="Calibri" w:hAnsi="Calibri"/>
          <w:b w:val="0"/>
        </w:rPr>
        <w:t>Not: Bakiye görünümüne rezerve sütunu</w:t>
      </w:r>
    </w:p>
    <w:p>
      <w:pPr>
        <w:pStyle w:val="Heading2"/>
      </w:pPr>
      <w:r>
        <w:t>P32 — Açık miktar takibi (Ö:5 Y:4 Skor:20)</w:t>
      </w:r>
    </w:p>
    <w:p>
      <w:r>
        <w:rPr>
          <w:rFonts w:ascii="Calibri" w:hAnsi="Calibri"/>
          <w:b w:val="0"/>
        </w:rPr>
        <w:t>Sipariş kaleminde sevk/irsaliye/fatura kalan miktar; kısmi sevk.</w:t>
      </w:r>
    </w:p>
    <w:p>
      <w:r>
        <w:rPr>
          <w:rFonts w:ascii="Calibri" w:hAnsi="Calibri"/>
          <w:b w:val="0"/>
        </w:rPr>
        <w:t>Not: Canias ORDSTAT/DELSTAT benzeri</w:t>
      </w:r>
    </w:p>
    <w:p>
      <w:pPr>
        <w:pStyle w:val="Heading2"/>
      </w:pPr>
      <w:r>
        <w:t>P09 — Sayım / stok düzeltme (Ö:4 Y:5 Skor:20)</w:t>
      </w:r>
    </w:p>
    <w:p>
      <w:r>
        <w:rPr>
          <w:rFonts w:ascii="Calibri" w:hAnsi="Calibri"/>
          <w:b w:val="0"/>
        </w:rPr>
        <w:t>Sayım belgesi + fark hareketi (hareket kodu SAY/DUZ).</w:t>
      </w:r>
    </w:p>
    <w:p>
      <w:r>
        <w:rPr>
          <w:rFonts w:ascii="Calibri" w:hAnsi="Calibri"/>
          <w:b w:val="0"/>
        </w:rPr>
        <w:t>Not: Hızlı kazanım</w:t>
      </w:r>
    </w:p>
    <w:p>
      <w:pPr>
        <w:pStyle w:val="Heading2"/>
      </w:pPr>
      <w:r>
        <w:t>P12 — Üretim: satış siparişinden emir UI (Ö:4 Y:5 Skor:20)</w:t>
      </w:r>
    </w:p>
    <w:p>
      <w:r>
        <w:rPr>
          <w:rFonts w:ascii="Calibri" w:hAnsi="Calibri"/>
          <w:b w:val="0"/>
        </w:rPr>
        <w:t>API var (PRDT13); form sihirbazı + depo seçimi eksik.</w:t>
      </w:r>
    </w:p>
    <w:p>
      <w:r>
        <w:rPr>
          <w:rFonts w:ascii="Calibri" w:hAnsi="Calibri"/>
          <w:b w:val="0"/>
        </w:rPr>
        <w:t>Not: UI</w:t>
      </w:r>
    </w:p>
    <w:p>
      <w:pPr>
        <w:pStyle w:val="Heading2"/>
      </w:pPr>
      <w:r>
        <w:t>P31 — Dönüştür UX iyileştirme (Ö:4 Y:5 Skor:20)</w:t>
      </w:r>
    </w:p>
    <w:p>
      <w:r>
        <w:rPr>
          <w:rFonts w:ascii="Calibri" w:hAnsi="Calibri"/>
          <w:b w:val="0"/>
        </w:rPr>
        <w:t>Depo/taşıyıcı için prompt yerine form diyaloğu; zincir timeline ekranı.</w:t>
      </w:r>
    </w:p>
    <w:p>
      <w:r>
        <w:rPr>
          <w:rFonts w:ascii="Calibri" w:hAnsi="Calibri"/>
          <w:b w:val="0"/>
        </w:rPr>
        <w:t>Not: UX</w:t>
      </w:r>
    </w:p>
    <w:p>
      <w:pPr>
        <w:pStyle w:val="Heading2"/>
      </w:pPr>
      <w:r>
        <w:t>P37 — Fatura liste filtresi tutarlılığı (Ö:4 Y:5 Skor:20)</w:t>
      </w:r>
    </w:p>
    <w:p>
      <w:r>
        <w:rPr>
          <w:rFonts w:ascii="Calibri" w:hAnsi="Calibri"/>
          <w:b w:val="0"/>
        </w:rPr>
        <w:t>Alış/satış endpoint query; PUT’ta e-belge alanları tam güncellenmiyor olabilir — audit.</w:t>
      </w:r>
    </w:p>
    <w:p>
      <w:r>
        <w:rPr>
          <w:rFonts w:ascii="Calibri" w:hAnsi="Calibri"/>
          <w:b w:val="0"/>
        </w:rPr>
        <w:t>Not: Bugfix</w:t>
      </w:r>
    </w:p>
    <w:p>
      <w:pPr>
        <w:pStyle w:val="Heading2"/>
      </w:pPr>
      <w:r>
        <w:t>P38 — Negatif stok parametresi (Ö:4 Y:5 Skor:20)</w:t>
      </w:r>
    </w:p>
    <w:p>
      <w:r>
        <w:rPr>
          <w:rFonts w:ascii="Calibri" w:hAnsi="Calibri"/>
          <w:b w:val="0"/>
        </w:rPr>
        <w:t>sistem_parametreleri STOK_NEGATIF var; hareket motoru her zaman reddediyor — parametreyi uygula.</w:t>
      </w:r>
    </w:p>
    <w:p>
      <w:r>
        <w:rPr>
          <w:rFonts w:ascii="Calibri" w:hAnsi="Calibri"/>
          <w:b w:val="0"/>
        </w:rPr>
        <w:t>Not: Tutarlılık</w:t>
      </w:r>
    </w:p>
    <w:p>
      <w:pPr>
        <w:pStyle w:val="Heading2"/>
      </w:pPr>
      <w:r>
        <w:t>P40 — Satınalma: teklif→sipariş dönüşüm (Ö:4 Y:5 Skor:20)</w:t>
      </w:r>
    </w:p>
    <w:p>
      <w:r>
        <w:rPr>
          <w:rFonts w:ascii="Calibri" w:hAnsi="Calibri"/>
          <w:b w:val="0"/>
        </w:rPr>
        <w:t>PUR tarafında satıştaki gibi dönüştür butonları eksik.</w:t>
      </w:r>
    </w:p>
    <w:p>
      <w:r>
        <w:rPr>
          <w:rFonts w:ascii="Calibri" w:hAnsi="Calibri"/>
          <w:b w:val="0"/>
        </w:rPr>
        <w:t>Not: Simetri</w:t>
      </w:r>
    </w:p>
    <w:p>
      <w:pPr>
        <w:pStyle w:val="Heading2"/>
      </w:pPr>
      <w:r>
        <w:t>P08 — Depolar arası transfer (TRO) (Ö:4 Y:4 Skor:16)</w:t>
      </w:r>
    </w:p>
    <w:p>
      <w:r>
        <w:rPr>
          <w:rFonts w:ascii="Calibri" w:hAnsi="Calibri"/>
          <w:b w:val="0"/>
        </w:rPr>
        <w:t>Transfer talep → emir → stok çift hareket (çıkış+giriş). Yoldaki stok.</w:t>
      </w:r>
    </w:p>
    <w:p>
      <w:r>
        <w:rPr>
          <w:rFonts w:ascii="Calibri" w:hAnsi="Calibri"/>
          <w:b w:val="0"/>
        </w:rPr>
        <w:t>Not: Yeni belge tipi</w:t>
      </w:r>
    </w:p>
    <w:p>
      <w:pPr>
        <w:pStyle w:val="Heading2"/>
      </w:pPr>
      <w:r>
        <w:t>P11 — ATP basit kontrol (Ö:4 Y:4 Skor:16)</w:t>
      </w:r>
    </w:p>
    <w:p>
      <w:r>
        <w:rPr>
          <w:rFonts w:ascii="Calibri" w:hAnsi="Calibri"/>
          <w:b w:val="0"/>
        </w:rPr>
        <w:t>Sipariş/teklifte miktar ≤ kullanılabilir (+üretim planı yoksa uyarı).</w:t>
      </w:r>
    </w:p>
    <w:p>
      <w:r>
        <w:rPr>
          <w:rFonts w:ascii="Calibri" w:hAnsi="Calibri"/>
          <w:b w:val="0"/>
        </w:rPr>
        <w:t>Not: İş kuralı</w:t>
      </w:r>
    </w:p>
    <w:p>
      <w:pPr>
        <w:pStyle w:val="Heading2"/>
      </w:pPr>
      <w:r>
        <w:t>P13 — Mal kabul → alış fatura bağ (Ö:4 Y:4 Skor:16)</w:t>
      </w:r>
    </w:p>
    <w:p>
      <w:r>
        <w:rPr>
          <w:rFonts w:ascii="Calibri" w:hAnsi="Calibri"/>
          <w:b w:val="0"/>
        </w:rPr>
        <w:t>Mal kabulden alış faturası oluştur; miktar kilidi.</w:t>
      </w:r>
    </w:p>
    <w:p>
      <w:r>
        <w:rPr>
          <w:rFonts w:ascii="Calibri" w:hAnsi="Calibri"/>
          <w:b w:val="0"/>
        </w:rPr>
        <w:t>Not: Satış zincirinin aynası</w:t>
      </w:r>
    </w:p>
    <w:p>
      <w:pPr>
        <w:pStyle w:val="Heading1"/>
      </w:pPr>
      <w:r>
        <w:t>6. Süreç iyileştirme önerileri (Canias’a hizalı ama KTB ölçeğinde)</w:t>
      </w:r>
    </w:p>
    <w:p>
      <w:pPr>
        <w:pStyle w:val="ListBullet"/>
      </w:pPr>
      <w:r>
        <w:t>Tek “belge yaşam döngüsü” ekranı: teklif→…→fatura timeline; her adımda kalan miktar.</w:t>
      </w:r>
    </w:p>
    <w:p>
      <w:pPr>
        <w:pStyle w:val="ListBullet"/>
      </w:pPr>
      <w:r>
        <w:t>Onay kapıları: stok çıkışı yalnız onaylı irsaliyede; muhasebe yalnız onaylı faturada.</w:t>
      </w:r>
    </w:p>
    <w:p>
      <w:pPr>
        <w:pStyle w:val="ListBullet"/>
      </w:pPr>
      <w:r>
        <w:t>Master data önce: hareket kodu + belge tipi + numaratör üçlüsü olmadan yeni belge tipi açma.</w:t>
      </w:r>
    </w:p>
    <w:p>
      <w:pPr>
        <w:pStyle w:val="ListBullet"/>
      </w:pPr>
      <w:r>
        <w:t>MRP’yi “otomatik sipariş makinesi” değil önce “öneri listesi” olarak koyun — Canias’ta da planlama öneri üretir, dönüşüm kullanıcı/onayladır.</w:t>
      </w:r>
    </w:p>
    <w:p>
      <w:pPr>
        <w:pStyle w:val="ListBullet"/>
      </w:pPr>
      <w:r>
        <w:t>WMS/raf’ı erteleyin; önce rezervasyon + transfer + sayım (INV çekirdeği).</w:t>
      </w:r>
    </w:p>
    <w:p>
      <w:pPr>
        <w:pStyle w:val="ListBullet"/>
      </w:pPr>
      <w:r>
        <w:t>e-Belge: önce doğru veri modeli + PDF; GİB entegrasyonu ayrı epik.</w:t>
      </w:r>
    </w:p>
    <w:p>
      <w:pPr>
        <w:pStyle w:val="Heading1"/>
      </w:pPr>
      <w:r>
        <w:t>7. Tablo mantığı — Canias vs KTB karar matrisi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Canias kavramı</w:t>
            </w:r>
          </w:p>
        </w:tc>
        <w:tc>
          <w:tcPr>
            <w:tcW w:type="dxa" w:w="3324"/>
          </w:tcPr>
          <w:p>
            <w:r>
              <w:t>KTB karşılığı</w:t>
            </w:r>
          </w:p>
        </w:tc>
        <w:tc>
          <w:tcPr>
            <w:tcW w:type="dxa" w:w="3324"/>
          </w:tcPr>
          <w:p>
            <w:r>
              <w:t>Öneri</w:t>
            </w:r>
          </w:p>
        </w:tc>
      </w:tr>
      <w:tr>
        <w:tc>
          <w:tcPr>
            <w:tcW w:type="dxa" w:w="3324"/>
          </w:tcPr>
          <w:p>
            <w:r>
              <w:t>CLIENT/COMPANY</w:t>
            </w:r>
          </w:p>
        </w:tc>
        <w:tc>
          <w:tcPr>
            <w:tcW w:type="dxa" w:w="3324"/>
          </w:tcPr>
          <w:p>
            <w:r>
              <w:t>firmalar (kısmen)</w:t>
            </w:r>
          </w:p>
        </w:tc>
        <w:tc>
          <w:tcPr>
            <w:tcW w:type="dxa" w:w="3324"/>
          </w:tcPr>
          <w:p>
            <w:r>
              <w:t>Tüm belgelere firma_id</w:t>
            </w:r>
          </w:p>
        </w:tc>
      </w:tr>
      <w:tr>
        <w:tc>
          <w:tcPr>
            <w:tcW w:type="dxa" w:w="3324"/>
          </w:tcPr>
          <w:p>
            <w:r>
              <w:t>DOCTYPE + DOCNUM</w:t>
            </w:r>
          </w:p>
        </w:tc>
        <w:tc>
          <w:tcPr>
            <w:tcW w:type="dxa" w:w="3324"/>
          </w:tcPr>
          <w:p>
            <w:r>
              <w:t>ayrı tablolar + kod_serileri</w:t>
            </w:r>
          </w:p>
        </w:tc>
        <w:tc>
          <w:tcPr>
            <w:tcW w:type="dxa" w:w="3324"/>
          </w:tcPr>
          <w:p>
            <w:r>
              <w:t>Ref omurgası + DOCTYPE sözlüğü</w:t>
            </w:r>
          </w:p>
        </w:tc>
      </w:tr>
      <w:tr>
        <w:tc>
          <w:tcPr>
            <w:tcW w:type="dxa" w:w="3324"/>
          </w:tcPr>
          <w:p>
            <w:r>
              <w:t>IASSALITEM tek kalem ailesi</w:t>
            </w:r>
          </w:p>
        </w:tc>
        <w:tc>
          <w:tcPr>
            <w:tcW w:type="dxa" w:w="3324"/>
          </w:tcPr>
          <w:p>
            <w:r>
              <w:t>ayrı *_satirlari</w:t>
            </w:r>
          </w:p>
        </w:tc>
        <w:tc>
          <w:tcPr>
            <w:tcW w:type="dxa" w:w="3324"/>
          </w:tcPr>
          <w:p>
            <w:r>
              <w:t>Şimdilik ayrı tut; ref ile bağla</w:t>
            </w:r>
          </w:p>
        </w:tc>
      </w:tr>
      <w:tr>
        <w:tc>
          <w:tcPr>
            <w:tcW w:type="dxa" w:w="3324"/>
          </w:tcPr>
          <w:p>
            <w:r>
              <w:t>Destek tabloları</w:t>
            </w:r>
          </w:p>
        </w:tc>
        <w:tc>
          <w:tcPr>
            <w:tcW w:type="dxa" w:w="3324"/>
          </w:tcPr>
          <w:p>
            <w:r>
              <w:t>kategori + hareket_kodlari</w:t>
            </w:r>
          </w:p>
        </w:tc>
        <w:tc>
          <w:tcPr>
            <w:tcW w:type="dxa" w:w="3324"/>
          </w:tcPr>
          <w:p>
            <w:r>
              <w:t>Belge tipi/ödeme/stok durumu ekle</w:t>
            </w:r>
          </w:p>
        </w:tc>
      </w:tr>
      <w:tr>
        <w:tc>
          <w:tcPr>
            <w:tcW w:type="dxa" w:w="3324"/>
          </w:tcPr>
          <w:p>
            <w:r>
              <w:t>Stok türleri</w:t>
            </w:r>
          </w:p>
        </w:tc>
        <w:tc>
          <w:tcPr>
            <w:tcW w:type="dxa" w:w="3324"/>
          </w:tcPr>
          <w:p>
            <w:r>
              <w:t>tek bakiye</w:t>
            </w:r>
          </w:p>
        </w:tc>
        <w:tc>
          <w:tcPr>
            <w:tcW w:type="dxa" w:w="3324"/>
          </w:tcPr>
          <w:p>
            <w:r>
              <w:t>rezerve/bloke boyutu</w:t>
            </w:r>
          </w:p>
        </w:tc>
      </w:tr>
      <w:tr>
        <w:tc>
          <w:tcPr>
            <w:tcW w:type="dxa" w:w="3324"/>
          </w:tcPr>
          <w:p>
            <w:r>
              <w:t>Hareket ← belge</w:t>
            </w:r>
          </w:p>
        </w:tc>
        <w:tc>
          <w:tcPr>
            <w:tcW w:type="dxa" w:w="3324"/>
          </w:tcPr>
          <w:p>
            <w:r>
              <w:t>stok_hareketleri.belge_*</w:t>
            </w:r>
          </w:p>
        </w:tc>
        <w:tc>
          <w:tcPr>
            <w:tcW w:type="dxa" w:w="3324"/>
          </w:tcPr>
          <w:p>
            <w:r>
              <w:t>hareket_kodu_id zorunlu</w:t>
            </w:r>
          </w:p>
        </w:tc>
      </w:tr>
      <w:tr>
        <w:tc>
          <w:tcPr>
            <w:tcW w:type="dxa" w:w="3324"/>
          </w:tcPr>
          <w:p>
            <w:r>
              <w:t>VER 3-way match</w:t>
            </w:r>
          </w:p>
        </w:tc>
        <w:tc>
          <w:tcPr>
            <w:tcW w:type="dxa" w:w="3324"/>
          </w:tcPr>
          <w:p>
            <w:r>
              <w:t>alış fatura bağımsız</w:t>
            </w:r>
          </w:p>
        </w:tc>
        <w:tc>
          <w:tcPr>
            <w:tcW w:type="dxa" w:w="3324"/>
          </w:tcPr>
          <w:p>
            <w:r>
              <w:t>Sipariş+mal kabul eşle</w:t>
            </w:r>
          </w:p>
        </w:tc>
      </w:tr>
      <w:tr>
        <w:tc>
          <w:tcPr>
            <w:tcW w:type="dxa" w:w="3324"/>
          </w:tcPr>
          <w:p>
            <w:r>
              <w:t>MRP</w:t>
            </w:r>
          </w:p>
        </w:tc>
        <w:tc>
          <w:tcPr>
            <w:tcW w:type="dxa" w:w="3324"/>
          </w:tcPr>
          <w:p>
            <w:r>
              <w:t>yok</w:t>
            </w:r>
          </w:p>
        </w:tc>
        <w:tc>
          <w:tcPr>
            <w:tcW w:type="dxa" w:w="3324"/>
          </w:tcPr>
          <w:p>
            <w:r>
              <w:t>Öneri motoru v1</w:t>
            </w:r>
          </w:p>
        </w:tc>
      </w:tr>
    </w:tbl>
    <w:p>
      <w:pPr>
        <w:pStyle w:val="Heading1"/>
      </w:pPr>
      <w:r>
        <w:t>8. Unuttuklarımız (özet)</w:t>
      </w:r>
    </w:p>
    <w:p>
      <w:pPr>
        <w:pStyle w:val="ListBullet"/>
      </w:pPr>
      <w:r>
        <w:t>Kısmi sevkiyat / açık miktar (ORDSTAT–DELSTAT benzeri)</w:t>
      </w:r>
    </w:p>
    <w:p>
      <w:pPr>
        <w:pStyle w:val="ListBullet"/>
      </w:pPr>
      <w:r>
        <w:t>Rezervasyon ve kullanılabilir stok ayrımı</w:t>
      </w:r>
    </w:p>
    <w:p>
      <w:pPr>
        <w:pStyle w:val="ListBullet"/>
      </w:pPr>
      <w:r>
        <w:t>Transfer ve sayım belgeleri</w:t>
      </w:r>
    </w:p>
    <w:p>
      <w:pPr>
        <w:pStyle w:val="ListBullet"/>
      </w:pPr>
      <w:r>
        <w:t>VER fatura kontrolü (3 yönlü)</w:t>
      </w:r>
    </w:p>
    <w:p>
      <w:pPr>
        <w:pStyle w:val="ListBullet"/>
      </w:pPr>
      <w:r>
        <w:t>Belge→muhasebe otomatik fiş</w:t>
      </w:r>
    </w:p>
    <w:p>
      <w:pPr>
        <w:pStyle w:val="ListBullet"/>
      </w:pPr>
      <w:r>
        <w:t>Yetki (menü/depo) ve audit log</w:t>
      </w:r>
    </w:p>
    <w:p>
      <w:pPr>
        <w:pStyle w:val="ListBullet"/>
      </w:pPr>
      <w:r>
        <w:t>İade süreçleri</w:t>
      </w:r>
    </w:p>
    <w:p>
      <w:pPr>
        <w:pStyle w:val="ListBullet"/>
      </w:pPr>
      <w:r>
        <w:t>Parametrelerin fiilen uygulanması (negatif stok vb.)</w:t>
      </w:r>
    </w:p>
    <w:p>
      <w:pPr>
        <w:pStyle w:val="ListBullet"/>
      </w:pPr>
      <w:r>
        <w:t>Taslak irsaliyeden fatura kesme yasağı</w:t>
      </w:r>
    </w:p>
    <w:p>
      <w:pPr>
        <w:pStyle w:val="Heading1"/>
      </w:pPr>
      <w:r>
        <w:t>9. Önerilen yol haritası (dalgalar)</w:t>
      </w:r>
    </w:p>
    <w:p>
      <w:pPr>
        <w:pStyle w:val="Heading2"/>
      </w:pPr>
      <w:r>
        <w:t>Dalga A — Stabilite &amp; omurga (yüksek skor, hızlı)</w:t>
      </w:r>
    </w:p>
    <w:p>
      <w:pPr>
        <w:pStyle w:val="ListBullet"/>
      </w:pPr>
      <w:r>
        <w:t>P39, P38, P37, P01, P02, P04, P31, P32, P12, P40, P09</w:t>
      </w:r>
    </w:p>
    <w:p>
      <w:pPr>
        <w:pStyle w:val="Heading2"/>
      </w:pPr>
      <w:r>
        <w:t>Dalga B — Operasyonel derinlik</w:t>
      </w:r>
    </w:p>
    <w:p>
      <w:pPr>
        <w:pStyle w:val="ListBullet"/>
      </w:pPr>
      <w:r>
        <w:t>P03, P08, P11, P13, P14, P15, P27, P18, P05, P06, P16</w:t>
      </w:r>
    </w:p>
    <w:p>
      <w:pPr>
        <w:pStyle w:val="Heading2"/>
      </w:pPr>
      <w:r>
        <w:t>Dalga C — İleri Canias hizası</w:t>
      </w:r>
    </w:p>
    <w:p>
      <w:pPr>
        <w:pStyle w:val="ListBullet"/>
      </w:pPr>
      <w:r>
        <w:t>P07, P17, P20, P21, P22, P25, P26, P23, P24, P19, P30</w:t>
      </w:r>
    </w:p>
    <w:p>
      <w:pPr>
        <w:pStyle w:val="Heading1"/>
      </w:pPr>
      <w:r>
        <w:t>10. Sonuç</w:t>
      </w:r>
    </w:p>
    <w:p>
      <w:r>
        <w:rPr>
          <w:rFonts w:ascii="Calibri" w:hAnsi="Calibri"/>
          <w:b w:val="0"/>
        </w:rPr>
        <w:t>Canias’ın asıl gücü “çok ekran” değil; CLIENT/COMPANY/DOCTYPE belge motoru, destek tabloları, stok türleri, rezervasyon, MRP önerisi ve belge→stok→muhasebe entegrasyonudur. KTB satış zinciri ve hareket kodlarıyla doğru yöne girdi; sonraki en yüksek getirili işler: referans omurgası, açık miktar, rezervasyon, iş kuralı düzeltmeleri (P39/P38), transfer/sayım, VER ve sade MRP.</w:t>
      </w:r>
    </w:p>
    <w:p>
      <w:r>
        <w:rPr>
          <w:rFonts w:ascii="Calibri" w:hAnsi="Calibri"/>
          <w:b w:val="0"/>
        </w:rPr>
        <w:t>— Rapor sonu · UTF-8 · KTB ERP · Canias araştırması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