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553" w:rsidRPr="006E46C2" w:rsidRDefault="00994553" w:rsidP="00D02622">
      <w:pPr>
        <w:tabs>
          <w:tab w:val="right" w:pos="990"/>
        </w:tabs>
        <w:spacing w:line="360" w:lineRule="auto"/>
        <w:jc w:val="center"/>
        <w:rPr>
          <w:rFonts w:ascii="Garamond" w:hAnsi="Garamond"/>
          <w:b/>
        </w:rPr>
      </w:pPr>
      <w:r w:rsidRPr="006E46C2">
        <w:rPr>
          <w:rFonts w:ascii="Garamond" w:hAnsi="Garamond"/>
          <w:b/>
        </w:rPr>
        <w:t>MEMORANDUM</w:t>
      </w:r>
    </w:p>
    <w:p w:rsidR="00994553" w:rsidRDefault="00994553" w:rsidP="00D02622">
      <w:pPr>
        <w:tabs>
          <w:tab w:val="left" w:pos="810"/>
        </w:tabs>
        <w:spacing w:line="360" w:lineRule="auto"/>
        <w:rPr>
          <w:rFonts w:ascii="Garamond" w:hAnsi="Garamond"/>
        </w:rPr>
      </w:pPr>
      <w:r w:rsidRPr="006E46C2">
        <w:rPr>
          <w:rFonts w:ascii="Garamond" w:hAnsi="Garamond"/>
          <w:b/>
        </w:rPr>
        <w:t>To:</w:t>
      </w:r>
      <w:r>
        <w:rPr>
          <w:rFonts w:ascii="Garamond" w:hAnsi="Garamond"/>
        </w:rPr>
        <w:t xml:space="preserve"> </w:t>
      </w:r>
      <w:r w:rsidR="00D02622">
        <w:rPr>
          <w:rFonts w:ascii="Garamond" w:hAnsi="Garamond"/>
        </w:rPr>
        <w:tab/>
      </w:r>
      <w:r w:rsidR="00230E5C">
        <w:rPr>
          <w:rFonts w:ascii="Garamond" w:hAnsi="Garamond"/>
        </w:rPr>
        <w:t>Madera &amp; Associates</w:t>
      </w:r>
    </w:p>
    <w:p w:rsidR="00994553" w:rsidRDefault="00994553" w:rsidP="00D02622">
      <w:pPr>
        <w:tabs>
          <w:tab w:val="left" w:pos="810"/>
        </w:tabs>
        <w:spacing w:line="360" w:lineRule="auto"/>
        <w:rPr>
          <w:rFonts w:ascii="Garamond" w:hAnsi="Garamond"/>
        </w:rPr>
      </w:pPr>
      <w:r w:rsidRPr="006E46C2">
        <w:rPr>
          <w:rFonts w:ascii="Garamond" w:hAnsi="Garamond"/>
          <w:b/>
        </w:rPr>
        <w:t>From:</w:t>
      </w:r>
      <w:r>
        <w:rPr>
          <w:rFonts w:ascii="Garamond" w:hAnsi="Garamond"/>
        </w:rPr>
        <w:t xml:space="preserve"> </w:t>
      </w:r>
      <w:r w:rsidR="00D02622">
        <w:rPr>
          <w:rFonts w:ascii="Garamond" w:hAnsi="Garamond"/>
        </w:rPr>
        <w:tab/>
      </w:r>
      <w:r>
        <w:rPr>
          <w:rFonts w:ascii="Garamond" w:hAnsi="Garamond"/>
        </w:rPr>
        <w:t>Theo Carr</w:t>
      </w:r>
    </w:p>
    <w:p w:rsidR="00994553" w:rsidRDefault="00994553" w:rsidP="00D02622">
      <w:pPr>
        <w:tabs>
          <w:tab w:val="left" w:pos="810"/>
        </w:tabs>
        <w:spacing w:line="360" w:lineRule="auto"/>
        <w:rPr>
          <w:rFonts w:ascii="Garamond" w:hAnsi="Garamond"/>
        </w:rPr>
      </w:pPr>
      <w:r w:rsidRPr="006E46C2">
        <w:rPr>
          <w:rFonts w:ascii="Garamond" w:hAnsi="Garamond"/>
          <w:b/>
        </w:rPr>
        <w:t>Date:</w:t>
      </w:r>
      <w:r w:rsidR="00D02622">
        <w:rPr>
          <w:rFonts w:ascii="Garamond" w:hAnsi="Garamond"/>
        </w:rPr>
        <w:t xml:space="preserve"> </w:t>
      </w:r>
      <w:r w:rsidR="00D02622">
        <w:rPr>
          <w:rFonts w:ascii="Garamond" w:hAnsi="Garamond"/>
        </w:rPr>
        <w:tab/>
        <w:t>20</w:t>
      </w:r>
      <w:r>
        <w:rPr>
          <w:rFonts w:ascii="Garamond" w:hAnsi="Garamond"/>
        </w:rPr>
        <w:t xml:space="preserve"> March 2018</w:t>
      </w:r>
    </w:p>
    <w:p w:rsidR="00994553" w:rsidRDefault="00994553" w:rsidP="00D02622">
      <w:pPr>
        <w:pBdr>
          <w:bottom w:val="single" w:sz="6" w:space="1" w:color="auto"/>
        </w:pBdr>
        <w:tabs>
          <w:tab w:val="left" w:pos="810"/>
        </w:tabs>
        <w:spacing w:line="360" w:lineRule="auto"/>
        <w:rPr>
          <w:rFonts w:ascii="Garamond" w:hAnsi="Garamond"/>
        </w:rPr>
      </w:pPr>
      <w:r w:rsidRPr="006E46C2">
        <w:rPr>
          <w:rFonts w:ascii="Garamond" w:hAnsi="Garamond"/>
          <w:b/>
        </w:rPr>
        <w:t>Re:</w:t>
      </w:r>
      <w:r>
        <w:rPr>
          <w:rFonts w:ascii="Garamond" w:hAnsi="Garamond"/>
        </w:rPr>
        <w:t xml:space="preserve"> </w:t>
      </w:r>
      <w:r w:rsidR="00D02622">
        <w:rPr>
          <w:rFonts w:ascii="Garamond" w:hAnsi="Garamond"/>
        </w:rPr>
        <w:tab/>
      </w:r>
      <w:r w:rsidR="00230E5C">
        <w:rPr>
          <w:rFonts w:ascii="Garamond" w:hAnsi="Garamond"/>
        </w:rPr>
        <w:t>Effect of UFFI on Florida property values</w:t>
      </w:r>
    </w:p>
    <w:p w:rsidR="00994553" w:rsidRDefault="00994553" w:rsidP="00994553">
      <w:pPr>
        <w:spacing w:line="360" w:lineRule="auto"/>
        <w:rPr>
          <w:rFonts w:ascii="Garamond" w:hAnsi="Garamond"/>
        </w:rPr>
      </w:pPr>
    </w:p>
    <w:p w:rsidR="00994553" w:rsidRDefault="00BB130A" w:rsidP="00994553">
      <w:pPr>
        <w:spacing w:line="360" w:lineRule="auto"/>
        <w:rPr>
          <w:rFonts w:ascii="Garamond" w:hAnsi="Garamond"/>
        </w:rPr>
      </w:pPr>
      <w:r>
        <w:rPr>
          <w:rFonts w:ascii="Garamond" w:hAnsi="Garamond"/>
          <w:b/>
        </w:rPr>
        <w:t>Summary</w:t>
      </w:r>
      <w:r w:rsidR="00994553" w:rsidRPr="006E46C2">
        <w:rPr>
          <w:rFonts w:ascii="Garamond" w:hAnsi="Garamond"/>
          <w:b/>
        </w:rPr>
        <w:t>:</w:t>
      </w:r>
      <w:r w:rsidR="00994553">
        <w:rPr>
          <w:rFonts w:ascii="Garamond" w:hAnsi="Garamond"/>
          <w:b/>
        </w:rPr>
        <w:t xml:space="preserve"> </w:t>
      </w:r>
      <w:r w:rsidR="008242D0">
        <w:rPr>
          <w:rFonts w:ascii="Garamond" w:hAnsi="Garamond"/>
        </w:rPr>
        <w:t xml:space="preserve">Based on real estate sales data collected from 2009 to 2016, UFFI has a </w:t>
      </w:r>
      <w:r w:rsidR="005615B4">
        <w:rPr>
          <w:rFonts w:ascii="Garamond" w:hAnsi="Garamond"/>
        </w:rPr>
        <w:t>statistically significant negative</w:t>
      </w:r>
      <w:r w:rsidR="008242D0">
        <w:rPr>
          <w:rFonts w:ascii="Garamond" w:hAnsi="Garamond"/>
        </w:rPr>
        <w:t xml:space="preserve"> effect on the sales price of a property. </w:t>
      </w:r>
      <w:r w:rsidR="005615B4">
        <w:rPr>
          <w:rFonts w:ascii="Garamond" w:hAnsi="Garamond"/>
        </w:rPr>
        <w:t xml:space="preserve">Comparing the average sales price of properties with and without </w:t>
      </w:r>
      <w:r w:rsidR="00671006">
        <w:rPr>
          <w:rFonts w:ascii="Garamond" w:hAnsi="Garamond"/>
        </w:rPr>
        <w:t>UFFI</w:t>
      </w:r>
      <w:r w:rsidR="005615B4">
        <w:rPr>
          <w:rFonts w:ascii="Garamond" w:hAnsi="Garamond"/>
        </w:rPr>
        <w:t xml:space="preserve"> revealed that </w:t>
      </w:r>
      <w:r w:rsidR="00671006">
        <w:rPr>
          <w:rFonts w:ascii="Garamond" w:hAnsi="Garamond"/>
        </w:rPr>
        <w:t>historically the chemical has decreased the value of a property by</w:t>
      </w:r>
      <w:r w:rsidR="009325AB">
        <w:rPr>
          <w:rFonts w:ascii="Garamond" w:hAnsi="Garamond"/>
        </w:rPr>
        <w:t xml:space="preserve"> about</w:t>
      </w:r>
      <w:r w:rsidR="00671006">
        <w:rPr>
          <w:rFonts w:ascii="Garamond" w:hAnsi="Garamond"/>
        </w:rPr>
        <w:t xml:space="preserve"> $7000</w:t>
      </w:r>
      <w:r w:rsidR="005B1272">
        <w:rPr>
          <w:rFonts w:ascii="Garamond" w:hAnsi="Garamond"/>
        </w:rPr>
        <w:t>, on average</w:t>
      </w:r>
      <w:r w:rsidR="00671006">
        <w:rPr>
          <w:rFonts w:ascii="Garamond" w:hAnsi="Garamond"/>
        </w:rPr>
        <w:t>.</w:t>
      </w:r>
      <w:r w:rsidR="00177CB8">
        <w:rPr>
          <w:rFonts w:ascii="Garamond" w:hAnsi="Garamond"/>
        </w:rPr>
        <w:t xml:space="preserve"> Although UFFI is not statistically significant when predicting the value of a house with other factors, on its own it can be shown to have a meaningful effect.</w:t>
      </w:r>
      <w:r w:rsidR="00671006">
        <w:rPr>
          <w:rFonts w:ascii="Garamond" w:hAnsi="Garamond"/>
        </w:rPr>
        <w:t xml:space="preserve"> </w:t>
      </w:r>
      <w:r w:rsidR="005615B4">
        <w:rPr>
          <w:rFonts w:ascii="Garamond" w:hAnsi="Garamond"/>
        </w:rPr>
        <w:t xml:space="preserve"> </w:t>
      </w:r>
    </w:p>
    <w:p w:rsidR="00A34AA1" w:rsidRPr="008242D0" w:rsidRDefault="00A34AA1" w:rsidP="00994553">
      <w:pPr>
        <w:spacing w:line="360" w:lineRule="auto"/>
        <w:rPr>
          <w:rFonts w:ascii="Garamond" w:hAnsi="Garamond"/>
        </w:rPr>
      </w:pPr>
    </w:p>
    <w:p w:rsidR="00A34AA1" w:rsidRDefault="00BB130A" w:rsidP="00994553">
      <w:pPr>
        <w:spacing w:line="360" w:lineRule="auto"/>
        <w:rPr>
          <w:rFonts w:ascii="Garamond" w:hAnsi="Garamond"/>
        </w:rPr>
      </w:pPr>
      <w:r>
        <w:rPr>
          <w:rFonts w:ascii="Garamond" w:hAnsi="Garamond"/>
          <w:b/>
        </w:rPr>
        <w:t>Analysis:</w:t>
      </w:r>
      <w:r w:rsidR="00A34AA1">
        <w:rPr>
          <w:rFonts w:ascii="Garamond" w:hAnsi="Garamond"/>
          <w:b/>
        </w:rPr>
        <w:t xml:space="preserve"> </w:t>
      </w:r>
      <w:r w:rsidR="00A34AA1">
        <w:rPr>
          <w:rFonts w:ascii="Garamond" w:hAnsi="Garamond"/>
        </w:rPr>
        <w:t>Analysis was performed on 99 property sales from 2009 to 2014. The following independent variables were investigated</w:t>
      </w:r>
      <w:r w:rsidR="00D126E1">
        <w:rPr>
          <w:rFonts w:ascii="Garamond" w:hAnsi="Garamond"/>
        </w:rPr>
        <w:t xml:space="preserve"> as possible predictors for sale price of a given property</w:t>
      </w:r>
      <w:r w:rsidR="00A34AA1">
        <w:rPr>
          <w:rFonts w:ascii="Garamond" w:hAnsi="Garamond"/>
        </w:rPr>
        <w:t xml:space="preserve">: </w:t>
      </w:r>
    </w:p>
    <w:p w:rsidR="00A34AA1" w:rsidRDefault="00A34AA1" w:rsidP="00A34AA1">
      <w:pPr>
        <w:pStyle w:val="ListParagraph"/>
        <w:numPr>
          <w:ilvl w:val="0"/>
          <w:numId w:val="1"/>
        </w:numPr>
        <w:rPr>
          <w:rFonts w:ascii="Garamond" w:hAnsi="Garamond"/>
        </w:rPr>
      </w:pPr>
      <w:r>
        <w:rPr>
          <w:rFonts w:ascii="Garamond" w:hAnsi="Garamond"/>
        </w:rPr>
        <w:t>Y</w:t>
      </w:r>
      <w:r w:rsidRPr="00A34AA1">
        <w:rPr>
          <w:rFonts w:ascii="Garamond" w:hAnsi="Garamond"/>
        </w:rPr>
        <w:t>ear s</w:t>
      </w:r>
      <w:r>
        <w:rPr>
          <w:rFonts w:ascii="Garamond" w:hAnsi="Garamond"/>
        </w:rPr>
        <w:t>old</w:t>
      </w:r>
    </w:p>
    <w:p w:rsidR="00A34AA1" w:rsidRDefault="00A34AA1" w:rsidP="00A34AA1">
      <w:pPr>
        <w:pStyle w:val="ListParagraph"/>
        <w:numPr>
          <w:ilvl w:val="0"/>
          <w:numId w:val="1"/>
        </w:numPr>
        <w:rPr>
          <w:rFonts w:ascii="Garamond" w:hAnsi="Garamond"/>
        </w:rPr>
      </w:pPr>
      <w:r>
        <w:rPr>
          <w:rFonts w:ascii="Garamond" w:hAnsi="Garamond"/>
        </w:rPr>
        <w:t>B</w:t>
      </w:r>
      <w:r w:rsidRPr="00A34AA1">
        <w:rPr>
          <w:rFonts w:ascii="Garamond" w:hAnsi="Garamond"/>
        </w:rPr>
        <w:t>asement area</w:t>
      </w:r>
    </w:p>
    <w:p w:rsidR="00A34AA1" w:rsidRDefault="00A34AA1" w:rsidP="00A34AA1">
      <w:pPr>
        <w:pStyle w:val="ListParagraph"/>
        <w:numPr>
          <w:ilvl w:val="0"/>
          <w:numId w:val="1"/>
        </w:numPr>
        <w:rPr>
          <w:rFonts w:ascii="Garamond" w:hAnsi="Garamond"/>
        </w:rPr>
      </w:pPr>
      <w:r>
        <w:rPr>
          <w:rFonts w:ascii="Garamond" w:hAnsi="Garamond"/>
        </w:rPr>
        <w:t>Lot area</w:t>
      </w:r>
    </w:p>
    <w:p w:rsidR="00A34AA1" w:rsidRPr="00A34AA1" w:rsidRDefault="00A34AA1" w:rsidP="00A34AA1">
      <w:pPr>
        <w:pStyle w:val="ListParagraph"/>
        <w:numPr>
          <w:ilvl w:val="0"/>
          <w:numId w:val="1"/>
        </w:numPr>
        <w:rPr>
          <w:rFonts w:ascii="Garamond" w:hAnsi="Garamond"/>
        </w:rPr>
      </w:pPr>
      <w:r>
        <w:rPr>
          <w:rFonts w:ascii="Garamond" w:hAnsi="Garamond"/>
        </w:rPr>
        <w:t>Living area</w:t>
      </w:r>
    </w:p>
    <w:p w:rsidR="00A34AA1" w:rsidRDefault="00A34AA1" w:rsidP="00A34AA1">
      <w:pPr>
        <w:pStyle w:val="ListParagraph"/>
        <w:numPr>
          <w:ilvl w:val="0"/>
          <w:numId w:val="1"/>
        </w:numPr>
        <w:rPr>
          <w:rFonts w:ascii="Garamond" w:hAnsi="Garamond"/>
        </w:rPr>
      </w:pPr>
      <w:r>
        <w:rPr>
          <w:rFonts w:ascii="Garamond" w:hAnsi="Garamond"/>
        </w:rPr>
        <w:t>Presence of UFFI</w:t>
      </w:r>
    </w:p>
    <w:p w:rsidR="00A34AA1" w:rsidRDefault="00A34AA1" w:rsidP="00A34AA1">
      <w:pPr>
        <w:pStyle w:val="ListParagraph"/>
        <w:numPr>
          <w:ilvl w:val="0"/>
          <w:numId w:val="1"/>
        </w:numPr>
        <w:rPr>
          <w:rFonts w:ascii="Garamond" w:hAnsi="Garamond"/>
        </w:rPr>
      </w:pPr>
      <w:r>
        <w:rPr>
          <w:rFonts w:ascii="Garamond" w:hAnsi="Garamond"/>
        </w:rPr>
        <w:t>Presence of</w:t>
      </w:r>
      <w:r w:rsidRPr="00A34AA1">
        <w:rPr>
          <w:rFonts w:ascii="Garamond" w:hAnsi="Garamond"/>
        </w:rPr>
        <w:t xml:space="preserve"> brick exterior</w:t>
      </w:r>
    </w:p>
    <w:p w:rsidR="00A34AA1" w:rsidRDefault="00A34AA1" w:rsidP="00A34AA1">
      <w:pPr>
        <w:pStyle w:val="ListParagraph"/>
        <w:numPr>
          <w:ilvl w:val="0"/>
          <w:numId w:val="1"/>
        </w:numPr>
        <w:rPr>
          <w:rFonts w:ascii="Garamond" w:hAnsi="Garamond"/>
        </w:rPr>
      </w:pPr>
      <w:r>
        <w:rPr>
          <w:rFonts w:ascii="Garamond" w:hAnsi="Garamond"/>
        </w:rPr>
        <w:t>Presence of central air conditioning</w:t>
      </w:r>
    </w:p>
    <w:p w:rsidR="00A34AA1" w:rsidRDefault="00A34AA1" w:rsidP="00A34AA1">
      <w:pPr>
        <w:pStyle w:val="ListParagraph"/>
        <w:numPr>
          <w:ilvl w:val="0"/>
          <w:numId w:val="1"/>
        </w:numPr>
        <w:rPr>
          <w:rFonts w:ascii="Garamond" w:hAnsi="Garamond"/>
        </w:rPr>
      </w:pPr>
      <w:r>
        <w:rPr>
          <w:rFonts w:ascii="Garamond" w:hAnsi="Garamond"/>
        </w:rPr>
        <w:t>Presence of pool</w:t>
      </w:r>
    </w:p>
    <w:p w:rsidR="00A34AA1" w:rsidRPr="00A34AA1" w:rsidRDefault="00A34AA1" w:rsidP="00A34AA1">
      <w:pPr>
        <w:pStyle w:val="ListParagraph"/>
        <w:numPr>
          <w:ilvl w:val="0"/>
          <w:numId w:val="1"/>
        </w:numPr>
        <w:rPr>
          <w:rFonts w:ascii="Garamond" w:hAnsi="Garamond"/>
        </w:rPr>
      </w:pPr>
      <w:r>
        <w:rPr>
          <w:rFonts w:ascii="Garamond" w:hAnsi="Garamond"/>
        </w:rPr>
        <w:t>Number of enclosed parking spaces</w:t>
      </w:r>
    </w:p>
    <w:p w:rsidR="00A34AA1" w:rsidRPr="00A34AA1" w:rsidRDefault="00A34AA1" w:rsidP="00A34AA1">
      <w:pPr>
        <w:pStyle w:val="ListParagraph"/>
        <w:numPr>
          <w:ilvl w:val="0"/>
          <w:numId w:val="1"/>
        </w:numPr>
        <w:spacing w:line="360" w:lineRule="auto"/>
        <w:rPr>
          <w:rFonts w:ascii="Garamond" w:hAnsi="Garamond"/>
        </w:rPr>
      </w:pPr>
      <w:r>
        <w:rPr>
          <w:rFonts w:ascii="Garamond" w:hAnsi="Garamond"/>
        </w:rPr>
        <w:t>Whether older than 45 years</w:t>
      </w:r>
    </w:p>
    <w:p w:rsidR="00A34AA1" w:rsidRDefault="00A34AA1" w:rsidP="00994553">
      <w:pPr>
        <w:spacing w:line="360" w:lineRule="auto"/>
        <w:rPr>
          <w:rFonts w:ascii="Garamond" w:hAnsi="Garamond"/>
        </w:rPr>
      </w:pPr>
      <w:r>
        <w:rPr>
          <w:rFonts w:ascii="Garamond" w:hAnsi="Garamond"/>
          <w:i/>
        </w:rPr>
        <w:t xml:space="preserve">Outlier detection: </w:t>
      </w:r>
      <w:r w:rsidR="00FE4422">
        <w:rPr>
          <w:rFonts w:ascii="Garamond" w:hAnsi="Garamond"/>
        </w:rPr>
        <w:t>For the four continuous variables, there were three cases that fell farther than three st</w:t>
      </w:r>
      <w:r w:rsidR="008910D9">
        <w:rPr>
          <w:rFonts w:ascii="Garamond" w:hAnsi="Garamond"/>
        </w:rPr>
        <w:t>andard deviations from the mean.</w:t>
      </w:r>
      <w:r w:rsidR="00FE4422">
        <w:rPr>
          <w:rFonts w:ascii="Garamond" w:hAnsi="Garamond"/>
        </w:rPr>
        <w:t xml:space="preserve"> </w:t>
      </w:r>
      <w:r w:rsidR="008910D9">
        <w:rPr>
          <w:rFonts w:ascii="Garamond" w:hAnsi="Garamond"/>
        </w:rPr>
        <w:t>T</w:t>
      </w:r>
      <w:r w:rsidR="00FE4422">
        <w:rPr>
          <w:rFonts w:ascii="Garamond" w:hAnsi="Garamond"/>
        </w:rPr>
        <w:t xml:space="preserve">hese cases were removed for </w:t>
      </w:r>
      <w:r w:rsidR="00FA312C">
        <w:rPr>
          <w:rFonts w:ascii="Garamond" w:hAnsi="Garamond"/>
        </w:rPr>
        <w:t>the following</w:t>
      </w:r>
      <w:r w:rsidR="00FE4422">
        <w:rPr>
          <w:rFonts w:ascii="Garamond" w:hAnsi="Garamond"/>
        </w:rPr>
        <w:t xml:space="preserve"> analysis. </w:t>
      </w:r>
    </w:p>
    <w:p w:rsidR="009917CF" w:rsidRPr="009E12DF" w:rsidRDefault="009E12DF" w:rsidP="00994553">
      <w:pPr>
        <w:spacing w:line="360" w:lineRule="auto"/>
        <w:rPr>
          <w:rFonts w:ascii="Garamond" w:hAnsi="Garamond"/>
        </w:rPr>
      </w:pPr>
      <w:r>
        <w:rPr>
          <w:rFonts w:ascii="Garamond" w:hAnsi="Garamond"/>
          <w:i/>
        </w:rPr>
        <w:t xml:space="preserve">Distribution assumption: </w:t>
      </w:r>
      <w:r>
        <w:rPr>
          <w:rFonts w:ascii="Garamond" w:hAnsi="Garamond"/>
        </w:rPr>
        <w:t>Creating a histogram of Sale Prices confirmed that the data is normally distributed, allowing us to perform parametric statistical analysis:</w:t>
      </w:r>
    </w:p>
    <w:p w:rsidR="009917CF" w:rsidRPr="00FE4422" w:rsidRDefault="009E12DF" w:rsidP="009E12DF">
      <w:pPr>
        <w:spacing w:line="360" w:lineRule="auto"/>
        <w:jc w:val="center"/>
        <w:rPr>
          <w:rFonts w:ascii="Garamond" w:hAnsi="Garamond"/>
        </w:rPr>
      </w:pPr>
      <w:r>
        <w:rPr>
          <w:rFonts w:ascii="Helvetica" w:hAnsi="Helvetica" w:cs="Helvetica"/>
          <w:noProof/>
        </w:rPr>
        <w:drawing>
          <wp:inline distT="0" distB="0" distL="0" distR="0">
            <wp:extent cx="2643631" cy="16320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6770" cy="1646315"/>
                    </a:xfrm>
                    <a:prstGeom prst="rect">
                      <a:avLst/>
                    </a:prstGeom>
                    <a:noFill/>
                    <a:ln>
                      <a:noFill/>
                    </a:ln>
                  </pic:spPr>
                </pic:pic>
              </a:graphicData>
            </a:graphic>
          </wp:inline>
        </w:drawing>
      </w:r>
    </w:p>
    <w:p w:rsidR="007D3148" w:rsidRDefault="007D3148" w:rsidP="00D02622">
      <w:pPr>
        <w:spacing w:line="360" w:lineRule="auto"/>
        <w:rPr>
          <w:rFonts w:ascii="Garamond" w:hAnsi="Garamond"/>
        </w:rPr>
      </w:pPr>
      <w:r>
        <w:rPr>
          <w:rFonts w:ascii="Garamond" w:hAnsi="Garamond"/>
          <w:i/>
        </w:rPr>
        <w:lastRenderedPageBreak/>
        <w:t>Significance of UFFI:</w:t>
      </w:r>
      <w:r w:rsidR="008E51E1">
        <w:rPr>
          <w:rFonts w:ascii="Garamond" w:hAnsi="Garamond"/>
          <w:i/>
        </w:rPr>
        <w:t xml:space="preserve"> </w:t>
      </w:r>
      <w:r w:rsidR="008E51E1">
        <w:rPr>
          <w:rFonts w:ascii="Garamond" w:hAnsi="Garamond"/>
        </w:rPr>
        <w:t xml:space="preserve">Two-tailed z and t-tests were used to test the null hypothesis that the mean sale price of homes with UFFI </w:t>
      </w:r>
      <w:r w:rsidR="0095280B">
        <w:rPr>
          <w:rFonts w:ascii="Garamond" w:hAnsi="Garamond"/>
        </w:rPr>
        <w:t>(</w:t>
      </w:r>
      <w:r w:rsidR="00D237D8">
        <w:rPr>
          <w:rFonts w:ascii="Garamond" w:hAnsi="Garamond"/>
        </w:rPr>
        <w:t>~</w:t>
      </w:r>
      <w:r w:rsidR="0095280B">
        <w:rPr>
          <w:rFonts w:ascii="Garamond" w:hAnsi="Garamond"/>
        </w:rPr>
        <w:t>$</w:t>
      </w:r>
      <w:r w:rsidR="00D237D8">
        <w:rPr>
          <w:rFonts w:ascii="Garamond" w:hAnsi="Garamond"/>
        </w:rPr>
        <w:t xml:space="preserve">109,000) </w:t>
      </w:r>
      <w:r w:rsidR="008E51E1">
        <w:rPr>
          <w:rFonts w:ascii="Garamond" w:hAnsi="Garamond"/>
        </w:rPr>
        <w:t>was equal to the mean sale price of homes without UFFI</w:t>
      </w:r>
      <w:r w:rsidR="00D237D8">
        <w:rPr>
          <w:rFonts w:ascii="Garamond" w:hAnsi="Garamond"/>
        </w:rPr>
        <w:t xml:space="preserve"> (~$123,000)</w:t>
      </w:r>
      <w:r w:rsidR="008E51E1">
        <w:rPr>
          <w:rFonts w:ascii="Garamond" w:hAnsi="Garamond"/>
        </w:rPr>
        <w:t xml:space="preserve">.  </w:t>
      </w:r>
      <w:r w:rsidR="009B7B9A">
        <w:rPr>
          <w:rFonts w:ascii="Garamond" w:hAnsi="Garamond"/>
        </w:rPr>
        <w:t xml:space="preserve">In both cases the null hypothesis was rejected at a significance level of 0.05. The t-test presents a 95% confidence interval with lower bound $420 and upper bound $27,000. </w:t>
      </w:r>
      <w:r w:rsidR="000A7B82">
        <w:rPr>
          <w:rFonts w:ascii="Garamond" w:hAnsi="Garamond"/>
        </w:rPr>
        <w:t xml:space="preserve">This result implies that the difference in mean sale price of houses with and without UFFI is not </w:t>
      </w:r>
      <w:r w:rsidR="00D64B47">
        <w:rPr>
          <w:rFonts w:ascii="Garamond" w:hAnsi="Garamond"/>
        </w:rPr>
        <w:t>coincidental</w:t>
      </w:r>
      <w:r w:rsidR="000A7B82">
        <w:rPr>
          <w:rFonts w:ascii="Garamond" w:hAnsi="Garamond"/>
        </w:rPr>
        <w:t xml:space="preserve">, and should be investigated further. </w:t>
      </w:r>
    </w:p>
    <w:p w:rsidR="008F0751" w:rsidRDefault="002507F4" w:rsidP="00D02622">
      <w:pPr>
        <w:spacing w:line="360" w:lineRule="auto"/>
        <w:rPr>
          <w:rFonts w:ascii="Garamond" w:hAnsi="Garamond"/>
        </w:rPr>
      </w:pPr>
      <w:r>
        <w:rPr>
          <w:rFonts w:ascii="Garamond" w:hAnsi="Garamond"/>
          <w:i/>
        </w:rPr>
        <w:t xml:space="preserve">Correlation: </w:t>
      </w:r>
      <w:r>
        <w:rPr>
          <w:rFonts w:ascii="Garamond" w:hAnsi="Garamond"/>
        </w:rPr>
        <w:t xml:space="preserve">A multiple regression model was constructed to determine whether UFFI was a significant predictor variable of selling price when taken with the full set of variables. </w:t>
      </w:r>
      <w:r>
        <w:rPr>
          <w:rFonts w:ascii="Garamond" w:hAnsi="Garamond"/>
        </w:rPr>
        <w:t>Prior to building the model, the independent variables’ relationship with sale price was visually inspected.</w:t>
      </w:r>
      <w:r>
        <w:rPr>
          <w:rFonts w:ascii="Garamond" w:hAnsi="Garamond"/>
          <w:i/>
        </w:rPr>
        <w:t xml:space="preserve"> </w:t>
      </w:r>
      <w:r w:rsidR="00A26DDB">
        <w:rPr>
          <w:rFonts w:ascii="Garamond" w:hAnsi="Garamond"/>
        </w:rPr>
        <w:t>S</w:t>
      </w:r>
      <w:r>
        <w:rPr>
          <w:rFonts w:ascii="Garamond" w:hAnsi="Garamond"/>
        </w:rPr>
        <w:t>everal examples</w:t>
      </w:r>
      <w:r w:rsidR="00A26DDB">
        <w:rPr>
          <w:rFonts w:ascii="Garamond" w:hAnsi="Garamond"/>
        </w:rPr>
        <w:t xml:space="preserve"> are shown below</w:t>
      </w:r>
      <w:r w:rsidR="004B53DE">
        <w:rPr>
          <w:rFonts w:ascii="Garamond" w:hAnsi="Garamond"/>
        </w:rPr>
        <w:t>:</w:t>
      </w:r>
    </w:p>
    <w:p w:rsidR="008F0751" w:rsidRDefault="004B53DE" w:rsidP="00D02622">
      <w:pPr>
        <w:spacing w:line="360" w:lineRule="auto"/>
        <w:rPr>
          <w:rFonts w:ascii="Garamond" w:hAnsi="Garamond"/>
        </w:rPr>
      </w:pPr>
      <w:r>
        <w:rPr>
          <w:rFonts w:ascii="Helvetica" w:hAnsi="Helvetica" w:cs="Helvetica"/>
          <w:noProof/>
        </w:rPr>
        <w:drawing>
          <wp:inline distT="0" distB="0" distL="0" distR="0">
            <wp:extent cx="2815119" cy="173805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3984" cy="1749702"/>
                    </a:xfrm>
                    <a:prstGeom prst="rect">
                      <a:avLst/>
                    </a:prstGeom>
                    <a:noFill/>
                    <a:ln>
                      <a:noFill/>
                    </a:ln>
                  </pic:spPr>
                </pic:pic>
              </a:graphicData>
            </a:graphic>
          </wp:inline>
        </w:drawing>
      </w:r>
      <w:r w:rsidRPr="004B53DE">
        <w:rPr>
          <w:rFonts w:ascii="Helvetica" w:hAnsi="Helvetica" w:cs="Helvetica"/>
        </w:rPr>
        <w:t xml:space="preserve"> </w:t>
      </w:r>
      <w:r>
        <w:rPr>
          <w:rFonts w:ascii="Helvetica" w:hAnsi="Helvetica" w:cs="Helvetica"/>
          <w:noProof/>
        </w:rPr>
        <w:drawing>
          <wp:inline distT="0" distB="0" distL="0" distR="0">
            <wp:extent cx="2812941" cy="173671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7932" cy="1745966"/>
                    </a:xfrm>
                    <a:prstGeom prst="rect">
                      <a:avLst/>
                    </a:prstGeom>
                    <a:noFill/>
                    <a:ln>
                      <a:noFill/>
                    </a:ln>
                  </pic:spPr>
                </pic:pic>
              </a:graphicData>
            </a:graphic>
          </wp:inline>
        </w:drawing>
      </w:r>
    </w:p>
    <w:p w:rsidR="008F0751" w:rsidRDefault="004B53DE" w:rsidP="00D02622">
      <w:pPr>
        <w:spacing w:line="360" w:lineRule="auto"/>
        <w:rPr>
          <w:rFonts w:ascii="Helvetica" w:hAnsi="Helvetica" w:cs="Helvetica"/>
        </w:rPr>
      </w:pPr>
      <w:r>
        <w:rPr>
          <w:rFonts w:ascii="Helvetica" w:hAnsi="Helvetica" w:cs="Helvetica"/>
          <w:noProof/>
        </w:rPr>
        <w:drawing>
          <wp:inline distT="0" distB="0" distL="0" distR="0">
            <wp:extent cx="2814955" cy="1737953"/>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8975" cy="1746609"/>
                    </a:xfrm>
                    <a:prstGeom prst="rect">
                      <a:avLst/>
                    </a:prstGeom>
                    <a:noFill/>
                    <a:ln>
                      <a:noFill/>
                    </a:ln>
                  </pic:spPr>
                </pic:pic>
              </a:graphicData>
            </a:graphic>
          </wp:inline>
        </w:drawing>
      </w:r>
      <w:r w:rsidRPr="004B53DE">
        <w:rPr>
          <w:rFonts w:ascii="Helvetica" w:hAnsi="Helvetica" w:cs="Helvetica"/>
        </w:rPr>
        <w:t xml:space="preserve"> </w:t>
      </w:r>
      <w:r>
        <w:rPr>
          <w:rFonts w:ascii="Helvetica" w:hAnsi="Helvetica" w:cs="Helvetica"/>
          <w:noProof/>
        </w:rPr>
        <w:drawing>
          <wp:inline distT="0" distB="0" distL="0" distR="0">
            <wp:extent cx="2814955" cy="1737953"/>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9871" cy="1747162"/>
                    </a:xfrm>
                    <a:prstGeom prst="rect">
                      <a:avLst/>
                    </a:prstGeom>
                    <a:noFill/>
                    <a:ln>
                      <a:noFill/>
                    </a:ln>
                  </pic:spPr>
                </pic:pic>
              </a:graphicData>
            </a:graphic>
          </wp:inline>
        </w:drawing>
      </w:r>
    </w:p>
    <w:p w:rsidR="004B53DE" w:rsidRDefault="004B53DE" w:rsidP="00D02622">
      <w:pPr>
        <w:spacing w:line="360" w:lineRule="auto"/>
        <w:rPr>
          <w:rFonts w:ascii="Garamond" w:hAnsi="Garamond"/>
        </w:rPr>
      </w:pPr>
      <w:r>
        <w:rPr>
          <w:rFonts w:ascii="Helvetica" w:hAnsi="Helvetica" w:cs="Helvetica"/>
          <w:noProof/>
        </w:rPr>
        <w:drawing>
          <wp:inline distT="0" distB="0" distL="0" distR="0">
            <wp:extent cx="2814955" cy="1737954"/>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8028" cy="1758373"/>
                    </a:xfrm>
                    <a:prstGeom prst="rect">
                      <a:avLst/>
                    </a:prstGeom>
                    <a:noFill/>
                    <a:ln>
                      <a:noFill/>
                    </a:ln>
                  </pic:spPr>
                </pic:pic>
              </a:graphicData>
            </a:graphic>
          </wp:inline>
        </w:drawing>
      </w:r>
    </w:p>
    <w:p w:rsidR="008F0751" w:rsidRDefault="008F0751" w:rsidP="00D02622">
      <w:pPr>
        <w:spacing w:line="360" w:lineRule="auto"/>
        <w:rPr>
          <w:rFonts w:ascii="Garamond" w:hAnsi="Garamond"/>
        </w:rPr>
      </w:pPr>
    </w:p>
    <w:p w:rsidR="004B53DE" w:rsidRDefault="00524C7A" w:rsidP="004C0EB3">
      <w:pPr>
        <w:spacing w:line="360" w:lineRule="auto"/>
        <w:ind w:firstLine="720"/>
        <w:rPr>
          <w:rFonts w:ascii="Garamond" w:hAnsi="Garamond"/>
        </w:rPr>
      </w:pPr>
      <w:r>
        <w:rPr>
          <w:rFonts w:ascii="Garamond" w:hAnsi="Garamond"/>
        </w:rPr>
        <w:t>The graphs indicate that the strongest predictors of sale price appear to be year sold and living area, although each of the other variables display correlations as well.</w:t>
      </w:r>
    </w:p>
    <w:p w:rsidR="00647567" w:rsidRDefault="00881145" w:rsidP="00D02622">
      <w:pPr>
        <w:spacing w:line="360" w:lineRule="auto"/>
        <w:rPr>
          <w:rFonts w:ascii="Garamond" w:hAnsi="Garamond"/>
        </w:rPr>
      </w:pPr>
      <w:r>
        <w:rPr>
          <w:rFonts w:ascii="Garamond" w:hAnsi="Garamond"/>
          <w:i/>
        </w:rPr>
        <w:t>Model Construction</w:t>
      </w:r>
      <w:r w:rsidR="00575880">
        <w:rPr>
          <w:rFonts w:ascii="Garamond" w:hAnsi="Garamond"/>
          <w:i/>
        </w:rPr>
        <w:t>:</w:t>
      </w:r>
      <w:r w:rsidR="00575880">
        <w:rPr>
          <w:rFonts w:ascii="Garamond" w:hAnsi="Garamond"/>
        </w:rPr>
        <w:t xml:space="preserve"> </w:t>
      </w:r>
      <w:r w:rsidR="008A2C34">
        <w:rPr>
          <w:rFonts w:ascii="Garamond" w:hAnsi="Garamond"/>
        </w:rPr>
        <w:t xml:space="preserve">The </w:t>
      </w:r>
      <w:r w:rsidR="009946B4">
        <w:rPr>
          <w:rFonts w:ascii="Garamond" w:hAnsi="Garamond"/>
        </w:rPr>
        <w:t xml:space="preserve">multiple regression </w:t>
      </w:r>
      <w:r w:rsidR="008A2C34">
        <w:rPr>
          <w:rFonts w:ascii="Garamond" w:hAnsi="Garamond"/>
        </w:rPr>
        <w:t>model was formed using backward elimination, whereby the variable with the highest p-value greater than 0.05 was eliminated, until all remaining variables had p-values less than 0.05. Presence of UFFI was the last variable to be eliminated, with a p-value of 0.063 in the penultimate model. This result indicates that UFFI is on the cusp of being considered a significant predictor in our model. Notably, a larger sample size would likely reduce the p-value and allow for the inclusion of UFFI in our “ideal” model.</w:t>
      </w:r>
      <w:r w:rsidR="005C2779">
        <w:rPr>
          <w:rFonts w:ascii="Garamond" w:hAnsi="Garamond"/>
        </w:rPr>
        <w:t xml:space="preserve"> The four significant predictor variables were identified as year sold, basement area, living area, and enclosed parking spaces.</w:t>
      </w:r>
      <w:r w:rsidR="008F0751">
        <w:rPr>
          <w:rFonts w:ascii="Garamond" w:hAnsi="Garamond"/>
        </w:rPr>
        <w:t xml:space="preserve"> </w:t>
      </w:r>
    </w:p>
    <w:p w:rsidR="000872D3" w:rsidRDefault="000872D3" w:rsidP="00E33CF7">
      <w:pPr>
        <w:spacing w:line="360" w:lineRule="auto"/>
        <w:ind w:firstLine="720"/>
        <w:rPr>
          <w:rFonts w:ascii="Garamond" w:hAnsi="Garamond"/>
        </w:rPr>
      </w:pPr>
      <w:r>
        <w:rPr>
          <w:rFonts w:ascii="Garamond" w:hAnsi="Garamond"/>
        </w:rPr>
        <w:t>While we cannot confidently conclude that the coefficient of our model’s UFFI variable is not 0, we may use the model to estimate the effect of UFFI’s value on the sale price of a home. According to the mod</w:t>
      </w:r>
      <w:r w:rsidR="005C2779">
        <w:rPr>
          <w:rFonts w:ascii="Garamond" w:hAnsi="Garamond"/>
        </w:rPr>
        <w:t xml:space="preserve">el, UFFI has negative effect of about $7000 (with standard error of $3500) when taking into account the four significant predictor variables identified above. </w:t>
      </w:r>
    </w:p>
    <w:p w:rsidR="00B75665" w:rsidRDefault="00B75665" w:rsidP="00B75665">
      <w:pPr>
        <w:spacing w:line="360" w:lineRule="auto"/>
        <w:rPr>
          <w:rFonts w:ascii="Garamond" w:hAnsi="Garamond"/>
        </w:rPr>
      </w:pPr>
      <w:r>
        <w:rPr>
          <w:rFonts w:ascii="Garamond" w:hAnsi="Garamond"/>
          <w:i/>
        </w:rPr>
        <w:t>Model Validation:</w:t>
      </w:r>
      <w:r w:rsidR="00097008">
        <w:rPr>
          <w:rFonts w:ascii="Garamond" w:hAnsi="Garamond"/>
          <w:i/>
        </w:rPr>
        <w:t xml:space="preserve"> </w:t>
      </w:r>
      <w:r w:rsidR="00564C20">
        <w:rPr>
          <w:rFonts w:ascii="Garamond" w:hAnsi="Garamond"/>
        </w:rPr>
        <w:t>Note that d</w:t>
      </w:r>
      <w:r w:rsidR="00097008">
        <w:rPr>
          <w:rFonts w:ascii="Garamond" w:hAnsi="Garamond"/>
        </w:rPr>
        <w:t xml:space="preserve">ue to the small sample size, the model was validating using the same data as for training. </w:t>
      </w:r>
      <w:r w:rsidR="00564C20">
        <w:rPr>
          <w:rFonts w:ascii="Garamond" w:hAnsi="Garamond"/>
        </w:rPr>
        <w:t>This</w:t>
      </w:r>
      <w:r w:rsidR="00097008">
        <w:rPr>
          <w:rFonts w:ascii="Garamond" w:hAnsi="Garamond"/>
        </w:rPr>
        <w:t xml:space="preserve"> type of analysis may lead to overfitting, and could be remedied by performing k-fold cross-validation as part of a deeper analysis.</w:t>
      </w:r>
    </w:p>
    <w:p w:rsidR="006F5E4D" w:rsidRDefault="006F5E4D" w:rsidP="00B75665">
      <w:pPr>
        <w:spacing w:line="360" w:lineRule="auto"/>
        <w:rPr>
          <w:rFonts w:ascii="Garamond" w:hAnsi="Garamond"/>
        </w:rPr>
      </w:pPr>
      <w:r>
        <w:rPr>
          <w:rFonts w:ascii="Garamond" w:hAnsi="Garamond"/>
        </w:rPr>
        <w:tab/>
        <w:t>The errors (residuals) from comparing our model’s estimates to actual values do not appear to follow any particular pattern, indicating that the model does not have any obvious flaws. A quantile-quantile plot offers supporting evidence that the underlying distribution of our model’s predictions matches that of the actual sale price data.</w:t>
      </w:r>
    </w:p>
    <w:p w:rsidR="006F5E4D" w:rsidRPr="00097008" w:rsidRDefault="006F5E4D" w:rsidP="00B75665">
      <w:pPr>
        <w:spacing w:line="360" w:lineRule="auto"/>
        <w:rPr>
          <w:rFonts w:ascii="Garamond" w:hAnsi="Garamond"/>
        </w:rPr>
      </w:pPr>
      <w:r>
        <w:rPr>
          <w:rFonts w:ascii="Helvetica" w:hAnsi="Helvetica" w:cs="Helvetica"/>
          <w:noProof/>
        </w:rPr>
        <w:drawing>
          <wp:inline distT="0" distB="0" distL="0" distR="0">
            <wp:extent cx="2825393" cy="174739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5816" cy="1760030"/>
                    </a:xfrm>
                    <a:prstGeom prst="rect">
                      <a:avLst/>
                    </a:prstGeom>
                    <a:noFill/>
                    <a:ln>
                      <a:noFill/>
                    </a:ln>
                  </pic:spPr>
                </pic:pic>
              </a:graphicData>
            </a:graphic>
          </wp:inline>
        </w:drawing>
      </w:r>
      <w:r w:rsidRPr="006F5E4D">
        <w:rPr>
          <w:rFonts w:ascii="Helvetica" w:hAnsi="Helvetica" w:cs="Helvetica"/>
        </w:rPr>
        <w:t xml:space="preserve"> </w:t>
      </w:r>
      <w:r>
        <w:rPr>
          <w:rFonts w:ascii="Helvetica" w:hAnsi="Helvetica" w:cs="Helvetica"/>
          <w:noProof/>
        </w:rPr>
        <w:drawing>
          <wp:inline distT="0" distB="0" distL="0" distR="0">
            <wp:extent cx="2743200" cy="169656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9912" cy="1706902"/>
                    </a:xfrm>
                    <a:prstGeom prst="rect">
                      <a:avLst/>
                    </a:prstGeom>
                    <a:noFill/>
                    <a:ln>
                      <a:noFill/>
                    </a:ln>
                  </pic:spPr>
                </pic:pic>
              </a:graphicData>
            </a:graphic>
          </wp:inline>
        </w:drawing>
      </w:r>
    </w:p>
    <w:p w:rsidR="00C34A5F" w:rsidRDefault="00C34A5F" w:rsidP="00C34A5F">
      <w:pPr>
        <w:spacing w:line="360" w:lineRule="auto"/>
        <w:rPr>
          <w:rFonts w:ascii="Garamond" w:hAnsi="Garamond"/>
          <w:i/>
        </w:rPr>
      </w:pPr>
    </w:p>
    <w:p w:rsidR="00C34A5F" w:rsidRPr="00C34A5F" w:rsidRDefault="00AB220C" w:rsidP="00C34A5F">
      <w:pPr>
        <w:spacing w:line="360" w:lineRule="auto"/>
        <w:rPr>
          <w:rFonts w:ascii="Garamond" w:hAnsi="Garamond"/>
        </w:rPr>
      </w:pPr>
      <w:r w:rsidRPr="00C34A5F">
        <w:rPr>
          <w:rFonts w:ascii="Garamond" w:hAnsi="Garamond"/>
          <w:i/>
        </w:rPr>
        <w:t>Applying the model:</w:t>
      </w:r>
      <w:r w:rsidRPr="00C34A5F">
        <w:rPr>
          <w:rFonts w:ascii="Garamond" w:hAnsi="Garamond"/>
        </w:rPr>
        <w:t xml:space="preserve"> </w:t>
      </w:r>
      <w:r w:rsidR="00C34A5F" w:rsidRPr="00C34A5F">
        <w:rPr>
          <w:rFonts w:ascii="Garamond" w:hAnsi="Garamond"/>
        </w:rPr>
        <w:t>To understand the potential flaws and usefulness of the model, consider a house with the following characteristics:</w:t>
      </w:r>
    </w:p>
    <w:p w:rsidR="00C34A5F" w:rsidRPr="00C34A5F" w:rsidRDefault="00C34A5F" w:rsidP="00C34A5F">
      <w:pPr>
        <w:pStyle w:val="ListParagraph"/>
        <w:numPr>
          <w:ilvl w:val="0"/>
          <w:numId w:val="2"/>
        </w:numPr>
        <w:rPr>
          <w:rFonts w:ascii="Garamond" w:hAnsi="Garamond"/>
        </w:rPr>
      </w:pPr>
      <w:r w:rsidRPr="00C34A5F">
        <w:rPr>
          <w:rFonts w:ascii="Garamond" w:hAnsi="Garamond"/>
        </w:rPr>
        <w:t>older than 45 years</w:t>
      </w:r>
    </w:p>
    <w:p w:rsidR="00C34A5F" w:rsidRPr="00C34A5F" w:rsidRDefault="00C34A5F" w:rsidP="00C34A5F">
      <w:pPr>
        <w:pStyle w:val="ListParagraph"/>
        <w:numPr>
          <w:ilvl w:val="0"/>
          <w:numId w:val="2"/>
        </w:numPr>
        <w:rPr>
          <w:rFonts w:ascii="Garamond" w:hAnsi="Garamond"/>
        </w:rPr>
      </w:pPr>
      <w:r w:rsidRPr="00C34A5F">
        <w:rPr>
          <w:rFonts w:ascii="Garamond" w:hAnsi="Garamond"/>
        </w:rPr>
        <w:lastRenderedPageBreak/>
        <w:t>doesn’t have a finished basement</w:t>
      </w:r>
    </w:p>
    <w:p w:rsidR="00C34A5F" w:rsidRPr="00C34A5F" w:rsidRDefault="00C34A5F" w:rsidP="00C34A5F">
      <w:pPr>
        <w:pStyle w:val="ListParagraph"/>
        <w:numPr>
          <w:ilvl w:val="0"/>
          <w:numId w:val="2"/>
        </w:numPr>
        <w:rPr>
          <w:rFonts w:ascii="Garamond" w:hAnsi="Garamond"/>
        </w:rPr>
      </w:pPr>
      <w:r w:rsidRPr="00C34A5F">
        <w:rPr>
          <w:rFonts w:ascii="Garamond" w:hAnsi="Garamond"/>
        </w:rPr>
        <w:t>has a lot area of 5000 square feet</w:t>
      </w:r>
    </w:p>
    <w:p w:rsidR="00C34A5F" w:rsidRPr="00C34A5F" w:rsidRDefault="00C34A5F" w:rsidP="00C34A5F">
      <w:pPr>
        <w:pStyle w:val="ListParagraph"/>
        <w:numPr>
          <w:ilvl w:val="0"/>
          <w:numId w:val="2"/>
        </w:numPr>
        <w:rPr>
          <w:rFonts w:ascii="Garamond" w:hAnsi="Garamond"/>
        </w:rPr>
      </w:pPr>
      <w:r w:rsidRPr="00C34A5F">
        <w:rPr>
          <w:rFonts w:ascii="Garamond" w:hAnsi="Garamond"/>
        </w:rPr>
        <w:t>has a brick exterior</w:t>
      </w:r>
    </w:p>
    <w:p w:rsidR="00C34A5F" w:rsidRPr="00C34A5F" w:rsidRDefault="00C34A5F" w:rsidP="00C34A5F">
      <w:pPr>
        <w:pStyle w:val="ListParagraph"/>
        <w:numPr>
          <w:ilvl w:val="0"/>
          <w:numId w:val="2"/>
        </w:numPr>
        <w:rPr>
          <w:rFonts w:ascii="Garamond" w:hAnsi="Garamond"/>
        </w:rPr>
      </w:pPr>
      <w:r w:rsidRPr="00C34A5F">
        <w:rPr>
          <w:rFonts w:ascii="Garamond" w:hAnsi="Garamond"/>
        </w:rPr>
        <w:t>2 enclosed parking spaces</w:t>
      </w:r>
    </w:p>
    <w:p w:rsidR="00C34A5F" w:rsidRPr="00C34A5F" w:rsidRDefault="00C34A5F" w:rsidP="00C34A5F">
      <w:pPr>
        <w:pStyle w:val="ListParagraph"/>
        <w:numPr>
          <w:ilvl w:val="0"/>
          <w:numId w:val="2"/>
        </w:numPr>
        <w:rPr>
          <w:rFonts w:ascii="Garamond" w:hAnsi="Garamond"/>
        </w:rPr>
      </w:pPr>
      <w:r w:rsidRPr="00C34A5F">
        <w:rPr>
          <w:rFonts w:ascii="Garamond" w:hAnsi="Garamond"/>
        </w:rPr>
        <w:t>1700 square feet of living space</w:t>
      </w:r>
    </w:p>
    <w:p w:rsidR="00C34A5F" w:rsidRPr="00C34A5F" w:rsidRDefault="00C34A5F" w:rsidP="00C34A5F">
      <w:pPr>
        <w:pStyle w:val="ListParagraph"/>
        <w:numPr>
          <w:ilvl w:val="0"/>
          <w:numId w:val="2"/>
        </w:numPr>
        <w:rPr>
          <w:rFonts w:ascii="Garamond" w:hAnsi="Garamond"/>
        </w:rPr>
      </w:pPr>
      <w:r w:rsidRPr="00C34A5F">
        <w:rPr>
          <w:rFonts w:ascii="Garamond" w:hAnsi="Garamond"/>
        </w:rPr>
        <w:t>central air</w:t>
      </w:r>
    </w:p>
    <w:p w:rsidR="00AB220C" w:rsidRDefault="00C34A5F" w:rsidP="00C34A5F">
      <w:pPr>
        <w:pStyle w:val="ListParagraph"/>
        <w:numPr>
          <w:ilvl w:val="0"/>
          <w:numId w:val="2"/>
        </w:numPr>
        <w:spacing w:line="360" w:lineRule="auto"/>
        <w:rPr>
          <w:rFonts w:ascii="Garamond" w:hAnsi="Garamond"/>
        </w:rPr>
      </w:pPr>
      <w:r w:rsidRPr="00C34A5F">
        <w:rPr>
          <w:rFonts w:ascii="Garamond" w:hAnsi="Garamond"/>
        </w:rPr>
        <w:t>no pool</w:t>
      </w:r>
    </w:p>
    <w:p w:rsidR="002928BA" w:rsidRDefault="009222FC" w:rsidP="009222FC">
      <w:pPr>
        <w:spacing w:line="360" w:lineRule="auto"/>
        <w:rPr>
          <w:rFonts w:ascii="Garamond" w:hAnsi="Garamond"/>
        </w:rPr>
      </w:pPr>
      <w:r>
        <w:rPr>
          <w:rFonts w:ascii="Garamond" w:hAnsi="Garamond"/>
        </w:rPr>
        <w:t xml:space="preserve">A key missing data point </w:t>
      </w:r>
      <w:r w:rsidR="004C0EB3">
        <w:rPr>
          <w:rFonts w:ascii="Garamond" w:hAnsi="Garamond"/>
        </w:rPr>
        <w:t xml:space="preserve">in this case </w:t>
      </w:r>
      <w:r>
        <w:rPr>
          <w:rFonts w:ascii="Garamond" w:hAnsi="Garamond"/>
        </w:rPr>
        <w:t xml:space="preserve">is the year in which the property was sold. </w:t>
      </w:r>
      <w:r w:rsidRPr="009222FC">
        <w:rPr>
          <w:rFonts w:ascii="Garamond" w:hAnsi="Garamond"/>
        </w:rPr>
        <w:t>The price of a house depends heavily on the time when it is sold - for example, a house sold in 2006 shortly before the housing market crash of 2008 would have a much different valuation two years later.</w:t>
      </w:r>
      <w:r>
        <w:rPr>
          <w:rFonts w:ascii="Garamond" w:hAnsi="Garamond"/>
        </w:rPr>
        <w:t xml:space="preserve"> For this reason, we should specify a year. To illustrate this point, we examine the expected </w:t>
      </w:r>
      <w:r w:rsidR="0080337D">
        <w:rPr>
          <w:rFonts w:ascii="Garamond" w:hAnsi="Garamond"/>
        </w:rPr>
        <w:t>sale price for the same home</w:t>
      </w:r>
      <w:r>
        <w:rPr>
          <w:rFonts w:ascii="Garamond" w:hAnsi="Garamond"/>
        </w:rPr>
        <w:t xml:space="preserve"> </w:t>
      </w:r>
      <w:r w:rsidR="0080337D">
        <w:rPr>
          <w:rFonts w:ascii="Garamond" w:hAnsi="Garamond"/>
        </w:rPr>
        <w:t>in</w:t>
      </w:r>
      <w:r>
        <w:rPr>
          <w:rFonts w:ascii="Garamond" w:hAnsi="Garamond"/>
        </w:rPr>
        <w:t xml:space="preserve"> 2009, 2012, and 2016</w:t>
      </w:r>
      <w:r w:rsidR="007302D3">
        <w:rPr>
          <w:rFonts w:ascii="Garamond" w:hAnsi="Garamond"/>
        </w:rPr>
        <w:t>, according to our model</w:t>
      </w:r>
      <w:r w:rsidR="002928BA">
        <w:rPr>
          <w:rFonts w:ascii="Garamond" w:hAnsi="Garamond"/>
        </w:rPr>
        <w:t>.</w:t>
      </w:r>
    </w:p>
    <w:tbl>
      <w:tblPr>
        <w:tblW w:w="7800" w:type="dxa"/>
        <w:tblInd w:w="-114" w:type="dxa"/>
        <w:tblBorders>
          <w:top w:val="nil"/>
          <w:left w:val="nil"/>
          <w:right w:val="nil"/>
        </w:tblBorders>
        <w:tblLayout w:type="fixed"/>
        <w:tblLook w:val="0000" w:firstRow="0" w:lastRow="0" w:firstColumn="0" w:lastColumn="0" w:noHBand="0" w:noVBand="0"/>
      </w:tblPr>
      <w:tblGrid>
        <w:gridCol w:w="1286"/>
        <w:gridCol w:w="1984"/>
        <w:gridCol w:w="1984"/>
        <w:gridCol w:w="2517"/>
        <w:gridCol w:w="29"/>
      </w:tblGrid>
      <w:tr w:rsidR="005D1759" w:rsidRPr="005D1759" w:rsidTr="005D1759">
        <w:tblPrEx>
          <w:tblCellMar>
            <w:top w:w="0" w:type="dxa"/>
            <w:bottom w:w="0" w:type="dxa"/>
          </w:tblCellMar>
        </w:tblPrEx>
        <w:tc>
          <w:tcPr>
            <w:tcW w:w="7800" w:type="dxa"/>
            <w:gridSpan w:val="5"/>
            <w:tcBorders>
              <w:top w:val="single" w:sz="5" w:space="0" w:color="auto"/>
              <w:left w:val="single" w:sz="5" w:space="0" w:color="auto"/>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Without UFFI</w:t>
            </w:r>
          </w:p>
        </w:tc>
      </w:tr>
      <w:tr w:rsidR="005D1759" w:rsidRPr="005D1759" w:rsidTr="005D1759">
        <w:tblPrEx>
          <w:tblBorders>
            <w:top w:val="none" w:sz="0" w:space="0" w:color="auto"/>
          </w:tblBorders>
          <w:tblCellMar>
            <w:top w:w="0" w:type="dxa"/>
            <w:bottom w:w="0" w:type="dxa"/>
          </w:tblCellMar>
        </w:tblPrEx>
        <w:trPr>
          <w:gridAfter w:val="1"/>
          <w:wAfter w:w="29" w:type="dxa"/>
        </w:trPr>
        <w:tc>
          <w:tcPr>
            <w:tcW w:w="1286" w:type="dxa"/>
            <w:tcBorders>
              <w:left w:val="single" w:sz="5" w:space="0" w:color="auto"/>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Year Sold</w:t>
            </w:r>
          </w:p>
        </w:tc>
        <w:tc>
          <w:tcPr>
            <w:tcW w:w="1984"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Estimate</w:t>
            </w:r>
          </w:p>
        </w:tc>
        <w:tc>
          <w:tcPr>
            <w:tcW w:w="1984"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Lower bound</w:t>
            </w:r>
          </w:p>
        </w:tc>
        <w:tc>
          <w:tcPr>
            <w:tcW w:w="2517"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Upper bound</w:t>
            </w:r>
          </w:p>
        </w:tc>
      </w:tr>
      <w:tr w:rsidR="005D1759" w:rsidRPr="005D1759" w:rsidTr="005D1759">
        <w:tblPrEx>
          <w:tblBorders>
            <w:top w:val="none" w:sz="0" w:space="0" w:color="auto"/>
          </w:tblBorders>
          <w:tblCellMar>
            <w:top w:w="0" w:type="dxa"/>
            <w:bottom w:w="0" w:type="dxa"/>
          </w:tblCellMar>
        </w:tblPrEx>
        <w:trPr>
          <w:gridAfter w:val="1"/>
          <w:wAfter w:w="29" w:type="dxa"/>
        </w:trPr>
        <w:tc>
          <w:tcPr>
            <w:tcW w:w="1286" w:type="dxa"/>
            <w:tcBorders>
              <w:left w:val="single" w:sz="5" w:space="0" w:color="auto"/>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2009</w:t>
            </w:r>
          </w:p>
        </w:tc>
        <w:tc>
          <w:tcPr>
            <w:tcW w:w="1984"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149,129.00</w:t>
            </w:r>
          </w:p>
        </w:tc>
        <w:tc>
          <w:tcPr>
            <w:tcW w:w="1984"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117,419.10</w:t>
            </w:r>
          </w:p>
        </w:tc>
        <w:tc>
          <w:tcPr>
            <w:tcW w:w="2517"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180,838.80</w:t>
            </w:r>
          </w:p>
        </w:tc>
      </w:tr>
      <w:tr w:rsidR="005D1759" w:rsidRPr="005D1759" w:rsidTr="005D1759">
        <w:tblPrEx>
          <w:tblBorders>
            <w:top w:val="none" w:sz="0" w:space="0" w:color="auto"/>
          </w:tblBorders>
          <w:tblCellMar>
            <w:top w:w="0" w:type="dxa"/>
            <w:bottom w:w="0" w:type="dxa"/>
          </w:tblCellMar>
        </w:tblPrEx>
        <w:trPr>
          <w:gridAfter w:val="1"/>
          <w:wAfter w:w="29" w:type="dxa"/>
        </w:trPr>
        <w:tc>
          <w:tcPr>
            <w:tcW w:w="1286" w:type="dxa"/>
            <w:tcBorders>
              <w:left w:val="single" w:sz="5" w:space="0" w:color="auto"/>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2012</w:t>
            </w:r>
          </w:p>
        </w:tc>
        <w:tc>
          <w:tcPr>
            <w:tcW w:w="1984"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165,702.90</w:t>
            </w:r>
          </w:p>
        </w:tc>
        <w:tc>
          <w:tcPr>
            <w:tcW w:w="1984"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135,015.50</w:t>
            </w:r>
          </w:p>
        </w:tc>
        <w:tc>
          <w:tcPr>
            <w:tcW w:w="2517"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196,390.20</w:t>
            </w:r>
          </w:p>
        </w:tc>
      </w:tr>
      <w:tr w:rsidR="005D1759" w:rsidRPr="005D1759" w:rsidTr="005D1759">
        <w:tblPrEx>
          <w:tblCellMar>
            <w:top w:w="0" w:type="dxa"/>
            <w:bottom w:w="0" w:type="dxa"/>
          </w:tblCellMar>
        </w:tblPrEx>
        <w:trPr>
          <w:gridAfter w:val="1"/>
          <w:wAfter w:w="29" w:type="dxa"/>
        </w:trPr>
        <w:tc>
          <w:tcPr>
            <w:tcW w:w="1286" w:type="dxa"/>
            <w:tcBorders>
              <w:left w:val="single" w:sz="5" w:space="0" w:color="auto"/>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2016</w:t>
            </w:r>
          </w:p>
        </w:tc>
        <w:tc>
          <w:tcPr>
            <w:tcW w:w="1984"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187,801.40</w:t>
            </w:r>
          </w:p>
        </w:tc>
        <w:tc>
          <w:tcPr>
            <w:tcW w:w="1984"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157,514.70</w:t>
            </w:r>
          </w:p>
        </w:tc>
        <w:tc>
          <w:tcPr>
            <w:tcW w:w="2517"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218,088.10</w:t>
            </w:r>
          </w:p>
        </w:tc>
      </w:tr>
    </w:tbl>
    <w:p w:rsidR="005D1759" w:rsidRDefault="005D1759" w:rsidP="009C32AC">
      <w:pPr>
        <w:spacing w:line="360" w:lineRule="auto"/>
        <w:jc w:val="center"/>
        <w:rPr>
          <w:rFonts w:ascii="Garamond" w:hAnsi="Garamond"/>
        </w:rPr>
      </w:pPr>
    </w:p>
    <w:tbl>
      <w:tblPr>
        <w:tblW w:w="7848" w:type="dxa"/>
        <w:tblInd w:w="-114" w:type="dxa"/>
        <w:tblBorders>
          <w:top w:val="nil"/>
          <w:left w:val="nil"/>
          <w:right w:val="nil"/>
        </w:tblBorders>
        <w:tblLayout w:type="fixed"/>
        <w:tblLook w:val="0000" w:firstRow="0" w:lastRow="0" w:firstColumn="0" w:lastColumn="0" w:noHBand="0" w:noVBand="0"/>
      </w:tblPr>
      <w:tblGrid>
        <w:gridCol w:w="1369"/>
        <w:gridCol w:w="1889"/>
        <w:gridCol w:w="1980"/>
        <w:gridCol w:w="2610"/>
      </w:tblGrid>
      <w:tr w:rsidR="005D1759" w:rsidRPr="005D1759" w:rsidTr="005D1759">
        <w:tblPrEx>
          <w:tblCellMar>
            <w:top w:w="0" w:type="dxa"/>
            <w:bottom w:w="0" w:type="dxa"/>
          </w:tblCellMar>
        </w:tblPrEx>
        <w:tc>
          <w:tcPr>
            <w:tcW w:w="7848" w:type="dxa"/>
            <w:gridSpan w:val="4"/>
            <w:tcBorders>
              <w:top w:val="single" w:sz="5" w:space="0" w:color="auto"/>
              <w:left w:val="single" w:sz="5" w:space="0" w:color="auto"/>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With UFFI</w:t>
            </w:r>
          </w:p>
        </w:tc>
      </w:tr>
      <w:tr w:rsidR="005D1759" w:rsidRPr="005D1759" w:rsidTr="005D1759">
        <w:tblPrEx>
          <w:tblBorders>
            <w:top w:val="none" w:sz="0" w:space="0" w:color="auto"/>
          </w:tblBorders>
          <w:tblCellMar>
            <w:top w:w="0" w:type="dxa"/>
            <w:bottom w:w="0" w:type="dxa"/>
          </w:tblCellMar>
        </w:tblPrEx>
        <w:tc>
          <w:tcPr>
            <w:tcW w:w="1369" w:type="dxa"/>
            <w:tcBorders>
              <w:left w:val="single" w:sz="5" w:space="0" w:color="auto"/>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Year Sold</w:t>
            </w:r>
          </w:p>
        </w:tc>
        <w:tc>
          <w:tcPr>
            <w:tcW w:w="1889"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Estimate</w:t>
            </w:r>
          </w:p>
        </w:tc>
        <w:tc>
          <w:tcPr>
            <w:tcW w:w="1980"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Lower bound</w:t>
            </w:r>
          </w:p>
        </w:tc>
        <w:tc>
          <w:tcPr>
            <w:tcW w:w="2610"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Upper bound</w:t>
            </w:r>
          </w:p>
        </w:tc>
      </w:tr>
      <w:tr w:rsidR="005D1759" w:rsidRPr="005D1759" w:rsidTr="005D1759">
        <w:tblPrEx>
          <w:tblBorders>
            <w:top w:val="none" w:sz="0" w:space="0" w:color="auto"/>
          </w:tblBorders>
          <w:tblCellMar>
            <w:top w:w="0" w:type="dxa"/>
            <w:bottom w:w="0" w:type="dxa"/>
          </w:tblCellMar>
        </w:tblPrEx>
        <w:tc>
          <w:tcPr>
            <w:tcW w:w="1369" w:type="dxa"/>
            <w:tcBorders>
              <w:left w:val="single" w:sz="5" w:space="0" w:color="auto"/>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2009</w:t>
            </w:r>
          </w:p>
        </w:tc>
        <w:tc>
          <w:tcPr>
            <w:tcW w:w="1889"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142,361.30</w:t>
            </w:r>
          </w:p>
        </w:tc>
        <w:tc>
          <w:tcPr>
            <w:tcW w:w="1980"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110,589.10</w:t>
            </w:r>
          </w:p>
        </w:tc>
        <w:tc>
          <w:tcPr>
            <w:tcW w:w="2610"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174,133.40</w:t>
            </w:r>
          </w:p>
        </w:tc>
      </w:tr>
      <w:tr w:rsidR="005D1759" w:rsidRPr="005D1759" w:rsidTr="005D1759">
        <w:tblPrEx>
          <w:tblBorders>
            <w:top w:val="none" w:sz="0" w:space="0" w:color="auto"/>
          </w:tblBorders>
          <w:tblCellMar>
            <w:top w:w="0" w:type="dxa"/>
            <w:bottom w:w="0" w:type="dxa"/>
          </w:tblCellMar>
        </w:tblPrEx>
        <w:tc>
          <w:tcPr>
            <w:tcW w:w="1369" w:type="dxa"/>
            <w:tcBorders>
              <w:left w:val="single" w:sz="5" w:space="0" w:color="auto"/>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2012</w:t>
            </w:r>
          </w:p>
        </w:tc>
        <w:tc>
          <w:tcPr>
            <w:tcW w:w="1889"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158,935.20</w:t>
            </w:r>
          </w:p>
        </w:tc>
        <w:tc>
          <w:tcPr>
            <w:tcW w:w="1980"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127,978.40</w:t>
            </w:r>
          </w:p>
        </w:tc>
        <w:tc>
          <w:tcPr>
            <w:tcW w:w="2610"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189,891.90</w:t>
            </w:r>
          </w:p>
        </w:tc>
      </w:tr>
      <w:tr w:rsidR="005D1759" w:rsidRPr="005D1759" w:rsidTr="005D1759">
        <w:tblPrEx>
          <w:tblCellMar>
            <w:top w:w="0" w:type="dxa"/>
            <w:bottom w:w="0" w:type="dxa"/>
          </w:tblCellMar>
        </w:tblPrEx>
        <w:tc>
          <w:tcPr>
            <w:tcW w:w="1369" w:type="dxa"/>
            <w:tcBorders>
              <w:left w:val="single" w:sz="5" w:space="0" w:color="auto"/>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2016</w:t>
            </w:r>
          </w:p>
        </w:tc>
        <w:tc>
          <w:tcPr>
            <w:tcW w:w="1889"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181,033.70</w:t>
            </w:r>
          </w:p>
        </w:tc>
        <w:tc>
          <w:tcPr>
            <w:tcW w:w="1980"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150,199.30</w:t>
            </w:r>
          </w:p>
        </w:tc>
        <w:tc>
          <w:tcPr>
            <w:tcW w:w="2610" w:type="dxa"/>
            <w:tcBorders>
              <w:bottom w:val="single" w:sz="5" w:space="0" w:color="auto"/>
              <w:right w:val="single" w:sz="5" w:space="0" w:color="auto"/>
            </w:tcBorders>
            <w:vAlign w:val="bottom"/>
          </w:tcPr>
          <w:p w:rsidR="005D1759" w:rsidRPr="005D1759" w:rsidRDefault="005D1759" w:rsidP="009C32AC">
            <w:pPr>
              <w:autoSpaceDE w:val="0"/>
              <w:autoSpaceDN w:val="0"/>
              <w:adjustRightInd w:val="0"/>
              <w:spacing w:line="360" w:lineRule="atLeast"/>
              <w:jc w:val="center"/>
              <w:rPr>
                <w:rFonts w:ascii="Garamond" w:hAnsi="Garamond" w:cs="Garamond"/>
              </w:rPr>
            </w:pPr>
            <w:r w:rsidRPr="005D1759">
              <w:rPr>
                <w:rFonts w:ascii="Garamond" w:hAnsi="Garamond" w:cs="Garamond"/>
              </w:rPr>
              <w:t>211,868.10</w:t>
            </w:r>
          </w:p>
        </w:tc>
      </w:tr>
    </w:tbl>
    <w:p w:rsidR="005D1759" w:rsidRDefault="005D1759" w:rsidP="009222FC">
      <w:pPr>
        <w:spacing w:line="360" w:lineRule="auto"/>
        <w:rPr>
          <w:rFonts w:ascii="Garamond" w:hAnsi="Garamond"/>
        </w:rPr>
      </w:pPr>
    </w:p>
    <w:p w:rsidR="001E2BB9" w:rsidRPr="001E2BB9" w:rsidRDefault="001E2BB9" w:rsidP="001E2BB9">
      <w:pPr>
        <w:spacing w:line="360" w:lineRule="auto"/>
        <w:ind w:firstLine="720"/>
        <w:rPr>
          <w:rFonts w:ascii="Garamond" w:hAnsi="Garamond"/>
        </w:rPr>
      </w:pPr>
      <w:r>
        <w:rPr>
          <w:rFonts w:ascii="Garamond" w:hAnsi="Garamond"/>
        </w:rPr>
        <w:t xml:space="preserve">Clearly, the expected sales price of a house depends heavily on when it was purchased. </w:t>
      </w:r>
      <w:r w:rsidRPr="001E2BB9">
        <w:rPr>
          <w:rFonts w:ascii="Garamond" w:hAnsi="Garamond"/>
        </w:rPr>
        <w:t xml:space="preserve">If $215,000 was paid for this </w:t>
      </w:r>
      <w:r>
        <w:rPr>
          <w:rFonts w:ascii="Garamond" w:hAnsi="Garamond"/>
        </w:rPr>
        <w:t xml:space="preserve">particular </w:t>
      </w:r>
      <w:r w:rsidRPr="001E2BB9">
        <w:rPr>
          <w:rFonts w:ascii="Garamond" w:hAnsi="Garamond"/>
        </w:rPr>
        <w:t>home</w:t>
      </w:r>
      <w:r>
        <w:rPr>
          <w:rFonts w:ascii="Garamond" w:hAnsi="Garamond"/>
        </w:rPr>
        <w:t>,</w:t>
      </w:r>
      <w:r w:rsidRPr="001E2BB9">
        <w:rPr>
          <w:rFonts w:ascii="Garamond" w:hAnsi="Garamond"/>
        </w:rPr>
        <w:t xml:space="preserve"> the amount of overpayment depends largely on how we define overpayment, and is complicated by when a house is sold. For example, we must take into account the real value of money: $1000 in 1980 was worth more than $1000 today. If two houses sold for the same price, but 20 years apart, the "real" sales price (adjusted for inflation) would be different.</w:t>
      </w:r>
    </w:p>
    <w:p w:rsidR="001E2BB9" w:rsidRPr="001E2BB9" w:rsidRDefault="001E2BB9" w:rsidP="001E2BB9">
      <w:pPr>
        <w:spacing w:line="360" w:lineRule="auto"/>
        <w:rPr>
          <w:rFonts w:ascii="Garamond" w:hAnsi="Garamond"/>
        </w:rPr>
      </w:pPr>
      <w:r w:rsidRPr="001E2BB9">
        <w:rPr>
          <w:rFonts w:ascii="Garamond" w:hAnsi="Garamond"/>
        </w:rPr>
        <w:t xml:space="preserve">    </w:t>
      </w:r>
      <w:r>
        <w:rPr>
          <w:rFonts w:ascii="Garamond" w:hAnsi="Garamond"/>
        </w:rPr>
        <w:tab/>
      </w:r>
      <w:r w:rsidRPr="001E2BB9">
        <w:rPr>
          <w:rFonts w:ascii="Garamond" w:hAnsi="Garamond"/>
        </w:rPr>
        <w:t>We must also take into consideration market cycles</w:t>
      </w:r>
      <w:r w:rsidR="00296363">
        <w:rPr>
          <w:rFonts w:ascii="Garamond" w:hAnsi="Garamond"/>
        </w:rPr>
        <w:t>. As discussed previously, the s</w:t>
      </w:r>
      <w:r w:rsidRPr="001E2BB9">
        <w:rPr>
          <w:rFonts w:ascii="Garamond" w:hAnsi="Garamond"/>
        </w:rPr>
        <w:t xml:space="preserve">ale </w:t>
      </w:r>
      <w:r w:rsidR="00296363">
        <w:rPr>
          <w:rFonts w:ascii="Garamond" w:hAnsi="Garamond"/>
        </w:rPr>
        <w:t>p</w:t>
      </w:r>
      <w:r w:rsidRPr="001E2BB9">
        <w:rPr>
          <w:rFonts w:ascii="Garamond" w:hAnsi="Garamond"/>
        </w:rPr>
        <w:t>rice of a house would be dramatically different if sold in 2006, before the market collapsed, versus 2009, in the midst of the downturn. This makes determining the actual value of a home tricky, and means i</w:t>
      </w:r>
      <w:r w:rsidR="00B01D8B">
        <w:rPr>
          <w:rFonts w:ascii="Garamond" w:hAnsi="Garamond"/>
        </w:rPr>
        <w:t>t is difficult to separate the s</w:t>
      </w:r>
      <w:r w:rsidRPr="001E2BB9">
        <w:rPr>
          <w:rFonts w:ascii="Garamond" w:hAnsi="Garamond"/>
        </w:rPr>
        <w:t xml:space="preserve">ale </w:t>
      </w:r>
      <w:r w:rsidR="00B01D8B">
        <w:rPr>
          <w:rFonts w:ascii="Garamond" w:hAnsi="Garamond"/>
        </w:rPr>
        <w:t>p</w:t>
      </w:r>
      <w:r w:rsidRPr="001E2BB9">
        <w:rPr>
          <w:rFonts w:ascii="Garamond" w:hAnsi="Garamond"/>
        </w:rPr>
        <w:t>rice of a home from when it was (or will be) sold.</w:t>
      </w:r>
    </w:p>
    <w:p w:rsidR="001E2BB9" w:rsidRDefault="001E2BB9" w:rsidP="001E2BB9">
      <w:pPr>
        <w:spacing w:line="360" w:lineRule="auto"/>
        <w:rPr>
          <w:rFonts w:ascii="Garamond" w:hAnsi="Garamond"/>
        </w:rPr>
      </w:pPr>
      <w:r w:rsidRPr="001E2BB9">
        <w:rPr>
          <w:rFonts w:ascii="Garamond" w:hAnsi="Garamond"/>
        </w:rPr>
        <w:lastRenderedPageBreak/>
        <w:t xml:space="preserve">    </w:t>
      </w:r>
      <w:r>
        <w:rPr>
          <w:rFonts w:ascii="Garamond" w:hAnsi="Garamond"/>
        </w:rPr>
        <w:tab/>
      </w:r>
      <w:r w:rsidRPr="001E2BB9">
        <w:rPr>
          <w:rFonts w:ascii="Garamond" w:hAnsi="Garamond"/>
        </w:rPr>
        <w:t xml:space="preserve">Additionally, we must take into consideration other external market factors - if a bidding competition drives up the Sale Price of a house, does this mean that the winning bidder should be compensated for overpayment? In a capitalist market, </w:t>
      </w:r>
      <w:r w:rsidR="00B91FE8">
        <w:rPr>
          <w:rFonts w:ascii="Garamond" w:hAnsi="Garamond"/>
        </w:rPr>
        <w:t>the answer is likely no</w:t>
      </w:r>
      <w:r w:rsidRPr="001E2BB9">
        <w:rPr>
          <w:rFonts w:ascii="Garamond" w:hAnsi="Garamond"/>
        </w:rPr>
        <w:t xml:space="preserve">, because </w:t>
      </w:r>
      <w:r w:rsidR="00BB0541">
        <w:rPr>
          <w:rFonts w:ascii="Garamond" w:hAnsi="Garamond"/>
        </w:rPr>
        <w:t xml:space="preserve">another buyer </w:t>
      </w:r>
      <w:r w:rsidRPr="001E2BB9">
        <w:rPr>
          <w:rFonts w:ascii="Garamond" w:hAnsi="Garamond"/>
        </w:rPr>
        <w:t xml:space="preserve">was willing to </w:t>
      </w:r>
      <w:r w:rsidR="00BB0541">
        <w:rPr>
          <w:rFonts w:ascii="Garamond" w:hAnsi="Garamond"/>
        </w:rPr>
        <w:t>purchase</w:t>
      </w:r>
      <w:r w:rsidRPr="001E2BB9">
        <w:rPr>
          <w:rFonts w:ascii="Garamond" w:hAnsi="Garamond"/>
        </w:rPr>
        <w:t xml:space="preserve"> the house at a slightly lower price.</w:t>
      </w:r>
    </w:p>
    <w:p w:rsidR="009C32AC" w:rsidRPr="009C32AC" w:rsidRDefault="009C32AC" w:rsidP="001E2BB9">
      <w:pPr>
        <w:spacing w:line="360" w:lineRule="auto"/>
        <w:rPr>
          <w:rFonts w:ascii="Garamond" w:hAnsi="Garamond"/>
        </w:rPr>
      </w:pPr>
      <w:r>
        <w:rPr>
          <w:rFonts w:ascii="Garamond" w:hAnsi="Garamond"/>
          <w:i/>
        </w:rPr>
        <w:t xml:space="preserve">Further analysis: </w:t>
      </w:r>
      <w:r w:rsidR="0056112B">
        <w:rPr>
          <w:rFonts w:ascii="Garamond" w:hAnsi="Garamond"/>
        </w:rPr>
        <w:t xml:space="preserve">To examine the average sales price over time, three forecasting models were constructed: weighted moving average, exponential smoothing, and time-series linear regression. </w:t>
      </w:r>
      <w:r w:rsidR="003B7B6B">
        <w:rPr>
          <w:rFonts w:ascii="Garamond" w:hAnsi="Garamond"/>
        </w:rPr>
        <w:t xml:space="preserve">The linear regression model had the lowest Mean Squares Error (MSE), indicating it was the best model for predicting future average sale prices. </w:t>
      </w:r>
      <w:r w:rsidR="003B7B6B" w:rsidRPr="003B7B6B">
        <w:rPr>
          <w:rFonts w:ascii="Garamond" w:hAnsi="Garamond"/>
        </w:rPr>
        <w:t>We expect th</w:t>
      </w:r>
      <w:r w:rsidR="003B7B6B">
        <w:rPr>
          <w:rFonts w:ascii="Garamond" w:hAnsi="Garamond"/>
        </w:rPr>
        <w:t>is result because the trend of s</w:t>
      </w:r>
      <w:r w:rsidR="003B7B6B" w:rsidRPr="003B7B6B">
        <w:rPr>
          <w:rFonts w:ascii="Garamond" w:hAnsi="Garamond"/>
        </w:rPr>
        <w:t>ale</w:t>
      </w:r>
      <w:r w:rsidR="003B7B6B">
        <w:rPr>
          <w:rFonts w:ascii="Garamond" w:hAnsi="Garamond"/>
        </w:rPr>
        <w:t xml:space="preserve"> p</w:t>
      </w:r>
      <w:r w:rsidR="003B7B6B" w:rsidRPr="003B7B6B">
        <w:rPr>
          <w:rFonts w:ascii="Garamond" w:hAnsi="Garamond"/>
        </w:rPr>
        <w:t xml:space="preserve">rice </w:t>
      </w:r>
      <w:r w:rsidR="003B7B6B">
        <w:rPr>
          <w:rFonts w:ascii="Garamond" w:hAnsi="Garamond"/>
        </w:rPr>
        <w:t>consistently increased from 2009 to 2016</w:t>
      </w:r>
      <w:r w:rsidR="003B7B6B" w:rsidRPr="003B7B6B">
        <w:rPr>
          <w:rFonts w:ascii="Garamond" w:hAnsi="Garamond"/>
        </w:rPr>
        <w:t>. Therefore, a model which places maximum weight on the recent (and therefore greatest) value is closest to the next value. In practice, this means we should only look at the most recent value, ignoring all older values. Over a longer time period, where we don't see a relatively constant upward trend in average sales price, a different weighting might make more sense.</w:t>
      </w:r>
    </w:p>
    <w:p w:rsidR="00937502" w:rsidRDefault="004A5990" w:rsidP="00D02622">
      <w:pPr>
        <w:spacing w:line="360" w:lineRule="auto"/>
        <w:rPr>
          <w:rFonts w:ascii="Garamond" w:hAnsi="Garamond"/>
        </w:rPr>
      </w:pPr>
      <w:r>
        <w:rPr>
          <w:rFonts w:ascii="Garamond" w:hAnsi="Garamond"/>
          <w:b/>
        </w:rPr>
        <w:t>Conclusions</w:t>
      </w:r>
      <w:r w:rsidR="00BB130A">
        <w:rPr>
          <w:rFonts w:ascii="Garamond" w:hAnsi="Garamond"/>
          <w:b/>
        </w:rPr>
        <w:t>:</w:t>
      </w:r>
      <w:r w:rsidR="006F597E">
        <w:rPr>
          <w:rFonts w:ascii="Garamond" w:hAnsi="Garamond"/>
          <w:b/>
        </w:rPr>
        <w:t xml:space="preserve"> </w:t>
      </w:r>
      <w:r w:rsidR="00876B56">
        <w:rPr>
          <w:rFonts w:ascii="Garamond" w:hAnsi="Garamond"/>
        </w:rPr>
        <w:t xml:space="preserve">It is highly likely that the presence of UFFI has a negative </w:t>
      </w:r>
      <w:r w:rsidR="00BA098F">
        <w:rPr>
          <w:rFonts w:ascii="Garamond" w:hAnsi="Garamond"/>
        </w:rPr>
        <w:t xml:space="preserve">effect on the </w:t>
      </w:r>
      <w:r>
        <w:rPr>
          <w:rFonts w:ascii="Garamond" w:hAnsi="Garamond"/>
        </w:rPr>
        <w:t xml:space="preserve">sale price of a home, following from the z and t-tests described in the analysis section. While the presence of UFFI was not found to be a significant predictor variable in a multiple regression model, the p-value close to 0.06 indicated that a larger sample size would likely make UFFI a statistically significant factor in the model. According to estimates gleaned from this model, UFFI could be expected to decrease the value of a home by about $7000, with a standard error of $3500.  </w:t>
      </w:r>
    </w:p>
    <w:p w:rsidR="004A5990" w:rsidRPr="004A5990" w:rsidRDefault="004A5990" w:rsidP="00D02622">
      <w:pPr>
        <w:spacing w:line="360" w:lineRule="auto"/>
        <w:rPr>
          <w:rFonts w:ascii="Garamond" w:hAnsi="Garamond"/>
        </w:rPr>
      </w:pPr>
      <w:r>
        <w:rPr>
          <w:rFonts w:ascii="Garamond" w:hAnsi="Garamond"/>
          <w:b/>
        </w:rPr>
        <w:t xml:space="preserve">Recommendations: </w:t>
      </w:r>
      <w:r w:rsidR="00743DE1">
        <w:rPr>
          <w:rFonts w:ascii="Garamond" w:hAnsi="Garamond"/>
        </w:rPr>
        <w:t xml:space="preserve">Our firm recommends presenting the evidence that historically, there is a statistically significant difference in sale price between houses with and without UFFI. Combined with the knowledge that the previous homeowner knowingly withheld this information (while also knowing that this information would likely lower the sale price of the home), it seems likely that your firm’s client is entitled to a compensation of several thousand dollars. </w:t>
      </w:r>
      <w:r w:rsidR="00B32233">
        <w:rPr>
          <w:rFonts w:ascii="Garamond" w:hAnsi="Garamond"/>
        </w:rPr>
        <w:t xml:space="preserve">At the very least, there is sufficient statistical evidence to indicate that further investigation should be done </w:t>
      </w:r>
      <w:r w:rsidR="00007245">
        <w:rPr>
          <w:rFonts w:ascii="Garamond" w:hAnsi="Garamond"/>
        </w:rPr>
        <w:t>for this case</w:t>
      </w:r>
      <w:bookmarkStart w:id="0" w:name="_GoBack"/>
      <w:bookmarkEnd w:id="0"/>
      <w:r w:rsidR="00B32233">
        <w:rPr>
          <w:rFonts w:ascii="Garamond" w:hAnsi="Garamond"/>
        </w:rPr>
        <w:t xml:space="preserve">. A larger sample size would likely confirm our preliminary findings that UFFI has a negative effect on the sale price of a home, and would help to quantify the effect. </w:t>
      </w:r>
      <w:r w:rsidR="00E62F12">
        <w:rPr>
          <w:rFonts w:ascii="Garamond" w:hAnsi="Garamond"/>
        </w:rPr>
        <w:t>To this end, w</w:t>
      </w:r>
      <w:r w:rsidR="00743DE1">
        <w:rPr>
          <w:rFonts w:ascii="Garamond" w:hAnsi="Garamond"/>
        </w:rPr>
        <w:t>e also recommend that additi</w:t>
      </w:r>
      <w:r w:rsidR="00E62F12">
        <w:rPr>
          <w:rFonts w:ascii="Garamond" w:hAnsi="Garamond"/>
        </w:rPr>
        <w:t>onal data is collected</w:t>
      </w:r>
      <w:r w:rsidR="00743DE1">
        <w:rPr>
          <w:rFonts w:ascii="Garamond" w:hAnsi="Garamond"/>
        </w:rPr>
        <w:t>.</w:t>
      </w:r>
    </w:p>
    <w:sectPr w:rsidR="004A5990" w:rsidRPr="004A5990" w:rsidSect="00012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74B04"/>
    <w:multiLevelType w:val="hybridMultilevel"/>
    <w:tmpl w:val="550C220A"/>
    <w:lvl w:ilvl="0" w:tplc="D23CEB0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108C"/>
    <w:multiLevelType w:val="hybridMultilevel"/>
    <w:tmpl w:val="D974EC02"/>
    <w:lvl w:ilvl="0" w:tplc="D23CEB0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53"/>
    <w:rsid w:val="00007245"/>
    <w:rsid w:val="00012578"/>
    <w:rsid w:val="000872D3"/>
    <w:rsid w:val="00097008"/>
    <w:rsid w:val="000A7B82"/>
    <w:rsid w:val="000F3E1C"/>
    <w:rsid w:val="00145699"/>
    <w:rsid w:val="00177CB8"/>
    <w:rsid w:val="001E2BB9"/>
    <w:rsid w:val="00230E5C"/>
    <w:rsid w:val="002507F4"/>
    <w:rsid w:val="00274091"/>
    <w:rsid w:val="002928BA"/>
    <w:rsid w:val="00296363"/>
    <w:rsid w:val="00306431"/>
    <w:rsid w:val="003B7B6B"/>
    <w:rsid w:val="004A5990"/>
    <w:rsid w:val="004B53DE"/>
    <w:rsid w:val="004C0EB3"/>
    <w:rsid w:val="00524C7A"/>
    <w:rsid w:val="0056112B"/>
    <w:rsid w:val="005615B4"/>
    <w:rsid w:val="00564C20"/>
    <w:rsid w:val="00575880"/>
    <w:rsid w:val="0058578F"/>
    <w:rsid w:val="005B1272"/>
    <w:rsid w:val="005C2779"/>
    <w:rsid w:val="005D1759"/>
    <w:rsid w:val="00647567"/>
    <w:rsid w:val="00671006"/>
    <w:rsid w:val="006A0D70"/>
    <w:rsid w:val="006C4489"/>
    <w:rsid w:val="006F597E"/>
    <w:rsid w:val="006F5E4D"/>
    <w:rsid w:val="007302D3"/>
    <w:rsid w:val="00743DE1"/>
    <w:rsid w:val="007D3148"/>
    <w:rsid w:val="0080337D"/>
    <w:rsid w:val="008242D0"/>
    <w:rsid w:val="00874049"/>
    <w:rsid w:val="00876B56"/>
    <w:rsid w:val="00881145"/>
    <w:rsid w:val="008910D9"/>
    <w:rsid w:val="008A2C34"/>
    <w:rsid w:val="008D35AD"/>
    <w:rsid w:val="008E51E1"/>
    <w:rsid w:val="008F0751"/>
    <w:rsid w:val="009222FC"/>
    <w:rsid w:val="009325AB"/>
    <w:rsid w:val="0095280B"/>
    <w:rsid w:val="009917CF"/>
    <w:rsid w:val="00994553"/>
    <w:rsid w:val="009946B4"/>
    <w:rsid w:val="009B7B9A"/>
    <w:rsid w:val="009C32AC"/>
    <w:rsid w:val="009E12DF"/>
    <w:rsid w:val="00A26DDB"/>
    <w:rsid w:val="00A34AA1"/>
    <w:rsid w:val="00AB220C"/>
    <w:rsid w:val="00B01D8B"/>
    <w:rsid w:val="00B32233"/>
    <w:rsid w:val="00B6249B"/>
    <w:rsid w:val="00B75665"/>
    <w:rsid w:val="00B91FE8"/>
    <w:rsid w:val="00BA098F"/>
    <w:rsid w:val="00BB0541"/>
    <w:rsid w:val="00BB130A"/>
    <w:rsid w:val="00C34A5F"/>
    <w:rsid w:val="00D02622"/>
    <w:rsid w:val="00D126E1"/>
    <w:rsid w:val="00D237D8"/>
    <w:rsid w:val="00D64B47"/>
    <w:rsid w:val="00E33CF7"/>
    <w:rsid w:val="00E62F12"/>
    <w:rsid w:val="00FA312C"/>
    <w:rsid w:val="00FE4422"/>
    <w:rsid w:val="00FE5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74DE5"/>
  <w15:chartTrackingRefBased/>
  <w15:docId w15:val="{879A701E-EC0F-4846-A046-80D6EEE96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5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AA1"/>
    <w:pPr>
      <w:ind w:left="720"/>
      <w:contextualSpacing/>
    </w:pPr>
  </w:style>
  <w:style w:type="table" w:styleId="TableGrid">
    <w:name w:val="Table Grid"/>
    <w:basedOn w:val="TableNormal"/>
    <w:uiPriority w:val="39"/>
    <w:rsid w:val="002928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67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69</cp:revision>
  <dcterms:created xsi:type="dcterms:W3CDTF">2018-03-21T00:57:00Z</dcterms:created>
  <dcterms:modified xsi:type="dcterms:W3CDTF">2018-03-21T02:59:00Z</dcterms:modified>
</cp:coreProperties>
</file>