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State of Global Scientific Advancement: A Comprehensive Analysis of Q1 2026 Breakthroughs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global scientific and technological landscape in the first quarter of 2026 is defined by a shift from theoretical potential to operational reality, a transition frequently termed the era of mission-critical deployment.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As the year unfolds, the convergence of high-performance computing, autonomous intelligence, and precision molecular engineering has created a structural inflection point in how knowledge is generated and applied.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report delineates the primary vectors of innovation across artificial intelligence, life sciences, energy, space exploration, and global R&amp;D infrastructure, articulating the second- and third-order implications of these breakthroughs for industrial competitiveness and human health.</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Agentic Revolution: Artificial Intelligence and the Future of Discovery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early 2026, the artificial intelligence sector has moved beyond the "generative hype" of the previous two years toward a paradigm of agentic autonomy and physics-native simulation.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defining characteristic of this period is the emergence of AI agents capable of long-horizon reasoning, specialized scientific execution, and the autonomous orchestration of complex laboratory workflows.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Year of the Agent in Research and Development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year 2026 is widely recognized as the "True Year of the Agent," marking the point where autonomous AI systems transitioned from laboratory prototypes to kinetic energy in R&amp;D processes.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Unlike earlier iterations of large language models that primarily functioned as information retrieval tools, these agents—such as the Kosmos system operated by Edison Scientific—are designed as deep-research instruments capable of synthesizing vast amounts of scientific data, performing large-scale analyses, and producing verified discoveries across disciplines.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Evidence suggests that these agents can accomplish work equivalent to six months of human postdoctoral effort in a single 24-hour run, maintaining nearly 80% accuracy in their conclusions.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acceleration is not merely a function of speed but of the depth of inquiry; agents can now read over 1,500 research papers, run tens of thousands of lines of analysis code, and maintain coherence over tens of millions of tokens.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capability effectively shifts the ROI of R&amp;D from generating more ideas to filtering them—acting as a "truth engine" that can confidently identify which of thousands of concepts are worth pursuing.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Physics-Native and Optical Computing: Solving the Simulation Bottleneck</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significant second-order effect of the data explosion is the move toward hardware that mimics the physics being modeled.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2026, optical and photonic processors have moved out of the lab to solve partial differential equations (PDEs), which constitute the core mathematical framework for scientific and engineering simulations.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Traditional high-performance computing (HPC) centers are increasingly integrating photonic technologies into existing workflows to handle power-hungry PDE kernels.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has led to the formal recognition of "physics-native computing" as a distinct hardware category alongside CPUs, GPUs, and quantum processors.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Table 1: Strategic AI and Computational Paradigms in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Technology / Concept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Application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Agentic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Autonomous R&amp;D Agents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Drug discovery, literature synthesis, and experimental design.</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Redefines discovery timelines from months to days; acts as a "truth engine".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Physics-Native Computing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Optical/Photonic Processors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Solving Partial Differential Equations (PDEs).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Bypasses traditional von Neumann bottlenecks for high-fidelity simulations.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Unified AI Platforms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Model-Data Consolidation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Enterprise-wide research interrogation.</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Breaks down R&amp;D silos; provides traceable, auditable sources for decision-making.</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Foundation Models (Multimodal)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Multimodal Biomedical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Integrating genomic, imaging, and clinical datasets.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Reveals hidden molecular patterns and disease mechanisms previously isolated.</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Agentic Commerce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Autonomous Shopping Agents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Supply chain and industrial procurement.</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Moves beyond chatbots to executing end-to-end commercial transactions.</w:t>
            </w:r>
            <w:r w:rsidDel="00000000" w:rsidR="00000000" w:rsidRPr="00000000">
              <w:rPr>
                <w:rFonts w:ascii="Google Sans" w:cs="Google Sans" w:eastAsia="Google Sans" w:hAnsi="Google Sans"/>
                <w:color w:val="444746"/>
                <w:sz w:val="24"/>
                <w:szCs w:val="24"/>
                <w:vertAlign w:val="superscript"/>
                <w:rtl w:val="0"/>
              </w:rPr>
              <w:t xml:space="preserve">11</w:t>
            </w:r>
          </w:p>
        </w:tc>
      </w:tr>
    </w:tbl>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"AI Haves and Have-Nots" and the Institutional Divide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rapid maturation of AI has created a structural divide within the pharmaceutical and technology sectors. Large pharmaceutical companies have made strategic investments in GPUs and AI infrastructures to support in silico design and simulation at scale, enabling them to move faster on compute-intensive work that was previously considered neutral ground.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investment strategy is inverting the traditional biotech model, where small, nimble firms led early innovation; in 2026, the "AI haves" are increasingly capable of out-simulating and out-competing smaller players before they can reach the clinic.</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focus has shifted from "more data" to "better data".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Success in 2026 depends on how effectively an organization can harmonize, visualize, and interpret high-quality, interoperable datasets rather than the sheer volume of data collected.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has elevated the importance of "intelligent automation" and digital twins, which have moved from experimental pilots to valid, auditable clinical tools.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Molecular Medicine: Genomic Precision and Multiomic Convergence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life sciences in 2026 are characterized by a convergence of technological modalities, where genetic testing, multi-cancer detection, and AI-guided therapeutics are reshaping the standard of care.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Breakthroughs in Repeat Expansion Disorders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landmark success in 2025 involving the slowing of Huntington’s disease has catalyzed a surge of investment and research into other repeat expansion disorders in 2026, including ALS and Frontotemporal Dementia (FTD).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conditions, caused by the abnormal repetition of DNA sequences, are now being addressed through the adoption of long-read sequencing—the only technology capable of accurately measuring these repetitive regions.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shift represents a move toward addressing the fundamental genetic drivers of neurodegeneration rather than just managing symptoms.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Evolution of Base Editing and Cell Therapy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field of cell and gene editing has progressed significantly since the pioneers of CRISPR/Cas9 received the Nobel Prize.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 2026, base editing platforms have become highly flexible and modular, allowing for fine-tuning, simultaneous multi-gene edits, and concurrent "knock-ins".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integration of AI-designed enzymes into these platforms has expanded the potential to optimize genetic corrections for both rare metabolic disorders and complex chronic conditions.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For children with rare metabolic diseases, two new clinical studies are underway to test these methods on a larger scale, continuing the momentum of personalized gene therapy.</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Multi-Cancer Early Detection (MCED) and Liquid Biopsies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One of the most anticipated events of 2026 is the advancement of clinical trials in the United Kingdom that utilize a single blood test to detect around 50 types of cancer before symptoms appear.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By checking for fragments of DNA released into the bloodstream (cell-free DNA or cfDNA), these tests can identify the type of tissue or organ from which the cancer originates with high accuracy.</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Technical precision in this area is driven by digital PCR (dPCR), which allows for the high-sensitivity detection of multiple oncogenic mutations—such as </w:t>
      </w:r>
      <w:r w:rsidDel="00000000" w:rsidR="00000000" w:rsidRPr="00000000">
        <w:rPr>
          <w:rFonts w:ascii="Google Sans" w:cs="Google Sans" w:eastAsia="Google Sans" w:hAnsi="Google Sans"/>
          <w:color w:val="1f1f1f"/>
        </w:rPr>
        <w:drawing>
          <wp:inline distB="19050" distT="19050" distL="19050" distR="19050">
            <wp:extent cx="540990" cy="227785"/>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40990" cy="2277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573137" cy="22925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37" cy="2292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563910" cy="229387"/>
            <wp:effectExtent b="0" l="0" r="0" t="0"/>
            <wp:docPr id="2"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63910" cy="2293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—from plasma or tissue samples.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technology enables researchers to follow tumor evolution in real-time, monitor therapeutic responses, and identify molecular residual disease (MRD) after treatment, supporting a more personalized approach to oncology.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Table 2: Life Science Breakthroughs and Trends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Trend / Technology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Implications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Multi-Cancer Early Detection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Liquid Biopsy (cfDNA)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Fragments of DNA released by cancer cells into blood.</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Shift from symptomatic to preventative oncology; reduced mortality via early intervention.</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Long-Read Sequencing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DNA Repeat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Measuring long, repetitive DNA sequences in a single pass.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Foundational for research into ALS, FTD, and other expansion disorders.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Base Editing (Modular)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CRISPR/Cas9 Evolution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Precise, simultaneous multi-gene "knock-ins" and edits.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Enables complex genetic engineering for metabolic and hereditary diseases.</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Digital PCR (dPCR)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Sensitive Mutation Detection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Detecting multiple oncogenic mutations from plasma.</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Real-time monitoring of tumor evolution and MRD; personalized treatment.</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Cell-Free Protein Synthesis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AI-Automation Hybrid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Parallel screening of difficult-to-express proteins.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Shortens the path from early discovery to therapeutic candidates.</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Energy and Sustainability: Fusion, Photovoltaics, and the Circular Economy</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quest for energy security and climate resilience in 2026 is marked by breakthroughs in plasma stability and the commercial debut of hybrid solar technologies.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Nuclear Fusion: From Experiment to Energy Target</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first quarter of 2026 has seen China's "artificial sun," the Experimental Advanced Superconducting Tokamak (EAST), maintain plasma stability at extreme densities previously considered impossible.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is a critical step toward sustaining fusion reactions, which require temperatures of approximately </w:t>
      </w:r>
      <w:r w:rsidDel="00000000" w:rsidR="00000000" w:rsidRPr="00000000">
        <w:rPr>
          <w:rFonts w:ascii="Google Sans" w:cs="Google Sans" w:eastAsia="Google Sans" w:hAnsi="Google Sans"/>
          <w:color w:val="1f1f1f"/>
        </w:rPr>
        <w:drawing>
          <wp:inline distB="19050" distT="19050" distL="19050" distR="19050">
            <wp:extent cx="2340921" cy="218867"/>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340921" cy="2188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027034" cy="218882"/>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027034" cy="2188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fuse deuterium and tritium atoms, producing </w:t>
      </w:r>
      <w:r w:rsidDel="00000000" w:rsidR="00000000" w:rsidRPr="00000000">
        <w:rPr>
          <w:rFonts w:ascii="Google Sans" w:cs="Google Sans" w:eastAsia="Google Sans" w:hAnsi="Google Sans"/>
          <w:color w:val="1f1f1f"/>
        </w:rPr>
        <w:drawing>
          <wp:inline distB="19050" distT="19050" distL="19050" distR="19050">
            <wp:extent cx="2040579" cy="219315"/>
            <wp:effectExtent b="0" l="0" r="0" t="0"/>
            <wp:docPr id="7"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2040579" cy="2193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energy.</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AI-driven control systems, developed through collaborations between DeepMind and fusion startups like Commonwealth Fusion Systems (CFS), are now being deployed to stabilize plasma within these reactors.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Furthermore, private companies are ramping up efforts to move toward "reactor concepts" that target actual energy production rather than just physical experiments.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In the United States, the Department of Energy (DOE) has highlighted that diagnostic innovation—specialized sensors to measure density, temperature, and neutrons—is now the critical bottleneck for the commercialization of fusion power in the 2030s.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Perovskite-Silicon Tandem Solar Cells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major breakthrough in renewable energy for 2026 is the commercial launch of hybrid solar cells composed of perovskite and silicon.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These tandem cells have reached power conversion efficiencies of over </w:t>
      </w: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6"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significant improvement over the </w:t>
      </w: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efficiency of traditional silicon-based panels.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JinkoSolar recently achieved a certified efficiency of </w:t>
      </w:r>
      <w:r w:rsidDel="00000000" w:rsidR="00000000" w:rsidRPr="00000000">
        <w:rPr>
          <w:rFonts w:ascii="Google Sans" w:cs="Google Sans" w:eastAsia="Google Sans" w:hAnsi="Google Sans"/>
          <w:color w:val="1f1f1f"/>
        </w:rPr>
        <w:drawing>
          <wp:inline distB="19050" distT="19050" distL="19050" distR="19050">
            <wp:extent cx="501997" cy="189433"/>
            <wp:effectExtent b="0" l="0" r="0" t="0"/>
            <wp:docPr id="8"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01997" cy="1894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a monolithic perovskite TOPCon tandem cell, utilizing a novel crystallization control strategy that introduces organic ligands to stabilize the film and reduce defects.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implications of this efficiency leap are profound for space-constrained environments, such as urban rooftops and vehicles, where traditional photovoltaics may not fit.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Moreover, these cells can be manufactured using low-temperature printing processes, making them potentially cheaper to produce than high-purity silicon as the industry scales toward mass production in the 2026–2028 timeframe.</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Table 3: Energy and Materials Innovation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Innovation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Milestone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Environmental / Economic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Perovskite-Silicon Tandem Cells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501997" cy="189433"/>
                  <wp:effectExtent b="0" l="0" r="0" t="0"/>
                  <wp:docPr id="1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01997" cy="18943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Efficiency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Record certified lab records for stacked configurations.</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Faster path to commercialization by building on silicon infrastructure.</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EAST Tokamak (China)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Extreme Density Plasma Stability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Maintenance of plasma at impossible densities.</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Scalable fusion energy moves closer to reality.</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Deep Subsurface Drilling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Meng Xiang Vessel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11 km penetration through oceanic crust to Earth's mantle.</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Unlocks geological data on heat transfer and planetary evolution.</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Hybrid Solar Modules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Portable/Flexible PV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Pr>
              <w:drawing>
                <wp:inline distB="19050" distT="19050" distL="19050" distR="19050">
                  <wp:extent cx="501997" cy="189433"/>
                  <wp:effectExtent b="0" l="0" r="0" t="0"/>
                  <wp:docPr id="10"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01997" cy="18943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stabilized efficiency for industrial TOPCon.</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Enables solar integration into windows, vehicles, and curved surfaces.</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"Artificial Sun" AI Control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Deep Reinforcement Learning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Automated plasma stabilization in tokamaks.</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Optimization of energy output and reactor longevity.</w:t>
            </w:r>
            <w:r w:rsidDel="00000000" w:rsidR="00000000" w:rsidRPr="00000000">
              <w:rPr>
                <w:rFonts w:ascii="Google Sans" w:cs="Google Sans" w:eastAsia="Google Sans" w:hAnsi="Google Sans"/>
                <w:color w:val="444746"/>
                <w:sz w:val="24"/>
                <w:szCs w:val="24"/>
                <w:vertAlign w:val="superscript"/>
                <w:rtl w:val="0"/>
              </w:rPr>
              <w:t xml:space="preserve">14</w:t>
            </w:r>
          </w:p>
        </w:tc>
      </w:tr>
    </w:tbl>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Space Exploration: The Lunar Race and Martian Frontiers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2026, humanity continues its push into the deep space frontier, with the Artemis II mission and the Martian Moons eXploration (MMX) mission serving as the primary pillars of exploration.</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Artemis II and the Return to Lunar Orbit</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NASA is targeting the launch of Artemis II, a crewed mission that will send four astronauts around the Moon aboard the Orion spacecraft.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10-day mission will be the first crewed lunar flight since the 1970s and is designed to build the foundation for an enduring human presence on the Moon and subsequent missions to Mars.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Preparations in the first quarter of 2026 included "wet dress rehearsals" and flight-readiness reviews, with the agency targeting no earlier than April 1, 2026, for the test flight.</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Martian Moons eXploration (MMX)</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Japan’s MMX mission is set to launch in 2026 to study the martian moons, Phobos and Deimos, and return a sample from Phobos to Earth in 2031.</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international project aims to resolve the mystery of the moons' origin: whether they are asteroids captured by Mars' gravity or remnants of a giant impact.</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spacecraft is equipped with two sampling devices—C Sampler and P Sampler (the latter contributed by NASA)—and will deploy a German and French-built rover named Idefix to explore the surface for at least 100 days.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This mission represents a significant engineering challenge, requiring landing and maneuvering in extremely low gravity while establishing communication via new ground stations.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Search for Earth Twins: PLATO</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European Space Agency (ESA) plans to launch the PLATO (PLAnetary Transits and Oscillations of stars) planet-hunting satellite by the end of 2026.</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Equipped with 26 cameras, PLATO will monitor more than 200,000 bright stars to search for an "Earth twin"—a planet with liquid water and a temperature similar to Earth.</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mission is critical for advancing our understanding of the conditions required for planet formation and the emergence of life.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Table 4: Major Space Missions Scheduled for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Mission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Objectives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Artemis II (NASA)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Lunar Orbit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First crewed lunar mission since the 1970s; tests life support and Orion systems.</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MMX (JAXA)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Phobos/Deimos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Mars' Moons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Humanity's first sample return from the martian sphere; origin of martian moons.</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PLATO (ESA)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200,000 Bright Stars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Exoplanets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Search for "Earth twins" with water and similar temperatures.</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HTV-X1 (JAXA)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ISS Cargo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 Earth Orbit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Uncrewed cargo spacecraft delivering 12,000 pounds of supplies.</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Meng Xiang (China)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Earth's Mantle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Deep Ocean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Drilling 11 km through the crust to sample the mantle.</w:t>
            </w:r>
            <w:r w:rsidDel="00000000" w:rsidR="00000000" w:rsidRPr="00000000">
              <w:rPr>
                <w:rFonts w:ascii="Google Sans" w:cs="Google Sans" w:eastAsia="Google Sans" w:hAnsi="Google Sans"/>
                <w:color w:val="444746"/>
                <w:sz w:val="24"/>
                <w:szCs w:val="24"/>
                <w:vertAlign w:val="superscript"/>
                <w:rtl w:val="0"/>
              </w:rPr>
              <w:t xml:space="preserve">12</w:t>
            </w:r>
          </w:p>
        </w:tc>
      </w:tr>
    </w:tbl>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R&amp;D Infrastructure and Geopolitics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scientific landscape of 2026 is shaped by high-stakes funding missions, regulatory shifts in AI governance, and a geopolitical inversion in pharmaceutical innovation.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DOE Genesis Mission and AI for Science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U.S. Department of Energy (DOE) has announced </w:t>
      </w:r>
      <w:r w:rsidDel="00000000" w:rsidR="00000000" w:rsidRPr="00000000">
        <w:rPr>
          <w:rFonts w:ascii="Google Sans" w:cs="Google Sans" w:eastAsia="Google Sans" w:hAnsi="Google Sans"/>
          <w:color w:val="1f1f1f"/>
        </w:rPr>
        <w:drawing>
          <wp:inline distB="19050" distT="19050" distL="19050" distR="19050">
            <wp:extent cx="876300" cy="219075"/>
            <wp:effectExtent b="0" l="0" r="0" t="0"/>
            <wp:docPr id="11"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876300" cy="2190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funding for "The Genesis Mission," an initiative to transform science and energy through AI.</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This mission targets 26 national challenges, including the autonomous operation of laboratories, the enhancement of particle accelerators, and the scaling of the power grid.</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By integrating AI systems with unique scientific datasets and the world’s leading supercomputers, the DOE aims to double the productivity of U.S. research and development within ten years.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China's Ascension in Biopharmaceutical Innovation</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Data from the first quarter of 2026 confirms that China has fundamentally decoupled its pharmaceutical innovation engine from Western reliance.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Chinese biotechs now account for nearly </w:t>
      </w: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13"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global AI-driven drug discovery patent filings and approximately </w:t>
      </w: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14"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global out-licensing deal value—a fourfold increase since 2021.</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During the J.P. Morgan Healthcare Conference in January 2026, Chinese biotech firms closed deals totaling approximately </w:t>
      </w:r>
      <w:r w:rsidDel="00000000" w:rsidR="00000000" w:rsidRPr="00000000">
        <w:rPr>
          <w:rFonts w:ascii="Google Sans" w:cs="Google Sans" w:eastAsia="Google Sans" w:hAnsi="Google Sans"/>
          <w:color w:val="1f1f1f"/>
        </w:rPr>
        <w:drawing>
          <wp:inline distB="19050" distT="19050" distL="19050" distR="19050">
            <wp:extent cx="784175" cy="219952"/>
            <wp:effectExtent b="0" l="0" r="0" t="0"/>
            <wp:docPr id="15"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784175" cy="2199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while global giants increasingly seek to acquire Chinese assets to replenish their pipelines in the face of patent cliffs for blockbusters like Keytruda and Prolia.</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EU AI Act and the Digital Omnibus Delay</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implementation of the European Union's AI Act has encountered delays as the publication of key standards and guidelines fell behind schedule.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 "AI Digital Omnibus" has proposed pushing back the compliance deadlines for high-risk AI systems (HRAI) to late 2027 or 2028, depending on the annex.</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However, experts warn that this delay is not a reprieve; enterprises must continue to build governance into their systems from the start to avoid more expensive redesigns later.</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Prohibitions on unacceptable practices, such as harmful behavioral manipulation and social scoring, have already been in effect since February 2025.</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Table 5: Global R&amp;D Investment and Productivity Metrics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Region / Entity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Funding / Activity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Focus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DOE Genesis Mission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United States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$293M RFA (Phase I &amp; II).</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Autonomous labs, nuclear data, and materials discovery.</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China Out-licensing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China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 48.5B in H1 2025.</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ADCs, GLP-1 agonists, and oncology therapies.</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Horizon Europe (2026-27)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European Union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€14B Budget.</w:t>
            </w:r>
            <w:r w:rsidDel="00000000" w:rsidR="00000000" w:rsidRPr="00000000">
              <w:rPr>
                <w:rFonts w:ascii="Google Sans" w:cs="Google Sans" w:eastAsia="Google Sans" w:hAnsi="Google Sans"/>
                <w:color w:val="444746"/>
                <w:sz w:val="24"/>
                <w:szCs w:val="24"/>
                <w:vertAlign w:val="superscript"/>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Decarbonization (€540M) and AI in Science (€90M).</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METI Japan (FY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Japan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¥1.23T (4x prior level).</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Logic manufacturing (Rapidus) and Physical AI.</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Novo Nordisk Start Pack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Denmark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DKK 10M per grant.</w:t>
            </w:r>
            <w:r w:rsidDel="00000000" w:rsidR="00000000" w:rsidRPr="00000000">
              <w:rPr>
                <w:rFonts w:ascii="Google Sans" w:cs="Google Sans" w:eastAsia="Google Sans" w:hAnsi="Google Sans"/>
                <w:color w:val="444746"/>
                <w:sz w:val="24"/>
                <w:szCs w:val="24"/>
                <w:vertAlign w:val="superscript"/>
                <w:rtl w:val="0"/>
              </w:rPr>
              <w:t xml:space="preserve">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Cardiometabolic and infectious disease research.</w:t>
            </w:r>
            <w:r w:rsidDel="00000000" w:rsidR="00000000" w:rsidRPr="00000000">
              <w:rPr>
                <w:rFonts w:ascii="Google Sans" w:cs="Google Sans" w:eastAsia="Google Sans" w:hAnsi="Google Sans"/>
                <w:color w:val="444746"/>
                <w:sz w:val="24"/>
                <w:szCs w:val="24"/>
                <w:vertAlign w:val="superscript"/>
                <w:rtl w:val="0"/>
              </w:rPr>
              <w:t xml:space="preserve">33</w:t>
            </w:r>
          </w:p>
        </w:tc>
      </w:tr>
    </w:tbl>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Clinical Frontiers and Public Health</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2026, the clinical landscape is defined by the approval of non-addictive pain therapies and a deeper understanding of the molecular triggers for chronic disease.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Suzetrigine (Journavax): A Milestone in Opioid-Free Pain Relief</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FDA approval of suzetrigine (Journavax) in January 2025 marked the first new class of pain medication in more than 20 years.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As a selective inhibitor of the voltage-gated sodium channel </w:t>
      </w:r>
      <w:r w:rsidDel="00000000" w:rsidR="00000000" w:rsidRPr="00000000">
        <w:rPr>
          <w:rFonts w:ascii="Google Sans" w:cs="Google Sans" w:eastAsia="Google Sans" w:hAnsi="Google Sans"/>
          <w:color w:val="1f1f1f"/>
        </w:rPr>
        <w:drawing>
          <wp:inline distB="19050" distT="19050" distL="19050" distR="19050">
            <wp:extent cx="614511" cy="226896"/>
            <wp:effectExtent b="0" l="0" r="0" t="0"/>
            <wp:docPr id="16"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614511" cy="2268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—found primarily in peripheral pain-sensing neurons—suzetrigine offers pain control without the central nervous system effects of opioids, such as euphoria and sedation.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Clinical trials for acute surgical pain demonstrated efficacy comparable to traditional opioids without the potential for addiction.</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In 2026, researchers are expanding their focus to evaluate its efficacy for chronic indications, such as diabetic peripheral neuropathy and radiculopathy.</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STING Protein and Innate Immunity</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Recent research published in </w:t>
      </w:r>
      <w:r w:rsidDel="00000000" w:rsidR="00000000" w:rsidRPr="00000000">
        <w:rPr>
          <w:rFonts w:ascii="Google Sans" w:cs="Google Sans" w:eastAsia="Google Sans" w:hAnsi="Google Sans"/>
          <w:i w:val="1"/>
          <w:iCs w:val="1"/>
          <w:color w:val="1f1f1f"/>
          <w:rtl w:val="0"/>
        </w:rPr>
        <w:t xml:space="preserve">Cell</w:t>
      </w:r>
      <w:r w:rsidDel="00000000" w:rsidR="00000000" w:rsidRPr="00000000">
        <w:rPr>
          <w:rFonts w:ascii="Google Sans" w:cs="Google Sans" w:eastAsia="Google Sans" w:hAnsi="Google Sans"/>
          <w:color w:val="1f1f1f"/>
          <w:rtl w:val="0"/>
        </w:rPr>
        <w:t xml:space="preserve"> has identified the mechanism by which the stimulator of interferon genes (STING) protein migrates between cellular organelles to initiate an immune signaling cascade.</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Scientists at UT Southwestern demonstrated that the transport protein </w:t>
      </w:r>
      <w:r w:rsidDel="00000000" w:rsidR="00000000" w:rsidRPr="00000000">
        <w:rPr>
          <w:rFonts w:ascii="Google Sans" w:cs="Google Sans" w:eastAsia="Google Sans" w:hAnsi="Google Sans"/>
          <w:color w:val="1f1f1f"/>
        </w:rPr>
        <w:drawing>
          <wp:inline distB="19050" distT="19050" distL="19050" distR="19050">
            <wp:extent cx="633264" cy="201493"/>
            <wp:effectExtent b="0" l="0" r="0" t="0"/>
            <wp:docPr id="17"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633264" cy="2014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responsible for moving STING from the endoplasmic reticulum to the Golgi apparatus.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Crucially, the study found that preventing this migration could offer a new strategy for treating autoimmune disorders, while increasing it could enhance the body's ability to fight off viral infections and cancer.</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NeMO Analytics and Neocortical Mapping</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Neuroscience Multi-Omic Analytics (NeMO Analytics) database, developed at the University of Maryland, has combined multiomic data from 188 studies to map brain development cell-by-cell across species.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One key discovery in 2026 is that the gene </w:t>
      </w:r>
      <w:r w:rsidDel="00000000" w:rsidR="00000000" w:rsidRPr="00000000">
        <w:rPr>
          <w:rFonts w:ascii="Google Sans" w:cs="Google Sans" w:eastAsia="Google Sans" w:hAnsi="Google Sans"/>
          <w:color w:val="1f1f1f"/>
        </w:rPr>
        <w:drawing>
          <wp:inline distB="19050" distT="19050" distL="19050" distR="19050">
            <wp:extent cx="588466" cy="199319"/>
            <wp:effectExtent b="0" l="0" r="0" t="0"/>
            <wp:docPr id="18"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88466" cy="199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turned off in human neural progenitors but active in mice, a difference that may explain why the human neocortex is able to grow significantly larger.</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This revolutionary database is helping scientists identify how disruptions like inflammation or epigenetic changes during development lead to schizophrenia and autism.</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Table 6: Representative High-Impact Scientific Papers (Q1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Title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Journal / Entity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Findings / Implications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"Study identifies transport protein key to immune response"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Cell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UT Southwestern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Pr>
              <w:drawing>
                <wp:inline distB="19050" distT="19050" distL="19050" distR="19050">
                  <wp:extent cx="633264" cy="201493"/>
                  <wp:effectExtent b="0" l="0" r="0" t="0"/>
                  <wp:docPr id="19"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633264" cy="20149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moves STING to Golgi; potential for autoimmune/cancer therapy.</w:t>
            </w:r>
            <w:r w:rsidDel="00000000" w:rsidR="00000000" w:rsidRPr="00000000">
              <w:rPr>
                <w:rFonts w:ascii="Google Sans" w:cs="Google Sans" w:eastAsia="Google Sans" w:hAnsi="Google Sans"/>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"Revolutionary database to map neocortical development"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Nature Neuroscience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UMSOM (NeMO)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Mapping 30M single-cell transcriptomes; </w:t>
            </w:r>
            <w:r w:rsidDel="00000000" w:rsidR="00000000" w:rsidRPr="00000000">
              <w:rPr>
                <w:rFonts w:ascii="Google Sans" w:cs="Google Sans" w:eastAsia="Google Sans" w:hAnsi="Google Sans"/>
                <w:color w:val="1f1f1f"/>
                <w:shd w:fill="auto" w:val="clear"/>
              </w:rPr>
              <w:drawing>
                <wp:inline distB="19050" distT="19050" distL="19050" distR="19050">
                  <wp:extent cx="588466" cy="199319"/>
                  <wp:effectExtent b="0" l="0" r="0" t="0"/>
                  <wp:docPr id="20"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88466" cy="19931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role in brain growth.</w:t>
            </w:r>
            <w:r w:rsidDel="00000000" w:rsidR="00000000" w:rsidRPr="00000000">
              <w:rPr>
                <w:rFonts w:ascii="Google Sans" w:cs="Google Sans" w:eastAsia="Google Sans" w:hAnsi="Google Sans"/>
                <w:color w:val="444746"/>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"Scalable platform sheds light on how cancer spreads"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Rice University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Advanced Tumor Landscape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ATLAS platform identifies CAFs as critical for cancer cluster survival.</w:t>
            </w:r>
            <w:r w:rsidDel="00000000" w:rsidR="00000000" w:rsidRPr="00000000">
              <w:rPr>
                <w:rFonts w:ascii="Google Sans" w:cs="Google Sans" w:eastAsia="Google Sans" w:hAnsi="Google Sans"/>
                <w:color w:val="444746"/>
                <w:sz w:val="24"/>
                <w:szCs w:val="24"/>
                <w:vertAlign w:val="superscript"/>
                <w:rtl w:val="0"/>
              </w:rPr>
              <w:t xml:space="preserve">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"Negative social ties as emerging risk factors for aging"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PNAS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Byungkyu Lee et 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Social ties impact aging, inflammation, and multimorbidity.</w:t>
            </w:r>
            <w:r w:rsidDel="00000000" w:rsidR="00000000" w:rsidRPr="00000000">
              <w:rPr>
                <w:rFonts w:ascii="Google Sans" w:cs="Google Sans" w:eastAsia="Google Sans" w:hAnsi="Google Sans"/>
                <w:color w:val="444746"/>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"Addictive craving alters brain decision-making"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Nature Mental Health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Yale University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Craving re-wires learning processes; different effects for alcohol vs cannabis.</w:t>
            </w:r>
            <w:r w:rsidDel="00000000" w:rsidR="00000000" w:rsidRPr="00000000">
              <w:rPr>
                <w:rFonts w:ascii="Google Sans" w:cs="Google Sans" w:eastAsia="Google Sans" w:hAnsi="Google Sans"/>
                <w:color w:val="444746"/>
                <w:sz w:val="24"/>
                <w:szCs w:val="24"/>
                <w:vertAlign w:val="superscript"/>
                <w:rtl w:val="0"/>
              </w:rPr>
              <w:t xml:space="preserve">41</w:t>
            </w:r>
          </w:p>
        </w:tc>
      </w:tr>
    </w:tbl>
    <w:p w:rsidR="00000000" w:rsidDel="00000000" w:rsidP="00000000" w:rsidRDefault="00000000" w:rsidRPr="00000000" w14:paraId="000000C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The Strategic Convergence of 2026</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scientific breakthroughs of the first quarter of 2026 illustrate a profound convergence of computational speed, molecular precision, and energy transition. The shift from point solutions to unified AI platforms is breaking down research silos, while autonomous agents like Kosmos are demonstrating that the pace of discovery can be scaled linearly with compute power.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the life sciences, the maturation of liquid biopsy and long-read sequencing technologies is moving the medical establishment toward a model of preventative, genomic-first intervention.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Geopolitically, the ascension of China in biopharmaceutical innovation and Japan's strategic bet on "physical AI" suggest a multi-polar innovation landscape where technological sovereignty is the primary currency.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Meanwhile, the energy sector is on the cusp of a solar revolution driven by perovskite-silicon tandem cells, even as fusion energy moves from the realm of plasma physics to industrial engineering.</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research directors and industrial leaders, the primary challenge of 2026 is managing the institutional divide between those who can leverage these high-horizon technologies and those who cannot. As digital twins, agentic workflows, and modular gene editing become the standard operating models for research, the ability to harmonize high-quality data and navigate a complex regulatory environment will determine which organizations lead the next chapter of the scientific age.</w:t>
      </w:r>
    </w:p>
    <w:p w:rsidR="00000000" w:rsidDel="00000000" w:rsidP="00000000" w:rsidRDefault="00000000" w:rsidRPr="00000000" w14:paraId="000000D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Referenzen</w:t>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future of science: 15 big predictions for 2026 in tech, AI and ..., Zugriff am März 27, 2026, </w:t>
      </w:r>
      <w:hyperlink r:id="rId23">
        <w:r w:rsidDel="00000000" w:rsidR="00000000" w:rsidRPr="00000000">
          <w:rPr>
            <w:rFonts w:ascii="Google Sans" w:cs="Google Sans" w:eastAsia="Google Sans" w:hAnsi="Google Sans"/>
            <w:color w:val="0000ee"/>
            <w:sz w:val="24"/>
            <w:szCs w:val="24"/>
            <w:u w:val="single"/>
            <w:rtl w:val="0"/>
          </w:rPr>
          <w:t xml:space="preserve">https://www.rdworldonline.com/the-future-of-science-15-big-predictions-for-2026-in-tech-ai-and-biopharma/</w:t>
        </w:r>
      </w:hyperlink>
      <w:r w:rsidDel="00000000" w:rsidR="00000000" w:rsidRPr="00000000">
        <w:rPr>
          <w:rtl w:val="0"/>
        </w:rPr>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life sciences trends to watch in 2026 - Cambridge Innovation Capital, Zugriff am März 27, 2026, </w:t>
      </w:r>
      <w:hyperlink r:id="rId24">
        <w:r w:rsidDel="00000000" w:rsidR="00000000" w:rsidRPr="00000000">
          <w:rPr>
            <w:rFonts w:ascii="Google Sans" w:cs="Google Sans" w:eastAsia="Google Sans" w:hAnsi="Google Sans"/>
            <w:color w:val="0000ee"/>
            <w:sz w:val="24"/>
            <w:szCs w:val="24"/>
            <w:u w:val="single"/>
            <w:rtl w:val="0"/>
          </w:rPr>
          <w:t xml:space="preserve">https://www.cic.vc/7-life-sciences-trends-to-watch-in-2026/</w:t>
        </w:r>
      </w:hyperlink>
      <w:r w:rsidDel="00000000" w:rsidR="00000000" w:rsidRPr="00000000">
        <w:rPr>
          <w:rtl w:val="0"/>
        </w:rPr>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2026 Pharmaceutical Innovation Frontier: A Strategic Analysis of AI Dominance, China's Ascent, and the Patent Cliff Landscape - DrugPatentWatch, Zugriff am März 27, 2026, </w:t>
      </w:r>
      <w:hyperlink r:id="rId25">
        <w:r w:rsidDel="00000000" w:rsidR="00000000" w:rsidRPr="00000000">
          <w:rPr>
            <w:rFonts w:ascii="Google Sans" w:cs="Google Sans" w:eastAsia="Google Sans" w:hAnsi="Google Sans"/>
            <w:color w:val="0000ee"/>
            <w:sz w:val="24"/>
            <w:szCs w:val="24"/>
            <w:u w:val="single"/>
            <w:rtl w:val="0"/>
          </w:rPr>
          <w:t xml:space="preserve">https://www.drugpatentwatch.com/blog/china-leads-in-ai-driven-drug-discovery-patents-signaling-pharmaceutical-innovation-boom/</w:t>
        </w:r>
      </w:hyperlink>
      <w:r w:rsidDel="00000000" w:rsidR="00000000" w:rsidRPr="00000000">
        <w:rPr>
          <w:rtl w:val="0"/>
        </w:rPr>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R&amp;D Trends 2026 | IQVIA, Zugriff am März 27, 2026, </w:t>
      </w:r>
      <w:hyperlink r:id="rId26">
        <w:r w:rsidDel="00000000" w:rsidR="00000000" w:rsidRPr="00000000">
          <w:rPr>
            <w:rFonts w:ascii="Google Sans" w:cs="Google Sans" w:eastAsia="Google Sans" w:hAnsi="Google Sans"/>
            <w:color w:val="0000ee"/>
            <w:sz w:val="24"/>
            <w:szCs w:val="24"/>
            <w:u w:val="single"/>
            <w:rtl w:val="0"/>
          </w:rPr>
          <w:t xml:space="preserve">https://www.iqvia.com/insights/the-iqvia-institute/reports-and-publications/reports/global-r-and-d-trends-2026</w:t>
        </w:r>
      </w:hyperlink>
      <w:r w:rsidDel="00000000" w:rsidR="00000000" w:rsidRPr="00000000">
        <w:rPr>
          <w:rtl w:val="0"/>
        </w:rPr>
      </w:r>
    </w:p>
    <w:p w:rsidR="00000000" w:rsidDel="00000000" w:rsidP="00000000" w:rsidRDefault="00000000" w:rsidRPr="00000000" w14:paraId="000000D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METI budget hike: Japan lifts chip and AI funding for FY 2026 - eeNews Europe, Zugriff am März 27, 2026, </w:t>
      </w:r>
      <w:hyperlink r:id="rId27">
        <w:r w:rsidDel="00000000" w:rsidR="00000000" w:rsidRPr="00000000">
          <w:rPr>
            <w:rFonts w:ascii="Google Sans" w:cs="Google Sans" w:eastAsia="Google Sans" w:hAnsi="Google Sans"/>
            <w:color w:val="0000ee"/>
            <w:sz w:val="24"/>
            <w:szCs w:val="24"/>
            <w:u w:val="single"/>
            <w:rtl w:val="0"/>
          </w:rPr>
          <w:t xml:space="preserve">https://www.eenewseurope.com/en/meti-budget-hike-japan-chip-ai-fy-2026/</w:t>
        </w:r>
      </w:hyperlink>
      <w:r w:rsidDel="00000000" w:rsidR="00000000" w:rsidRPr="00000000">
        <w:rPr>
          <w:rtl w:val="0"/>
        </w:rPr>
      </w:r>
    </w:p>
    <w:p w:rsidR="00000000" w:rsidDel="00000000" w:rsidP="00000000" w:rsidRDefault="00000000" w:rsidRPr="00000000" w14:paraId="000000D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Japan's investment targets include AI, quantum computing and drones - The Japan Times, Zugriff am März 27, 2026, </w:t>
      </w:r>
      <w:hyperlink r:id="rId28">
        <w:r w:rsidDel="00000000" w:rsidR="00000000" w:rsidRPr="00000000">
          <w:rPr>
            <w:rFonts w:ascii="Google Sans" w:cs="Google Sans" w:eastAsia="Google Sans" w:hAnsi="Google Sans"/>
            <w:color w:val="0000ee"/>
            <w:sz w:val="24"/>
            <w:szCs w:val="24"/>
            <w:u w:val="single"/>
            <w:rtl w:val="0"/>
          </w:rPr>
          <w:t xml:space="preserve">https://www.japantimes.co.jp/business/2026/03/10/japan-investment-targets-ai-quantum-drones/</w:t>
        </w:r>
      </w:hyperlink>
      <w:r w:rsidDel="00000000" w:rsidR="00000000" w:rsidRPr="00000000">
        <w:rPr>
          <w:rtl w:val="0"/>
        </w:rPr>
      </w:r>
    </w:p>
    <w:p w:rsidR="00000000" w:rsidDel="00000000" w:rsidP="00000000" w:rsidRDefault="00000000" w:rsidRPr="00000000" w14:paraId="000000D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Accelerating Science at Scale - Edison Scientific, Zugriff am März 27, 2026, </w:t>
      </w:r>
      <w:hyperlink r:id="rId29">
        <w:r w:rsidDel="00000000" w:rsidR="00000000" w:rsidRPr="00000000">
          <w:rPr>
            <w:rFonts w:ascii="Google Sans" w:cs="Google Sans" w:eastAsia="Google Sans" w:hAnsi="Google Sans"/>
            <w:color w:val="0000ee"/>
            <w:sz w:val="24"/>
            <w:szCs w:val="24"/>
            <w:u w:val="single"/>
            <w:rtl w:val="0"/>
          </w:rPr>
          <w:t xml:space="preserve">https://edisonscientific.com/articles/accelerating-science-at-scale</w:t>
        </w:r>
      </w:hyperlink>
      <w:r w:rsidDel="00000000" w:rsidR="00000000" w:rsidRPr="00000000">
        <w:rPr>
          <w:rtl w:val="0"/>
        </w:rPr>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Announcing Edison Scientific | FutureHouse, Zugriff am März 27, 2026, </w:t>
      </w:r>
      <w:hyperlink r:id="rId30">
        <w:r w:rsidDel="00000000" w:rsidR="00000000" w:rsidRPr="00000000">
          <w:rPr>
            <w:rFonts w:ascii="Google Sans" w:cs="Google Sans" w:eastAsia="Google Sans" w:hAnsi="Google Sans"/>
            <w:color w:val="0000ee"/>
            <w:sz w:val="24"/>
            <w:szCs w:val="24"/>
            <w:u w:val="single"/>
            <w:rtl w:val="0"/>
          </w:rPr>
          <w:t xml:space="preserve">https://www.futurehouse.org/research-announcements/announcing-edison-scientific</w:t>
        </w:r>
      </w:hyperlink>
      <w:r w:rsidDel="00000000" w:rsidR="00000000" w:rsidRPr="00000000">
        <w:rPr>
          <w:rtl w:val="0"/>
        </w:rPr>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Meet Kosmos: The Next-Gen AI Scientist - Seeflection.com, Zugriff am März 27, 2026, </w:t>
      </w:r>
      <w:hyperlink r:id="rId31">
        <w:r w:rsidDel="00000000" w:rsidR="00000000" w:rsidRPr="00000000">
          <w:rPr>
            <w:rFonts w:ascii="Google Sans" w:cs="Google Sans" w:eastAsia="Google Sans" w:hAnsi="Google Sans"/>
            <w:color w:val="0000ee"/>
            <w:sz w:val="24"/>
            <w:szCs w:val="24"/>
            <w:u w:val="single"/>
            <w:rtl w:val="0"/>
          </w:rPr>
          <w:t xml:space="preserve">https://seeflection.com/25679/meet-kosmos-the-next-gen-ai-scientist/</w:t>
        </w:r>
      </w:hyperlink>
      <w:r w:rsidDel="00000000" w:rsidR="00000000" w:rsidRPr="00000000">
        <w:rPr>
          <w:rtl w:val="0"/>
        </w:rPr>
      </w:r>
    </w:p>
    <w:p w:rsidR="00000000" w:rsidDel="00000000" w:rsidP="00000000" w:rsidRDefault="00000000" w:rsidRPr="00000000" w14:paraId="000000D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Kosmos: An AI Scientist for Autonomous Discovery - Edison Scientific, Zugriff am März 27, 2026, </w:t>
      </w:r>
      <w:hyperlink r:id="rId32">
        <w:r w:rsidDel="00000000" w:rsidR="00000000" w:rsidRPr="00000000">
          <w:rPr>
            <w:rFonts w:ascii="Google Sans" w:cs="Google Sans" w:eastAsia="Google Sans" w:hAnsi="Google Sans"/>
            <w:color w:val="0000ee"/>
            <w:sz w:val="24"/>
            <w:szCs w:val="24"/>
            <w:u w:val="single"/>
            <w:rtl w:val="0"/>
          </w:rPr>
          <w:t xml:space="preserve">https://edisonscientific.com/articles/announcing-kosmos</w:t>
        </w:r>
      </w:hyperlink>
      <w:r w:rsidDel="00000000" w:rsidR="00000000" w:rsidRPr="00000000">
        <w:rPr>
          <w:rtl w:val="0"/>
        </w:rPr>
      </w:r>
    </w:p>
    <w:p w:rsidR="00000000" w:rsidDel="00000000" w:rsidP="00000000" w:rsidRDefault="00000000" w:rsidRPr="00000000" w14:paraId="000000D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big tech: these 26 leaders are writing the next chapter of AI - Nisum, Zugriff am März 27, 2026, </w:t>
      </w:r>
      <w:hyperlink r:id="rId33">
        <w:r w:rsidDel="00000000" w:rsidR="00000000" w:rsidRPr="00000000">
          <w:rPr>
            <w:rFonts w:ascii="Google Sans" w:cs="Google Sans" w:eastAsia="Google Sans" w:hAnsi="Google Sans"/>
            <w:color w:val="0000ee"/>
            <w:sz w:val="24"/>
            <w:szCs w:val="24"/>
            <w:u w:val="single"/>
            <w:rtl w:val="0"/>
          </w:rPr>
          <w:t xml:space="preserve">https://www.nisum.com/nisum-knows/beyond-big-tech-ai-leaders-shaping-next-chapter</w:t>
        </w:r>
      </w:hyperlink>
      <w:r w:rsidDel="00000000" w:rsidR="00000000" w:rsidRPr="00000000">
        <w:rPr>
          <w:rtl w:val="0"/>
        </w:rPr>
      </w:r>
    </w:p>
    <w:p w:rsidR="00000000" w:rsidDel="00000000" w:rsidP="00000000" w:rsidRDefault="00000000" w:rsidRPr="00000000" w14:paraId="000000D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SCIENTIFIC FORECAST — 2026: The Year of Major Experiments, Zugriff am März 27, 2026, </w:t>
      </w:r>
      <w:hyperlink r:id="rId34">
        <w:r w:rsidDel="00000000" w:rsidR="00000000" w:rsidRPr="00000000">
          <w:rPr>
            <w:rFonts w:ascii="Google Sans" w:cs="Google Sans" w:eastAsia="Google Sans" w:hAnsi="Google Sans"/>
            <w:color w:val="0000ee"/>
            <w:sz w:val="24"/>
            <w:szCs w:val="24"/>
            <w:u w:val="single"/>
            <w:rtl w:val="0"/>
          </w:rPr>
          <w:t xml:space="preserve">https://huxley.media/en/scientific-forecast-2026-the-year-of-major-experiments/</w:t>
        </w:r>
      </w:hyperlink>
      <w:r w:rsidDel="00000000" w:rsidR="00000000" w:rsidRPr="00000000">
        <w:rPr>
          <w:rtl w:val="0"/>
        </w:rPr>
      </w:r>
    </w:p>
    <w:p w:rsidR="00000000" w:rsidDel="00000000" w:rsidP="00000000" w:rsidRDefault="00000000" w:rsidRPr="00000000" w14:paraId="000000D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Scientific breakthroughs: 2026 emerging trends to watch - CAS, Zugriff am März 27, 2026, </w:t>
      </w:r>
      <w:hyperlink r:id="rId35">
        <w:r w:rsidDel="00000000" w:rsidR="00000000" w:rsidRPr="00000000">
          <w:rPr>
            <w:rFonts w:ascii="Google Sans" w:cs="Google Sans" w:eastAsia="Google Sans" w:hAnsi="Google Sans"/>
            <w:color w:val="0000ee"/>
            <w:sz w:val="24"/>
            <w:szCs w:val="24"/>
            <w:u w:val="single"/>
            <w:rtl w:val="0"/>
          </w:rPr>
          <w:t xml:space="preserve">https://www.cas.org/resources/cas-insights/scientific-breakthroughs-2026-emerging-trends-watch</w:t>
        </w:r>
      </w:hyperlink>
      <w:r w:rsidDel="00000000" w:rsidR="00000000" w:rsidRPr="00000000">
        <w:rPr>
          <w:rtl w:val="0"/>
        </w:rPr>
      </w:r>
    </w:p>
    <w:p w:rsidR="00000000" w:rsidDel="00000000" w:rsidP="00000000" w:rsidRDefault="00000000" w:rsidRPr="00000000" w14:paraId="000000D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Nuclear fusion: The science behind the energy technology, explained, Zugriff am März 27, 2026, </w:t>
      </w:r>
      <w:hyperlink r:id="rId36">
        <w:r w:rsidDel="00000000" w:rsidR="00000000" w:rsidRPr="00000000">
          <w:rPr>
            <w:rFonts w:ascii="Google Sans" w:cs="Google Sans" w:eastAsia="Google Sans" w:hAnsi="Google Sans"/>
            <w:color w:val="0000ee"/>
            <w:sz w:val="24"/>
            <w:szCs w:val="24"/>
            <w:u w:val="single"/>
            <w:rtl w:val="0"/>
          </w:rPr>
          <w:t xml:space="preserve">https://www.weforum.org/stories/2026/02/nuclear-fusion-science-explained/</w:t>
        </w:r>
      </w:hyperlink>
      <w:r w:rsidDel="00000000" w:rsidR="00000000" w:rsidRPr="00000000">
        <w:rPr>
          <w:rtl w:val="0"/>
        </w:rPr>
      </w:r>
    </w:p>
    <w:p w:rsidR="00000000" w:rsidDel="00000000" w:rsidP="00000000" w:rsidRDefault="00000000" w:rsidRPr="00000000" w14:paraId="000000D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Report Finds Diagnostic Innovation Critical for Fusion Energy Commercialization | National Ignition Facility &amp; Photon Science, Zugriff am März 27, 2026, </w:t>
      </w:r>
      <w:hyperlink r:id="rId37">
        <w:r w:rsidDel="00000000" w:rsidR="00000000" w:rsidRPr="00000000">
          <w:rPr>
            <w:rFonts w:ascii="Google Sans" w:cs="Google Sans" w:eastAsia="Google Sans" w:hAnsi="Google Sans"/>
            <w:color w:val="0000ee"/>
            <w:sz w:val="24"/>
            <w:szCs w:val="24"/>
            <w:u w:val="single"/>
            <w:rtl w:val="0"/>
          </w:rPr>
          <w:t xml:space="preserve">https://lasers.llnl.gov/news/new-report-finds-diagnostic-innovation-critical-fusion-energy-commercialization</w:t>
        </w:r>
      </w:hyperlink>
      <w:r w:rsidDel="00000000" w:rsidR="00000000" w:rsidRPr="00000000">
        <w:rPr>
          <w:rtl w:val="0"/>
        </w:rPr>
      </w:r>
    </w:p>
    <w:p w:rsidR="00000000" w:rsidDel="00000000" w:rsidP="00000000" w:rsidRDefault="00000000" w:rsidRPr="00000000" w14:paraId="000000E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JinkoSolar perovskite silicon tandem solar cell reaches 32.76% efficiency milestone, Zugriff am März 27, 2026, </w:t>
      </w:r>
      <w:hyperlink r:id="rId38">
        <w:r w:rsidDel="00000000" w:rsidR="00000000" w:rsidRPr="00000000">
          <w:rPr>
            <w:rFonts w:ascii="Google Sans" w:cs="Google Sans" w:eastAsia="Google Sans" w:hAnsi="Google Sans"/>
            <w:color w:val="0000ee"/>
            <w:sz w:val="24"/>
            <w:szCs w:val="24"/>
            <w:u w:val="single"/>
            <w:rtl w:val="0"/>
          </w:rPr>
          <w:t xml:space="preserve">https://www.greenbuildingafrica.co.za/jinkosolar-perovskite-silicon-tandem-solar-cell-reaches-32-76-efficiency-milestone/</w:t>
        </w:r>
      </w:hyperlink>
      <w:r w:rsidDel="00000000" w:rsidR="00000000" w:rsidRPr="00000000">
        <w:rPr>
          <w:rtl w:val="0"/>
        </w:rPr>
      </w:r>
    </w:p>
    <w:p w:rsidR="00000000" w:rsidDel="00000000" w:rsidP="00000000" w:rsidRDefault="00000000" w:rsidRPr="00000000" w14:paraId="000000E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Perovskite Solar Cells: 2026 Commercialization Update - The smarter E India, Zugriff am März 27, 2026, </w:t>
      </w:r>
      <w:hyperlink r:id="rId39">
        <w:r w:rsidDel="00000000" w:rsidR="00000000" w:rsidRPr="00000000">
          <w:rPr>
            <w:rFonts w:ascii="Google Sans" w:cs="Google Sans" w:eastAsia="Google Sans" w:hAnsi="Google Sans"/>
            <w:color w:val="0000ee"/>
            <w:sz w:val="24"/>
            <w:szCs w:val="24"/>
            <w:u w:val="single"/>
            <w:rtl w:val="0"/>
          </w:rPr>
          <w:t xml:space="preserve">https://www.thesmartere.in/news/perovskite-tandem-solar-cells</w:t>
        </w:r>
      </w:hyperlink>
      <w:r w:rsidDel="00000000" w:rsidR="00000000" w:rsidRPr="00000000">
        <w:rPr>
          <w:rtl w:val="0"/>
        </w:rPr>
      </w:r>
    </w:p>
    <w:p w:rsidR="00000000" w:rsidDel="00000000" w:rsidP="00000000" w:rsidRDefault="00000000" w:rsidRPr="00000000" w14:paraId="000000E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Martian Moons eXploration: MMX, Zugriff am März 27, 2026, </w:t>
      </w:r>
      <w:hyperlink r:id="rId40">
        <w:r w:rsidDel="00000000" w:rsidR="00000000" w:rsidRPr="00000000">
          <w:rPr>
            <w:rFonts w:ascii="Google Sans" w:cs="Google Sans" w:eastAsia="Google Sans" w:hAnsi="Google Sans"/>
            <w:color w:val="0000ee"/>
            <w:sz w:val="24"/>
            <w:szCs w:val="24"/>
            <w:u w:val="single"/>
            <w:rtl w:val="0"/>
          </w:rPr>
          <w:t xml:space="preserve">https://www.mmx.jaxa.jp/en/</w:t>
        </w:r>
      </w:hyperlink>
      <w:r w:rsidDel="00000000" w:rsidR="00000000" w:rsidRPr="00000000">
        <w:rPr>
          <w:rtl w:val="0"/>
        </w:rPr>
      </w:r>
    </w:p>
    <w:p w:rsidR="00000000" w:rsidDel="00000000" w:rsidP="00000000" w:rsidRDefault="00000000" w:rsidRPr="00000000" w14:paraId="000000E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NASA News Releases, Zugriff am März 27, 2026, </w:t>
      </w:r>
      <w:hyperlink r:id="rId41">
        <w:r w:rsidDel="00000000" w:rsidR="00000000" w:rsidRPr="00000000">
          <w:rPr>
            <w:rFonts w:ascii="Google Sans" w:cs="Google Sans" w:eastAsia="Google Sans" w:hAnsi="Google Sans"/>
            <w:color w:val="0000ee"/>
            <w:sz w:val="24"/>
            <w:szCs w:val="24"/>
            <w:u w:val="single"/>
            <w:rtl w:val="0"/>
          </w:rPr>
          <w:t xml:space="preserve">https://www.nasa.gov/2026-news-releases/</w:t>
        </w:r>
      </w:hyperlink>
      <w:r w:rsidDel="00000000" w:rsidR="00000000" w:rsidRPr="00000000">
        <w:rPr>
          <w:rtl w:val="0"/>
        </w:rPr>
      </w:r>
    </w:p>
    <w:p w:rsidR="00000000" w:rsidDel="00000000" w:rsidP="00000000" w:rsidRDefault="00000000" w:rsidRPr="00000000" w14:paraId="000000E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NASA to Share Artemis II Flight Readiness Review Update, Zugriff am März 27, 2026, </w:t>
      </w:r>
      <w:hyperlink r:id="rId42">
        <w:r w:rsidDel="00000000" w:rsidR="00000000" w:rsidRPr="00000000">
          <w:rPr>
            <w:rFonts w:ascii="Google Sans" w:cs="Google Sans" w:eastAsia="Google Sans" w:hAnsi="Google Sans"/>
            <w:color w:val="0000ee"/>
            <w:sz w:val="24"/>
            <w:szCs w:val="24"/>
            <w:u w:val="single"/>
            <w:rtl w:val="0"/>
          </w:rPr>
          <w:t xml:space="preserve">https://www.nasa.gov/news-release/nasa-to-share-artemis-ii-flight-readiness-review-update/</w:t>
        </w:r>
      </w:hyperlink>
      <w:r w:rsidDel="00000000" w:rsidR="00000000" w:rsidRPr="00000000">
        <w:rPr>
          <w:rtl w:val="0"/>
        </w:rPr>
      </w:r>
    </w:p>
    <w:p w:rsidR="00000000" w:rsidDel="00000000" w:rsidP="00000000" w:rsidRDefault="00000000" w:rsidRPr="00000000" w14:paraId="000000E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MMX, Japan's Martian Moons eXploration mission - The Planetary Society, Zugriff am März 27, 2026, </w:t>
      </w:r>
      <w:hyperlink r:id="rId43">
        <w:r w:rsidDel="00000000" w:rsidR="00000000" w:rsidRPr="00000000">
          <w:rPr>
            <w:rFonts w:ascii="Google Sans" w:cs="Google Sans" w:eastAsia="Google Sans" w:hAnsi="Google Sans"/>
            <w:color w:val="0000ee"/>
            <w:sz w:val="24"/>
            <w:szCs w:val="24"/>
            <w:u w:val="single"/>
            <w:rtl w:val="0"/>
          </w:rPr>
          <w:t xml:space="preserve">https://www.planetary.org/space-missions/mmx</w:t>
        </w:r>
      </w:hyperlink>
      <w:r w:rsidDel="00000000" w:rsidR="00000000" w:rsidRPr="00000000">
        <w:rPr>
          <w:rtl w:val="0"/>
        </w:rPr>
      </w:r>
    </w:p>
    <w:p w:rsidR="00000000" w:rsidDel="00000000" w:rsidP="00000000" w:rsidRDefault="00000000" w:rsidRPr="00000000" w14:paraId="000000E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ESA - MMX factsheet - European Space Agency, Zugriff am März 27, 2026, </w:t>
      </w:r>
      <w:hyperlink r:id="rId44">
        <w:r w:rsidDel="00000000" w:rsidR="00000000" w:rsidRPr="00000000">
          <w:rPr>
            <w:rFonts w:ascii="Google Sans" w:cs="Google Sans" w:eastAsia="Google Sans" w:hAnsi="Google Sans"/>
            <w:color w:val="0000ee"/>
            <w:sz w:val="24"/>
            <w:szCs w:val="24"/>
            <w:u w:val="single"/>
            <w:rtl w:val="0"/>
          </w:rPr>
          <w:t xml:space="preserve">https://www.esa.int/Science_Exploration/Space_Science/MMX_factsheet</w:t>
        </w:r>
      </w:hyperlink>
      <w:r w:rsidDel="00000000" w:rsidR="00000000" w:rsidRPr="00000000">
        <w:rPr>
          <w:rtl w:val="0"/>
        </w:rPr>
      </w:r>
    </w:p>
    <w:p w:rsidR="00000000" w:rsidDel="00000000" w:rsidP="00000000" w:rsidRDefault="00000000" w:rsidRPr="00000000" w14:paraId="000000E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DOE Announces $293M in Funding to Support Genesis ... - HPCwire, Zugriff am März 27, 2026, </w:t>
      </w:r>
      <w:hyperlink r:id="rId45">
        <w:r w:rsidDel="00000000" w:rsidR="00000000" w:rsidRPr="00000000">
          <w:rPr>
            <w:rFonts w:ascii="Google Sans" w:cs="Google Sans" w:eastAsia="Google Sans" w:hAnsi="Google Sans"/>
            <w:color w:val="0000ee"/>
            <w:sz w:val="24"/>
            <w:szCs w:val="24"/>
            <w:u w:val="single"/>
            <w:rtl w:val="0"/>
          </w:rPr>
          <w:t xml:space="preserve">https://www.hpcwire.com/aiwire/2026/03/17/doe-announces-293m-in-funding-to-support-genesis-mission-national-science-and-technology-challenges/</w:t>
        </w:r>
      </w:hyperlink>
      <w:r w:rsidDel="00000000" w:rsidR="00000000" w:rsidRPr="00000000">
        <w:rPr>
          <w:rtl w:val="0"/>
        </w:rPr>
      </w:r>
    </w:p>
    <w:p w:rsidR="00000000" w:rsidDel="00000000" w:rsidP="00000000" w:rsidRDefault="00000000" w:rsidRPr="00000000" w14:paraId="000000E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 AI Act - Updates, Compliance, Training, Zugriff am März 27, 2026, </w:t>
      </w:r>
      <w:hyperlink r:id="rId46">
        <w:r w:rsidDel="00000000" w:rsidR="00000000" w:rsidRPr="00000000">
          <w:rPr>
            <w:rFonts w:ascii="Google Sans" w:cs="Google Sans" w:eastAsia="Google Sans" w:hAnsi="Google Sans"/>
            <w:color w:val="0000ee"/>
            <w:sz w:val="24"/>
            <w:szCs w:val="24"/>
            <w:u w:val="single"/>
            <w:rtl w:val="0"/>
          </w:rPr>
          <w:t xml:space="preserve">https://www.artificial-intelligence-act.com/</w:t>
        </w:r>
      </w:hyperlink>
      <w:r w:rsidDel="00000000" w:rsidR="00000000" w:rsidRPr="00000000">
        <w:rPr>
          <w:rtl w:val="0"/>
        </w:rPr>
      </w:r>
    </w:p>
    <w:p w:rsidR="00000000" w:rsidDel="00000000" w:rsidP="00000000" w:rsidRDefault="00000000" w:rsidRPr="00000000" w14:paraId="000000E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DOE offers funding for biotechnology projects leveraging AI | Biomass Magazine, Zugriff am März 27, 2026, </w:t>
      </w:r>
      <w:hyperlink r:id="rId47">
        <w:r w:rsidDel="00000000" w:rsidR="00000000" w:rsidRPr="00000000">
          <w:rPr>
            <w:rFonts w:ascii="Google Sans" w:cs="Google Sans" w:eastAsia="Google Sans" w:hAnsi="Google Sans"/>
            <w:color w:val="0000ee"/>
            <w:sz w:val="24"/>
            <w:szCs w:val="24"/>
            <w:u w:val="single"/>
            <w:rtl w:val="0"/>
          </w:rPr>
          <w:t xml:space="preserve">https://biomassmagazine.com/articles/doe-offers-funding-biotechnology-projects-leveraging-ai</w:t>
        </w:r>
      </w:hyperlink>
      <w:r w:rsidDel="00000000" w:rsidR="00000000" w:rsidRPr="00000000">
        <w:rPr>
          <w:rtl w:val="0"/>
        </w:rPr>
      </w:r>
    </w:p>
    <w:p w:rsidR="00000000" w:rsidDel="00000000" w:rsidP="00000000" w:rsidRDefault="00000000" w:rsidRPr="00000000" w14:paraId="000000E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 AI Act - Timeline Update | Tech Law Blog, Zugriff am März 27, 2026, </w:t>
      </w:r>
      <w:hyperlink r:id="rId48">
        <w:r w:rsidDel="00000000" w:rsidR="00000000" w:rsidRPr="00000000">
          <w:rPr>
            <w:rFonts w:ascii="Google Sans" w:cs="Google Sans" w:eastAsia="Google Sans" w:hAnsi="Google Sans"/>
            <w:color w:val="0000ee"/>
            <w:sz w:val="24"/>
            <w:szCs w:val="24"/>
            <w:u w:val="single"/>
            <w:rtl w:val="0"/>
          </w:rPr>
          <w:t xml:space="preserve">https://www.techlaw.ie/2026/03/articles/artificial-intelligence/eu-ai-act-timeline-update/</w:t>
        </w:r>
      </w:hyperlink>
      <w:r w:rsidDel="00000000" w:rsidR="00000000" w:rsidRPr="00000000">
        <w:rPr>
          <w:rtl w:val="0"/>
        </w:rPr>
      </w:r>
    </w:p>
    <w:p w:rsidR="00000000" w:rsidDel="00000000" w:rsidP="00000000" w:rsidRDefault="00000000" w:rsidRPr="00000000" w14:paraId="000000E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European Parliament votes to delay EU AI Act implementation - CIO, Zugriff am März 27, 2026, </w:t>
      </w:r>
      <w:hyperlink r:id="rId49">
        <w:r w:rsidDel="00000000" w:rsidR="00000000" w:rsidRPr="00000000">
          <w:rPr>
            <w:rFonts w:ascii="Google Sans" w:cs="Google Sans" w:eastAsia="Google Sans" w:hAnsi="Google Sans"/>
            <w:color w:val="0000ee"/>
            <w:sz w:val="24"/>
            <w:szCs w:val="24"/>
            <w:u w:val="single"/>
            <w:rtl w:val="0"/>
          </w:rPr>
          <w:t xml:space="preserve">https://www.cio.com/article/4150989/european-parliament-delays-implementation-of-parts-of-the-eu-ai-act.html</w:t>
        </w:r>
      </w:hyperlink>
      <w:r w:rsidDel="00000000" w:rsidR="00000000" w:rsidRPr="00000000">
        <w:rPr>
          <w:rtl w:val="0"/>
        </w:rPr>
      </w:r>
    </w:p>
    <w:p w:rsidR="00000000" w:rsidDel="00000000" w:rsidP="00000000" w:rsidRDefault="00000000" w:rsidRPr="00000000" w14:paraId="000000E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 AI Act 2026 Updates: Compliance Requirements and Business Risks - Legal Nodes, Zugriff am März 27, 2026, </w:t>
      </w:r>
      <w:hyperlink r:id="rId50">
        <w:r w:rsidDel="00000000" w:rsidR="00000000" w:rsidRPr="00000000">
          <w:rPr>
            <w:rFonts w:ascii="Google Sans" w:cs="Google Sans" w:eastAsia="Google Sans" w:hAnsi="Google Sans"/>
            <w:color w:val="0000ee"/>
            <w:sz w:val="24"/>
            <w:szCs w:val="24"/>
            <w:u w:val="single"/>
            <w:rtl w:val="0"/>
          </w:rPr>
          <w:t xml:space="preserve">https://www.legalnodes.com/article/eu-ai-act-2026-updates-compliance-requirements-and-business-risks</w:t>
        </w:r>
      </w:hyperlink>
      <w:r w:rsidDel="00000000" w:rsidR="00000000" w:rsidRPr="00000000">
        <w:rPr>
          <w:rtl w:val="0"/>
        </w:rPr>
      </w:r>
    </w:p>
    <w:p w:rsidR="00000000" w:rsidDel="00000000" w:rsidP="00000000" w:rsidRDefault="00000000" w:rsidRPr="00000000" w14:paraId="000000E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 adopts the Horizon Europe Work Programme for 2026–2027 - CETAF, Zugriff am März 27, 2026, </w:t>
      </w:r>
      <w:hyperlink r:id="rId51">
        <w:r w:rsidDel="00000000" w:rsidR="00000000" w:rsidRPr="00000000">
          <w:rPr>
            <w:rFonts w:ascii="Google Sans" w:cs="Google Sans" w:eastAsia="Google Sans" w:hAnsi="Google Sans"/>
            <w:color w:val="0000ee"/>
            <w:sz w:val="24"/>
            <w:szCs w:val="24"/>
            <w:u w:val="single"/>
            <w:rtl w:val="0"/>
          </w:rPr>
          <w:t xml:space="preserve">https://cetaf.org/horizon-europe-programme-2026-2027/</w:t>
        </w:r>
      </w:hyperlink>
      <w:r w:rsidDel="00000000" w:rsidR="00000000" w:rsidRPr="00000000">
        <w:rPr>
          <w:rtl w:val="0"/>
        </w:rPr>
      </w:r>
    </w:p>
    <w:p w:rsidR="00000000" w:rsidDel="00000000" w:rsidP="00000000" w:rsidRDefault="00000000" w:rsidRPr="00000000" w14:paraId="000000E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Horizon Europe work programmes 2026-2027 - Euraxess - European Union, Zugriff am März 27, 2026, </w:t>
      </w:r>
      <w:hyperlink r:id="rId52">
        <w:r w:rsidDel="00000000" w:rsidR="00000000" w:rsidRPr="00000000">
          <w:rPr>
            <w:rFonts w:ascii="Google Sans" w:cs="Google Sans" w:eastAsia="Google Sans" w:hAnsi="Google Sans"/>
            <w:color w:val="0000ee"/>
            <w:sz w:val="24"/>
            <w:szCs w:val="24"/>
            <w:u w:val="single"/>
            <w:rtl w:val="0"/>
          </w:rPr>
          <w:t xml:space="preserve">https://euraxess.ec.europa.eu/worldwide/china/news/horizon-europe-work-programmes-2026-2027</w:t>
        </w:r>
      </w:hyperlink>
      <w:r w:rsidDel="00000000" w:rsidR="00000000" w:rsidRPr="00000000">
        <w:rPr>
          <w:rtl w:val="0"/>
        </w:rPr>
      </w:r>
    </w:p>
    <w:p w:rsidR="00000000" w:rsidDel="00000000" w:rsidP="00000000" w:rsidRDefault="00000000" w:rsidRPr="00000000" w14:paraId="000000E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Horizon Europe Work Programme: What's new for 2026–2027, Zugriff am März 27, 2026, </w:t>
      </w:r>
      <w:hyperlink r:id="rId53">
        <w:r w:rsidDel="00000000" w:rsidR="00000000" w:rsidRPr="00000000">
          <w:rPr>
            <w:rFonts w:ascii="Google Sans" w:cs="Google Sans" w:eastAsia="Google Sans" w:hAnsi="Google Sans"/>
            <w:color w:val="0000ee"/>
            <w:sz w:val="24"/>
            <w:szCs w:val="24"/>
            <w:u w:val="single"/>
            <w:rtl w:val="0"/>
          </w:rPr>
          <w:t xml:space="preserve">https://www.zabala.eu/news/horizon-europe-work-programme/</w:t>
        </w:r>
      </w:hyperlink>
      <w:r w:rsidDel="00000000" w:rsidR="00000000" w:rsidRPr="00000000">
        <w:rPr>
          <w:rtl w:val="0"/>
        </w:rPr>
      </w:r>
    </w:p>
    <w:p w:rsidR="00000000" w:rsidDel="00000000" w:rsidP="00000000" w:rsidRDefault="00000000" w:rsidRPr="00000000" w14:paraId="000000F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Flexible funding can help Japan Inc catch up in the AI race - EquitiesFirst, Zugriff am März 27, 2026, </w:t>
      </w:r>
      <w:hyperlink r:id="rId54">
        <w:r w:rsidDel="00000000" w:rsidR="00000000" w:rsidRPr="00000000">
          <w:rPr>
            <w:rFonts w:ascii="Google Sans" w:cs="Google Sans" w:eastAsia="Google Sans" w:hAnsi="Google Sans"/>
            <w:color w:val="0000ee"/>
            <w:sz w:val="24"/>
            <w:szCs w:val="24"/>
            <w:u w:val="single"/>
            <w:rtl w:val="0"/>
          </w:rPr>
          <w:t xml:space="preserve">https://equitiesfirst.com/au/articles/flexible-funding-can-help-japan-inc-catch-up-in-the-ai-race/</w:t>
        </w:r>
      </w:hyperlink>
      <w:r w:rsidDel="00000000" w:rsidR="00000000" w:rsidRPr="00000000">
        <w:rPr>
          <w:rtl w:val="0"/>
        </w:rPr>
      </w:r>
    </w:p>
    <w:p w:rsidR="00000000" w:rsidDel="00000000" w:rsidP="00000000" w:rsidRDefault="00000000" w:rsidRPr="00000000" w14:paraId="000000F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Start Package Grants – For faculty recruitment Q1 2026 - Novo Nordisk Fonden, Zugriff am März 27, 2026, </w:t>
      </w:r>
      <w:hyperlink r:id="rId55">
        <w:r w:rsidDel="00000000" w:rsidR="00000000" w:rsidRPr="00000000">
          <w:rPr>
            <w:rFonts w:ascii="Google Sans" w:cs="Google Sans" w:eastAsia="Google Sans" w:hAnsi="Google Sans"/>
            <w:color w:val="0000ee"/>
            <w:sz w:val="24"/>
            <w:szCs w:val="24"/>
            <w:u w:val="single"/>
            <w:rtl w:val="0"/>
          </w:rPr>
          <w:t xml:space="preserve">https://novonordiskfonden.dk/en/grant/start-package-grants-for-faculty-recruitment-q1-2026/</w:t>
        </w:r>
      </w:hyperlink>
      <w:r w:rsidDel="00000000" w:rsidR="00000000" w:rsidRPr="00000000">
        <w:rPr>
          <w:rtl w:val="0"/>
        </w:rPr>
      </w:r>
    </w:p>
    <w:p w:rsidR="00000000" w:rsidDel="00000000" w:rsidP="00000000" w:rsidRDefault="00000000" w:rsidRPr="00000000" w14:paraId="000000F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Study identifies transport protein key to immune response: Newsroom - UT Southwestern, Dallas, Texas, Zugriff am März 27, 2026, </w:t>
      </w:r>
      <w:hyperlink r:id="rId56">
        <w:r w:rsidDel="00000000" w:rsidR="00000000" w:rsidRPr="00000000">
          <w:rPr>
            <w:rFonts w:ascii="Google Sans" w:cs="Google Sans" w:eastAsia="Google Sans" w:hAnsi="Google Sans"/>
            <w:color w:val="0000ee"/>
            <w:sz w:val="24"/>
            <w:szCs w:val="24"/>
            <w:u w:val="single"/>
            <w:rtl w:val="0"/>
          </w:rPr>
          <w:t xml:space="preserve">https://www.utsouthwestern.edu/newsroom/articles/year-2026/march-transport-protein-key-immune-response.html</w:t>
        </w:r>
      </w:hyperlink>
      <w:r w:rsidDel="00000000" w:rsidR="00000000" w:rsidRPr="00000000">
        <w:rPr>
          <w:rtl w:val="0"/>
        </w:rPr>
      </w:r>
    </w:p>
    <w:p w:rsidR="00000000" w:rsidDel="00000000" w:rsidP="00000000" w:rsidRDefault="00000000" w:rsidRPr="00000000" w14:paraId="000000F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Suzetrigine: First-in-Class Nonopioid Pain Therapy Is Approved by FDA | AJMC, Zugriff am März 27, 2026, </w:t>
      </w:r>
      <w:hyperlink r:id="rId57">
        <w:r w:rsidDel="00000000" w:rsidR="00000000" w:rsidRPr="00000000">
          <w:rPr>
            <w:rFonts w:ascii="Google Sans" w:cs="Google Sans" w:eastAsia="Google Sans" w:hAnsi="Google Sans"/>
            <w:color w:val="0000ee"/>
            <w:sz w:val="24"/>
            <w:szCs w:val="24"/>
            <w:u w:val="single"/>
            <w:rtl w:val="0"/>
          </w:rPr>
          <w:t xml:space="preserve">https://www.ajmc.com/view/suzetrigine-the-first-non-opiate-pain-therapy-is-fda-approved</w:t>
        </w:r>
      </w:hyperlink>
      <w:r w:rsidDel="00000000" w:rsidR="00000000" w:rsidRPr="00000000">
        <w:rPr>
          <w:rtl w:val="0"/>
        </w:rPr>
      </w:r>
    </w:p>
    <w:p w:rsidR="00000000" w:rsidDel="00000000" w:rsidP="00000000" w:rsidRDefault="00000000" w:rsidRPr="00000000" w14:paraId="000000F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Emerging Pain Management Options Help Surgeons Avoid Prescribing Opioids? | ACS, Zugriff am März 27, 2026, </w:t>
      </w:r>
      <w:hyperlink r:id="rId58">
        <w:r w:rsidDel="00000000" w:rsidR="00000000" w:rsidRPr="00000000">
          <w:rPr>
            <w:rFonts w:ascii="Google Sans" w:cs="Google Sans" w:eastAsia="Google Sans" w:hAnsi="Google Sans"/>
            <w:color w:val="0000ee"/>
            <w:sz w:val="24"/>
            <w:szCs w:val="24"/>
            <w:u w:val="single"/>
            <w:rtl w:val="0"/>
          </w:rPr>
          <w:t xml:space="preserve">https://www.facs.org/for-medical-professionals/news-publications/news-and-articles/bulletin/2026/february-2026-volume-111-issue-2/can-emerging-pain-management-options-help-surgeons-avoid-prescribing-opioids/</w:t>
        </w:r>
      </w:hyperlink>
      <w:r w:rsidDel="00000000" w:rsidR="00000000" w:rsidRPr="00000000">
        <w:rPr>
          <w:rtl w:val="0"/>
        </w:rPr>
      </w:r>
    </w:p>
    <w:p w:rsidR="00000000" w:rsidDel="00000000" w:rsidP="00000000" w:rsidRDefault="00000000" w:rsidRPr="00000000" w14:paraId="000000F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FDA Approves Non-Opioid Treatment for Moderate to Severe Acute Pain - IASP, Zugriff am März 27, 2026, </w:t>
      </w:r>
      <w:hyperlink r:id="rId59">
        <w:r w:rsidDel="00000000" w:rsidR="00000000" w:rsidRPr="00000000">
          <w:rPr>
            <w:rFonts w:ascii="Google Sans" w:cs="Google Sans" w:eastAsia="Google Sans" w:hAnsi="Google Sans"/>
            <w:color w:val="0000ee"/>
            <w:sz w:val="24"/>
            <w:szCs w:val="24"/>
            <w:u w:val="single"/>
            <w:rtl w:val="0"/>
          </w:rPr>
          <w:t xml:space="preserve">https://www.iasp-pain.org/publications/iasp-news/fda-approves-non-opioid-treatment-for-moderate-to-severe-acute-pain/</w:t>
        </w:r>
      </w:hyperlink>
      <w:r w:rsidDel="00000000" w:rsidR="00000000" w:rsidRPr="00000000">
        <w:rPr>
          <w:rtl w:val="0"/>
        </w:rPr>
      </w:r>
    </w:p>
    <w:p w:rsidR="00000000" w:rsidDel="00000000" w:rsidP="00000000" w:rsidRDefault="00000000" w:rsidRPr="00000000" w14:paraId="000000F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University of Maryland School of Medicine researchers create revolutionary database to map neocortical development across species | EurekAlert!, Zugriff am März 27, 2026, </w:t>
      </w:r>
      <w:hyperlink r:id="rId60">
        <w:r w:rsidDel="00000000" w:rsidR="00000000" w:rsidRPr="00000000">
          <w:rPr>
            <w:rFonts w:ascii="Google Sans" w:cs="Google Sans" w:eastAsia="Google Sans" w:hAnsi="Google Sans"/>
            <w:color w:val="0000ee"/>
            <w:sz w:val="24"/>
            <w:szCs w:val="24"/>
            <w:u w:val="single"/>
            <w:rtl w:val="0"/>
          </w:rPr>
          <w:t xml:space="preserve">https://www.eurekalert.org/news-releases/1121085</w:t>
        </w:r>
      </w:hyperlink>
      <w:r w:rsidDel="00000000" w:rsidR="00000000" w:rsidRPr="00000000">
        <w:rPr>
          <w:rtl w:val="0"/>
        </w:rPr>
      </w:r>
    </w:p>
    <w:p w:rsidR="00000000" w:rsidDel="00000000" w:rsidP="00000000" w:rsidRDefault="00000000" w:rsidRPr="00000000" w14:paraId="000000F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Scalable platform sheds light on how cancer spreads - EurekAlert!, Zugriff am März 27, 2026, </w:t>
      </w:r>
      <w:hyperlink r:id="rId61">
        <w:r w:rsidDel="00000000" w:rsidR="00000000" w:rsidRPr="00000000">
          <w:rPr>
            <w:rFonts w:ascii="Google Sans" w:cs="Google Sans" w:eastAsia="Google Sans" w:hAnsi="Google Sans"/>
            <w:color w:val="0000ee"/>
            <w:sz w:val="24"/>
            <w:szCs w:val="24"/>
            <w:u w:val="single"/>
            <w:rtl w:val="0"/>
          </w:rPr>
          <w:t xml:space="preserve">https://www.eurekalert.org/news-releases/1121597</w:t>
        </w:r>
      </w:hyperlink>
      <w:r w:rsidDel="00000000" w:rsidR="00000000" w:rsidRPr="00000000">
        <w:rPr>
          <w:rtl w:val="0"/>
        </w:rPr>
      </w:r>
    </w:p>
    <w:p w:rsidR="00000000" w:rsidDel="00000000" w:rsidP="00000000" w:rsidRDefault="00000000" w:rsidRPr="00000000" w14:paraId="000000F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PNAS – Explore High-Impact Scientific Research Across Disciplines from One of the World's Most-Cited Journals, Zugriff am März 27, 2026, </w:t>
      </w:r>
      <w:hyperlink r:id="rId62">
        <w:r w:rsidDel="00000000" w:rsidR="00000000" w:rsidRPr="00000000">
          <w:rPr>
            <w:rFonts w:ascii="Google Sans" w:cs="Google Sans" w:eastAsia="Google Sans" w:hAnsi="Google Sans"/>
            <w:color w:val="0000ee"/>
            <w:sz w:val="24"/>
            <w:szCs w:val="24"/>
            <w:u w:val="single"/>
            <w:rtl w:val="0"/>
          </w:rPr>
          <w:t xml:space="preserve">https://www.pnas.org/</w:t>
        </w:r>
      </w:hyperlink>
      <w:r w:rsidDel="00000000" w:rsidR="00000000" w:rsidRPr="00000000">
        <w:rPr>
          <w:rtl w:val="0"/>
        </w:rPr>
      </w:r>
    </w:p>
    <w:p w:rsidR="00000000" w:rsidDel="00000000" w:rsidP="00000000" w:rsidRDefault="00000000" w:rsidRPr="00000000" w14:paraId="000000F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Craving in Addiction May Alter How the Brain Makes Decisions | Yale School of Medicine, Zugriff am März 27, 2026, </w:t>
      </w:r>
      <w:hyperlink r:id="rId63">
        <w:r w:rsidDel="00000000" w:rsidR="00000000" w:rsidRPr="00000000">
          <w:rPr>
            <w:rFonts w:ascii="Google Sans" w:cs="Google Sans" w:eastAsia="Google Sans" w:hAnsi="Google Sans"/>
            <w:color w:val="0000ee"/>
            <w:sz w:val="24"/>
            <w:szCs w:val="24"/>
            <w:u w:val="single"/>
            <w:rtl w:val="0"/>
          </w:rPr>
          <w:t xml:space="preserve">https://medicine.yale.edu/news-article/craving-in-addiction-may-alter-how-the-brain-makes-decisions/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mmx.jaxa.jp/en/" TargetMode="External"/><Relationship Id="rId42" Type="http://schemas.openxmlformats.org/officeDocument/2006/relationships/hyperlink" Target="https://www.nasa.gov/news-release/nasa-to-share-artemis-ii-flight-readiness-review-update/" TargetMode="External"/><Relationship Id="rId41" Type="http://schemas.openxmlformats.org/officeDocument/2006/relationships/hyperlink" Target="https://www.nasa.gov/2026-news-releases/" TargetMode="External"/><Relationship Id="rId44" Type="http://schemas.openxmlformats.org/officeDocument/2006/relationships/hyperlink" Target="https://www.esa.int/Science_Exploration/Space_Science/MMX_factsheet" TargetMode="External"/><Relationship Id="rId43" Type="http://schemas.openxmlformats.org/officeDocument/2006/relationships/hyperlink" Target="https://www.planetary.org/space-missions/mmx" TargetMode="External"/><Relationship Id="rId46" Type="http://schemas.openxmlformats.org/officeDocument/2006/relationships/hyperlink" Target="https://www.artificial-intelligence-act.com/" TargetMode="External"/><Relationship Id="rId45" Type="http://schemas.openxmlformats.org/officeDocument/2006/relationships/hyperlink" Target="https://www.hpcwire.com/aiwire/2026/03/17/doe-announces-293m-in-funding-to-support-genesis-mission-national-science-and-technology-challeng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48" Type="http://schemas.openxmlformats.org/officeDocument/2006/relationships/hyperlink" Target="https://www.techlaw.ie/2026/03/articles/artificial-intelligence/eu-ai-act-timeline-update/" TargetMode="External"/><Relationship Id="rId47" Type="http://schemas.openxmlformats.org/officeDocument/2006/relationships/hyperlink" Target="https://biomassmagazine.com/articles/doe-offers-funding-biotechnology-projects-leveraging-ai" TargetMode="External"/><Relationship Id="rId49" Type="http://schemas.openxmlformats.org/officeDocument/2006/relationships/hyperlink" Target="https://www.cio.com/article/4150989/european-parliament-delays-implementation-of-parts-of-the-eu-ai-act.html" TargetMode="Externa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11.png"/><Relationship Id="rId31" Type="http://schemas.openxmlformats.org/officeDocument/2006/relationships/hyperlink" Target="https://seeflection.com/25679/meet-kosmos-the-next-gen-ai-scientist/" TargetMode="External"/><Relationship Id="rId30" Type="http://schemas.openxmlformats.org/officeDocument/2006/relationships/hyperlink" Target="https://www.futurehouse.org/research-announcements/announcing-edison-scientific" TargetMode="External"/><Relationship Id="rId33" Type="http://schemas.openxmlformats.org/officeDocument/2006/relationships/hyperlink" Target="https://www.nisum.com/nisum-knows/beyond-big-tech-ai-leaders-shaping-next-chapter" TargetMode="External"/><Relationship Id="rId32" Type="http://schemas.openxmlformats.org/officeDocument/2006/relationships/hyperlink" Target="https://edisonscientific.com/articles/announcing-kosmos" TargetMode="External"/><Relationship Id="rId35" Type="http://schemas.openxmlformats.org/officeDocument/2006/relationships/hyperlink" Target="https://www.cas.org/resources/cas-insights/scientific-breakthroughs-2026-emerging-trends-watch" TargetMode="External"/><Relationship Id="rId34" Type="http://schemas.openxmlformats.org/officeDocument/2006/relationships/hyperlink" Target="https://huxley.media/en/scientific-forecast-2026-the-year-of-major-experiments/" TargetMode="External"/><Relationship Id="rId37" Type="http://schemas.openxmlformats.org/officeDocument/2006/relationships/hyperlink" Target="https://lasers.llnl.gov/news/new-report-finds-diagnostic-innovation-critical-fusion-energy-commercialization" TargetMode="External"/><Relationship Id="rId36" Type="http://schemas.openxmlformats.org/officeDocument/2006/relationships/hyperlink" Target="https://www.weforum.org/stories/2026/02/nuclear-fusion-science-explained/" TargetMode="External"/><Relationship Id="rId39" Type="http://schemas.openxmlformats.org/officeDocument/2006/relationships/hyperlink" Target="https://www.thesmartere.in/news/perovskite-tandem-solar-cells" TargetMode="External"/><Relationship Id="rId38" Type="http://schemas.openxmlformats.org/officeDocument/2006/relationships/hyperlink" Target="https://www.greenbuildingafrica.co.za/jinkosolar-perovskite-silicon-tandem-solar-cell-reaches-32-76-efficiency-milestone/" TargetMode="External"/><Relationship Id="rId62" Type="http://schemas.openxmlformats.org/officeDocument/2006/relationships/hyperlink" Target="https://www.pnas.org/" TargetMode="External"/><Relationship Id="rId61" Type="http://schemas.openxmlformats.org/officeDocument/2006/relationships/hyperlink" Target="https://www.eurekalert.org/news-releases/1121597" TargetMode="External"/><Relationship Id="rId20" Type="http://schemas.openxmlformats.org/officeDocument/2006/relationships/image" Target="media/image13.png"/><Relationship Id="rId63" Type="http://schemas.openxmlformats.org/officeDocument/2006/relationships/hyperlink" Target="https://medicine.yale.edu/news-article/craving-in-addiction-may-alter-how-the-brain-makes-decisions/" TargetMode="External"/><Relationship Id="rId22" Type="http://schemas.openxmlformats.org/officeDocument/2006/relationships/image" Target="media/image17.png"/><Relationship Id="rId21" Type="http://schemas.openxmlformats.org/officeDocument/2006/relationships/image" Target="media/image16.png"/><Relationship Id="rId24" Type="http://schemas.openxmlformats.org/officeDocument/2006/relationships/hyperlink" Target="https://www.cic.vc/7-life-sciences-trends-to-watch-in-2026/" TargetMode="External"/><Relationship Id="rId23" Type="http://schemas.openxmlformats.org/officeDocument/2006/relationships/hyperlink" Target="https://www.rdworldonline.com/the-future-of-science-15-big-predictions-for-2026-in-tech-ai-and-biopharma/" TargetMode="External"/><Relationship Id="rId60" Type="http://schemas.openxmlformats.org/officeDocument/2006/relationships/hyperlink" Target="https://www.eurekalert.org/news-releases/1121085" TargetMode="External"/><Relationship Id="rId26" Type="http://schemas.openxmlformats.org/officeDocument/2006/relationships/hyperlink" Target="https://www.iqvia.com/insights/the-iqvia-institute/reports-and-publications/reports/global-r-and-d-trends-2026" TargetMode="External"/><Relationship Id="rId25" Type="http://schemas.openxmlformats.org/officeDocument/2006/relationships/hyperlink" Target="https://www.drugpatentwatch.com/blog/china-leads-in-ai-driven-drug-discovery-patents-signaling-pharmaceutical-innovation-boom/" TargetMode="External"/><Relationship Id="rId28" Type="http://schemas.openxmlformats.org/officeDocument/2006/relationships/hyperlink" Target="https://www.japantimes.co.jp/business/2026/03/10/japan-investment-targets-ai-quantum-drones/" TargetMode="External"/><Relationship Id="rId27" Type="http://schemas.openxmlformats.org/officeDocument/2006/relationships/hyperlink" Target="https://www.eenewseurope.com/en/meti-budget-hike-japan-chip-ai-fy-2026/" TargetMode="External"/><Relationship Id="rId29" Type="http://schemas.openxmlformats.org/officeDocument/2006/relationships/hyperlink" Target="https://edisonscientific.com/articles/accelerating-science-at-scale" TargetMode="External"/><Relationship Id="rId51" Type="http://schemas.openxmlformats.org/officeDocument/2006/relationships/hyperlink" Target="https://cetaf.org/horizon-europe-programme-2026-2027/" TargetMode="External"/><Relationship Id="rId50" Type="http://schemas.openxmlformats.org/officeDocument/2006/relationships/hyperlink" Target="https://www.legalnodes.com/article/eu-ai-act-2026-updates-compliance-requirements-and-business-risks" TargetMode="External"/><Relationship Id="rId53" Type="http://schemas.openxmlformats.org/officeDocument/2006/relationships/hyperlink" Target="https://www.zabala.eu/news/horizon-europe-work-programme/" TargetMode="External"/><Relationship Id="rId52" Type="http://schemas.openxmlformats.org/officeDocument/2006/relationships/hyperlink" Target="https://euraxess.ec.europa.eu/worldwide/china/news/horizon-europe-work-programmes-2026-2027" TargetMode="External"/><Relationship Id="rId11" Type="http://schemas.openxmlformats.org/officeDocument/2006/relationships/image" Target="media/image10.png"/><Relationship Id="rId55" Type="http://schemas.openxmlformats.org/officeDocument/2006/relationships/hyperlink" Target="https://novonordiskfonden.dk/en/grant/start-package-grants-for-faculty-recruitment-q1-2026/" TargetMode="External"/><Relationship Id="rId10" Type="http://schemas.openxmlformats.org/officeDocument/2006/relationships/image" Target="media/image7.png"/><Relationship Id="rId54" Type="http://schemas.openxmlformats.org/officeDocument/2006/relationships/hyperlink" Target="https://equitiesfirst.com/au/articles/flexible-funding-can-help-japan-inc-catch-up-in-the-ai-race/" TargetMode="External"/><Relationship Id="rId13" Type="http://schemas.openxmlformats.org/officeDocument/2006/relationships/image" Target="media/image1.png"/><Relationship Id="rId57" Type="http://schemas.openxmlformats.org/officeDocument/2006/relationships/hyperlink" Target="https://www.ajmc.com/view/suzetrigine-the-first-non-opiate-pain-therapy-is-fda-approved" TargetMode="External"/><Relationship Id="rId12" Type="http://schemas.openxmlformats.org/officeDocument/2006/relationships/image" Target="media/image15.png"/><Relationship Id="rId56" Type="http://schemas.openxmlformats.org/officeDocument/2006/relationships/hyperlink" Target="https://www.utsouthwestern.edu/newsroom/articles/year-2026/march-transport-protein-key-immune-response.html" TargetMode="External"/><Relationship Id="rId15" Type="http://schemas.openxmlformats.org/officeDocument/2006/relationships/image" Target="media/image4.png"/><Relationship Id="rId59" Type="http://schemas.openxmlformats.org/officeDocument/2006/relationships/hyperlink" Target="https://www.iasp-pain.org/publications/iasp-news/fda-approves-non-opioid-treatment-for-moderate-to-severe-acute-pain/" TargetMode="External"/><Relationship Id="rId14" Type="http://schemas.openxmlformats.org/officeDocument/2006/relationships/image" Target="media/image12.png"/><Relationship Id="rId58" Type="http://schemas.openxmlformats.org/officeDocument/2006/relationships/hyperlink" Target="https://www.facs.org/for-medical-professionals/news-publications/news-and-articles/bulletin/2026/february-2026-volume-111-issue-2/can-emerging-pain-management-options-help-surgeons-avoid-prescribing-opioids/" TargetMode="External"/><Relationship Id="rId17" Type="http://schemas.openxmlformats.org/officeDocument/2006/relationships/image" Target="media/image2.png"/><Relationship Id="rId16" Type="http://schemas.openxmlformats.org/officeDocument/2006/relationships/image" Target="media/image8.png"/><Relationship Id="rId19" Type="http://schemas.openxmlformats.org/officeDocument/2006/relationships/image" Target="media/image9.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