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5F"/>
          <w:sz w:val="60"/>
        </w:rPr>
        <w:t>OPEN ACADEMIC RESEARCH AI</w:t>
      </w:r>
    </w:p>
    <w:p>
      <w:pPr>
        <w:jc w:val="center"/>
      </w:pPr>
      <w:r>
        <w:rPr>
          <w:b/>
          <w:color w:val="41556E"/>
          <w:sz w:val="38"/>
        </w:rPr>
        <w:t>Investor Proposal &amp; Implementation Blueprint</w:t>
      </w:r>
    </w:p>
    <w:p>
      <w:pPr>
        <w:jc w:val="center"/>
      </w:pPr>
      <w:r>
        <w:rPr>
          <w:i/>
          <w:sz w:val="24"/>
        </w:rPr>
        <w:t>An open-source, evidence-first academic research platform for students</w:t>
      </w:r>
    </w:p>
    <w:p/>
    <w:tbl>
      <w:tblPr>
        <w:tblW w:type="auto" w:w="0"/>
        <w:jc w:val="center"/>
        <w:tblLook w:firstColumn="1" w:firstRow="1" w:lastColumn="0" w:lastRow="0" w:noHBand="0" w:noVBand="1" w:val="04A0"/>
      </w:tblPr>
      <w:tblGrid>
        <w:gridCol w:w="10080"/>
      </w:tblGrid>
      <w:tr>
        <w:tc>
          <w:tcPr>
            <w:tcW w:type="dxa" w:w="10080"/>
            <w:shd w:fill="E8F1E8"/>
          </w:tcPr>
          <w:p>
            <w:r>
              <w:rPr>
                <w:b/>
                <w:color w:val="19375F"/>
                <w:sz w:val="22"/>
              </w:rPr>
              <w:t>Investment thesis</w:t>
              <w:br/>
            </w:r>
            <w:r>
              <w:rPr>
                <w:sz w:val="19"/>
              </w:rPr>
              <w:t>Build the research infrastructure once, then reuse it across academic research, literature reviews, paper analysis, exam intelligence, study planning and future AI-assisted learning capabilities. The open-source-first architecture is designed to minimize recurring AI/vendor costs while preserving the option to use stronger hosted models when economics or quality justify them.</w:t>
            </w:r>
          </w:p>
        </w:tc>
      </w:tr>
    </w:tbl>
    <w:p/>
    <w:p>
      <w:pPr>
        <w:jc w:val="center"/>
      </w:pPr>
      <w:r>
        <w:rPr>
          <w:color w:val="646464"/>
          <w:sz w:val="18"/>
        </w:rPr>
        <w:t>Prepared for investor discussion • August 2026</w:t>
      </w:r>
    </w:p>
    <w:p>
      <w:r>
        <w:br w:type="page"/>
      </w:r>
    </w:p>
    <w:p>
      <w:pPr>
        <w:pStyle w:val="Heading1"/>
      </w:pPr>
      <w:r>
        <w:t>1. Executive Summary</w:t>
      </w:r>
    </w:p>
    <w:p>
      <w:r>
        <w:t>Academic Research AI is proposed as a student-focused research platform that combines scholarly discovery, web research, document intelligence, semantic retrieval, evidence extraction, citation verification and AI-assisted synthesis in a single workspace. The initial exam-paper intelligence concept is retained as a specialized module, but the platform architecture is deliberately broader so that the same infrastructure can support students from school and intermediate education through undergraduate, postgraduate and research programs.</w:t>
      </w:r>
    </w:p>
    <w:p>
      <w:r>
        <w:t xml:space="preserve">The core product philosophy is evidence-first rather than chatbot-first: generated claims should be traceable to sources, documents, page/chunk-level evidence and a reproducible research run. This creates a foundation for academic trust, while local/open-source components such as Ollama, LangGraph, Qdrant and Docling help control recurring technology costs. OpenAlex currently provides a free API/data offering, while Crossref provides a public REST API; optional paid tiers exist when higher service levels are required. </w:t>
      </w:r>
    </w:p>
    <w:tbl>
      <w:tblPr>
        <w:tblW w:type="auto" w:w="0"/>
        <w:jc w:val="center"/>
        <w:tblLook w:firstColumn="1" w:firstRow="1" w:lastColumn="0" w:lastRow="0" w:noHBand="0" w:noVBand="1" w:val="04A0"/>
      </w:tblPr>
      <w:tblGrid>
        <w:gridCol w:w="10080"/>
      </w:tblGrid>
      <w:tr>
        <w:tc>
          <w:tcPr>
            <w:tcW w:type="dxa" w:w="10080"/>
            <w:shd w:fill="FFF4D6"/>
          </w:tcPr>
          <w:p>
            <w:r>
              <w:rPr>
                <w:b/>
                <w:color w:val="19375F"/>
                <w:sz w:val="22"/>
              </w:rPr>
              <w:t>Investor proposition</w:t>
              <w:br/>
            </w:r>
            <w:r>
              <w:rPr>
                <w:sz w:val="19"/>
              </w:rPr>
              <w:t>The platform has a reusable research engine rather than a collection of disconnected AI features. Each additional academic use case primarily adds a workflow and user experience on top of the same search, document, retrieval, evidence and provenance infrastructure.</w:t>
            </w:r>
          </w:p>
        </w:tc>
      </w:tr>
    </w:tbl>
    <w:p/>
    <w:p>
      <w:pPr>
        <w:pStyle w:val="Heading1"/>
      </w:pPr>
      <w:r>
        <w:t>2. Problem &amp; Opportunity</w:t>
      </w:r>
    </w:p>
    <w:p>
      <w:pPr>
        <w:pStyle w:val="ListBullet"/>
        <w:spacing w:after="40"/>
      </w:pPr>
      <w:r>
        <w:t>Students face fragmented research workflows: search engines, journal portals, PDFs, note-taking tools, citation managers and AI chat tools are disconnected.</w:t>
      </w:r>
    </w:p>
    <w:p>
      <w:pPr>
        <w:pStyle w:val="ListBullet"/>
        <w:spacing w:after="40"/>
      </w:pPr>
      <w:r>
        <w:t>Generic AI assistants can summarize or answer questions, but students need stronger source traceability, citation context and research reproducibility.</w:t>
      </w:r>
    </w:p>
    <w:p>
      <w:pPr>
        <w:pStyle w:val="ListBullet"/>
        <w:spacing w:after="40"/>
      </w:pPr>
      <w:r>
        <w:t>Academic documents are difficult to process reliably because PDFs contain multi-column layouts, tables, formulas, references and scanned pages.</w:t>
      </w:r>
    </w:p>
    <w:p>
      <w:pPr>
        <w:pStyle w:val="ListBullet"/>
        <w:spacing w:after="40"/>
      </w:pPr>
      <w:r>
        <w:t>Exam preparation and question-paper analysis are valuable entry use cases, but a narrow exam product limits the addressable academic opportunity.</w:t>
      </w:r>
    </w:p>
    <w:p>
      <w:pPr>
        <w:pStyle w:val="ListBullet"/>
        <w:spacing w:after="40"/>
      </w:pPr>
      <w:r>
        <w:t>Institutions increasingly need privacy-aware, self-hostable AI capabilities rather than mandatory dependence on external model APIs.</w:t>
      </w:r>
    </w:p>
    <w:p>
      <w:pPr>
        <w:pStyle w:val="Heading1"/>
      </w:pPr>
      <w:r>
        <w:t>3. Proposed Solution</w:t>
      </w:r>
    </w:p>
    <w:p>
      <w:r>
        <w:t>The platform will provide a research workspace with the following high-level experience:</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93B63"/>
          </w:tcPr>
          <w:p>
            <w:r/>
            <w:r>
              <w:rPr>
                <w:b/>
                <w:color w:val="FFFFFF"/>
                <w:sz w:val="18"/>
              </w:rPr>
              <w:t>Student action</w:t>
            </w:r>
          </w:p>
        </w:tc>
        <w:tc>
          <w:tcPr>
            <w:tcW w:type="dxa" w:w="3240"/>
            <w:vAlign w:val="center"/>
            <w:shd w:fill="193B63"/>
          </w:tcPr>
          <w:p>
            <w:r/>
            <w:r>
              <w:rPr>
                <w:b/>
                <w:color w:val="FFFFFF"/>
                <w:sz w:val="18"/>
              </w:rPr>
              <w:t>Platform capability</w:t>
            </w:r>
          </w:p>
        </w:tc>
        <w:tc>
          <w:tcPr>
            <w:tcW w:type="dxa" w:w="3672"/>
            <w:vAlign w:val="center"/>
            <w:shd w:fill="193B63"/>
          </w:tcPr>
          <w:p>
            <w:r/>
            <w:r>
              <w:rPr>
                <w:b/>
                <w:color w:val="FFFFFF"/>
                <w:sz w:val="18"/>
              </w:rPr>
              <w:t>Expected value</w:t>
            </w:r>
          </w:p>
        </w:tc>
      </w:tr>
      <w:tr>
        <w:tc>
          <w:tcPr>
            <w:tcW w:type="dxa" w:w="1944"/>
            <w:vAlign w:val="center"/>
          </w:tcPr>
          <w:p>
            <w:r/>
            <w:r>
              <w:rPr>
                <w:b w:val="0"/>
                <w:sz w:val="17"/>
              </w:rPr>
              <w:t>Define a topic/question</w:t>
            </w:r>
          </w:p>
        </w:tc>
        <w:tc>
          <w:tcPr>
            <w:tcW w:type="dxa" w:w="3240"/>
            <w:vAlign w:val="center"/>
          </w:tcPr>
          <w:p>
            <w:r/>
            <w:r>
              <w:rPr>
                <w:b w:val="0"/>
                <w:sz w:val="17"/>
              </w:rPr>
              <w:t>Question refinement + scope framing</w:t>
            </w:r>
          </w:p>
        </w:tc>
        <w:tc>
          <w:tcPr>
            <w:tcW w:type="dxa" w:w="3672"/>
            <w:vAlign w:val="center"/>
          </w:tcPr>
          <w:p>
            <w:r/>
            <w:r>
              <w:rPr>
                <w:b w:val="0"/>
                <w:sz w:val="17"/>
              </w:rPr>
              <w:t>Turns a broad idea into a researchable problem</w:t>
            </w:r>
          </w:p>
        </w:tc>
      </w:tr>
      <w:tr>
        <w:tc>
          <w:tcPr>
            <w:tcW w:type="dxa" w:w="1944"/>
            <w:vAlign w:val="center"/>
          </w:tcPr>
          <w:p>
            <w:r/>
            <w:r>
              <w:rPr>
                <w:b w:val="0"/>
                <w:sz w:val="17"/>
              </w:rPr>
              <w:t>Find sources</w:t>
            </w:r>
          </w:p>
        </w:tc>
        <w:tc>
          <w:tcPr>
            <w:tcW w:type="dxa" w:w="3240"/>
            <w:vAlign w:val="center"/>
          </w:tcPr>
          <w:p>
            <w:r/>
            <w:r>
              <w:rPr>
                <w:b w:val="0"/>
                <w:sz w:val="17"/>
              </w:rPr>
              <w:t>OpenAlex + Crossref + SearXNG</w:t>
            </w:r>
          </w:p>
        </w:tc>
        <w:tc>
          <w:tcPr>
            <w:tcW w:type="dxa" w:w="3672"/>
            <w:vAlign w:val="center"/>
          </w:tcPr>
          <w:p>
            <w:r/>
            <w:r>
              <w:rPr>
                <w:b w:val="0"/>
                <w:sz w:val="17"/>
              </w:rPr>
              <w:t>Multi-source discovery instead of single-search dependency</w:t>
            </w:r>
          </w:p>
        </w:tc>
      </w:tr>
      <w:tr>
        <w:tc>
          <w:tcPr>
            <w:tcW w:type="dxa" w:w="1944"/>
            <w:vAlign w:val="center"/>
          </w:tcPr>
          <w:p>
            <w:r/>
            <w:r>
              <w:rPr>
                <w:b w:val="0"/>
                <w:sz w:val="17"/>
              </w:rPr>
              <w:t>Read papers</w:t>
            </w:r>
          </w:p>
        </w:tc>
        <w:tc>
          <w:tcPr>
            <w:tcW w:type="dxa" w:w="3240"/>
            <w:vAlign w:val="center"/>
          </w:tcPr>
          <w:p>
            <w:r/>
            <w:r>
              <w:rPr>
                <w:b w:val="0"/>
                <w:sz w:val="17"/>
              </w:rPr>
              <w:t>GROBID + Docling + structured chunks</w:t>
            </w:r>
          </w:p>
        </w:tc>
        <w:tc>
          <w:tcPr>
            <w:tcW w:type="dxa" w:w="3672"/>
            <w:vAlign w:val="center"/>
          </w:tcPr>
          <w:p>
            <w:r/>
            <w:r>
              <w:rPr>
                <w:b w:val="0"/>
                <w:sz w:val="17"/>
              </w:rPr>
              <w:t>Makes difficult PDFs machine-readable and searchable</w:t>
            </w:r>
          </w:p>
        </w:tc>
      </w:tr>
      <w:tr>
        <w:tc>
          <w:tcPr>
            <w:tcW w:type="dxa" w:w="1944"/>
            <w:vAlign w:val="center"/>
          </w:tcPr>
          <w:p>
            <w:r/>
            <w:r>
              <w:rPr>
                <w:b w:val="0"/>
                <w:sz w:val="17"/>
              </w:rPr>
              <w:t>Ask research questions</w:t>
            </w:r>
          </w:p>
        </w:tc>
        <w:tc>
          <w:tcPr>
            <w:tcW w:type="dxa" w:w="3240"/>
            <w:vAlign w:val="center"/>
          </w:tcPr>
          <w:p>
            <w:r/>
            <w:r>
              <w:rPr>
                <w:b w:val="0"/>
                <w:sz w:val="17"/>
              </w:rPr>
              <w:t>Qdrant retrieval + local LLM</w:t>
            </w:r>
          </w:p>
        </w:tc>
        <w:tc>
          <w:tcPr>
            <w:tcW w:type="dxa" w:w="3672"/>
            <w:vAlign w:val="center"/>
          </w:tcPr>
          <w:p>
            <w:r/>
            <w:r>
              <w:rPr>
                <w:b w:val="0"/>
                <w:sz w:val="17"/>
              </w:rPr>
              <w:t>Answers from retrieved evidence rather than model memory alone</w:t>
            </w:r>
          </w:p>
        </w:tc>
      </w:tr>
      <w:tr>
        <w:tc>
          <w:tcPr>
            <w:tcW w:type="dxa" w:w="1944"/>
            <w:vAlign w:val="center"/>
          </w:tcPr>
          <w:p>
            <w:r/>
            <w:r>
              <w:rPr>
                <w:b w:val="0"/>
                <w:sz w:val="17"/>
              </w:rPr>
              <w:t>Validate claims</w:t>
            </w:r>
          </w:p>
        </w:tc>
        <w:tc>
          <w:tcPr>
            <w:tcW w:type="dxa" w:w="3240"/>
            <w:vAlign w:val="center"/>
          </w:tcPr>
          <w:p>
            <w:r/>
            <w:r>
              <w:rPr>
                <w:b w:val="0"/>
                <w:sz w:val="17"/>
              </w:rPr>
              <w:t>Evidence and citation mapping</w:t>
            </w:r>
          </w:p>
        </w:tc>
        <w:tc>
          <w:tcPr>
            <w:tcW w:type="dxa" w:w="3672"/>
            <w:vAlign w:val="center"/>
          </w:tcPr>
          <w:p>
            <w:r/>
            <w:r>
              <w:rPr>
                <w:b w:val="0"/>
                <w:sz w:val="17"/>
              </w:rPr>
              <w:t>Improves academic trust and reduces unsupported claims</w:t>
            </w:r>
          </w:p>
        </w:tc>
      </w:tr>
      <w:tr>
        <w:tc>
          <w:tcPr>
            <w:tcW w:type="dxa" w:w="1944"/>
            <w:vAlign w:val="center"/>
          </w:tcPr>
          <w:p>
            <w:r/>
            <w:r>
              <w:rPr>
                <w:b w:val="0"/>
                <w:sz w:val="17"/>
              </w:rPr>
              <w:t>Build literature review</w:t>
            </w:r>
          </w:p>
        </w:tc>
        <w:tc>
          <w:tcPr>
            <w:tcW w:type="dxa" w:w="3240"/>
            <w:vAlign w:val="center"/>
          </w:tcPr>
          <w:p>
            <w:r/>
            <w:r>
              <w:rPr>
                <w:b w:val="0"/>
                <w:sz w:val="17"/>
              </w:rPr>
              <w:t>Synthesis + comparison workflows</w:t>
            </w:r>
          </w:p>
        </w:tc>
        <w:tc>
          <w:tcPr>
            <w:tcW w:type="dxa" w:w="3672"/>
            <w:vAlign w:val="center"/>
          </w:tcPr>
          <w:p>
            <w:r/>
            <w:r>
              <w:rPr>
                <w:b w:val="0"/>
                <w:sz w:val="17"/>
              </w:rPr>
              <w:t>Reduces repetitive manual reading and organization</w:t>
            </w:r>
          </w:p>
        </w:tc>
      </w:tr>
      <w:tr>
        <w:tc>
          <w:tcPr>
            <w:tcW w:type="dxa" w:w="1944"/>
            <w:vAlign w:val="center"/>
          </w:tcPr>
          <w:p>
            <w:r/>
            <w:r>
              <w:rPr>
                <w:b w:val="0"/>
                <w:sz w:val="17"/>
              </w:rPr>
              <w:t>Analyze exams</w:t>
            </w:r>
          </w:p>
        </w:tc>
        <w:tc>
          <w:tcPr>
            <w:tcW w:type="dxa" w:w="3240"/>
            <w:vAlign w:val="center"/>
          </w:tcPr>
          <w:p>
            <w:r/>
            <w:r>
              <w:rPr>
                <w:b w:val="0"/>
                <w:sz w:val="17"/>
              </w:rPr>
              <w:t>Question extraction + semantic clustering</w:t>
            </w:r>
          </w:p>
        </w:tc>
        <w:tc>
          <w:tcPr>
            <w:tcW w:type="dxa" w:w="3672"/>
            <w:vAlign w:val="center"/>
          </w:tcPr>
          <w:p>
            <w:r/>
            <w:r>
              <w:rPr>
                <w:b w:val="0"/>
                <w:sz w:val="17"/>
              </w:rPr>
              <w:t>Identifies historical recurrence and topic trends</w:t>
            </w:r>
          </w:p>
        </w:tc>
      </w:tr>
      <w:tr>
        <w:tc>
          <w:tcPr>
            <w:tcW w:type="dxa" w:w="1944"/>
            <w:vAlign w:val="center"/>
          </w:tcPr>
          <w:p>
            <w:r/>
            <w:r>
              <w:rPr>
                <w:b w:val="0"/>
                <w:sz w:val="17"/>
              </w:rPr>
              <w:t>Export/share</w:t>
            </w:r>
          </w:p>
        </w:tc>
        <w:tc>
          <w:tcPr>
            <w:tcW w:type="dxa" w:w="3240"/>
            <w:vAlign w:val="center"/>
          </w:tcPr>
          <w:p>
            <w:r/>
            <w:r>
              <w:rPr>
                <w:b w:val="0"/>
                <w:sz w:val="17"/>
              </w:rPr>
              <w:t>Markdown/PDF/BibTeX and collaboration</w:t>
            </w:r>
          </w:p>
        </w:tc>
        <w:tc>
          <w:tcPr>
            <w:tcW w:type="dxa" w:w="3672"/>
            <w:vAlign w:val="center"/>
          </w:tcPr>
          <w:p>
            <w:r/>
            <w:r>
              <w:rPr>
                <w:b w:val="0"/>
                <w:sz w:val="17"/>
              </w:rPr>
              <w:t>Moves from AI output to usable academic work product</w:t>
            </w:r>
          </w:p>
        </w:tc>
      </w:tr>
    </w:tbl>
    <w:p/>
    <w:p>
      <w:pPr>
        <w:pStyle w:val="Heading1"/>
      </w:pPr>
      <w:r>
        <w:t>4. Priority Use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193B63"/>
          </w:tcPr>
          <w:p>
            <w:r/>
            <w:r>
              <w:rPr>
                <w:b/>
                <w:color w:val="FFFFFF"/>
                <w:sz w:val="18"/>
              </w:rPr>
              <w:t>ID</w:t>
            </w:r>
          </w:p>
        </w:tc>
        <w:tc>
          <w:tcPr>
            <w:tcW w:type="dxa" w:w="2232"/>
            <w:vAlign w:val="center"/>
            <w:shd w:fill="193B63"/>
          </w:tcPr>
          <w:p>
            <w:r/>
            <w:r>
              <w:rPr>
                <w:b/>
                <w:color w:val="FFFFFF"/>
                <w:sz w:val="18"/>
              </w:rPr>
              <w:t>Use case</w:t>
            </w:r>
          </w:p>
        </w:tc>
        <w:tc>
          <w:tcPr>
            <w:tcW w:type="dxa" w:w="4320"/>
            <w:vAlign w:val="center"/>
            <w:shd w:fill="193B63"/>
          </w:tcPr>
          <w:p>
            <w:r/>
            <w:r>
              <w:rPr>
                <w:b/>
                <w:color w:val="FFFFFF"/>
                <w:sz w:val="18"/>
              </w:rPr>
              <w:t>How it works</w:t>
            </w:r>
          </w:p>
        </w:tc>
        <w:tc>
          <w:tcPr>
            <w:tcW w:type="dxa" w:w="2880"/>
            <w:vAlign w:val="center"/>
            <w:shd w:fill="193B63"/>
          </w:tcPr>
          <w:p>
            <w:r/>
            <w:r>
              <w:rPr>
                <w:b/>
                <w:color w:val="FFFFFF"/>
                <w:sz w:val="18"/>
              </w:rPr>
              <w:t>Expected student value</w:t>
            </w:r>
          </w:p>
        </w:tc>
      </w:tr>
      <w:tr>
        <w:tc>
          <w:tcPr>
            <w:tcW w:type="dxa" w:w="792"/>
            <w:vAlign w:val="center"/>
          </w:tcPr>
          <w:p>
            <w:r/>
            <w:r>
              <w:rPr>
                <w:b w:val="0"/>
                <w:sz w:val="17"/>
              </w:rPr>
              <w:t>UC-01</w:t>
            </w:r>
          </w:p>
        </w:tc>
        <w:tc>
          <w:tcPr>
            <w:tcW w:type="dxa" w:w="2232"/>
            <w:vAlign w:val="center"/>
          </w:tcPr>
          <w:p>
            <w:r/>
            <w:r>
              <w:rPr>
                <w:b w:val="0"/>
                <w:sz w:val="17"/>
              </w:rPr>
              <w:t>Research Question Assistant</w:t>
            </w:r>
          </w:p>
        </w:tc>
        <w:tc>
          <w:tcPr>
            <w:tcW w:type="dxa" w:w="4320"/>
            <w:vAlign w:val="center"/>
          </w:tcPr>
          <w:p>
            <w:r/>
            <w:r>
              <w:rPr>
                <w:b w:val="0"/>
                <w:sz w:val="17"/>
              </w:rPr>
              <w:t>Student enters a broad topic; system refines scope, identifies concepts and proposes researchable questions.</w:t>
            </w:r>
          </w:p>
        </w:tc>
        <w:tc>
          <w:tcPr>
            <w:tcW w:type="dxa" w:w="2880"/>
            <w:vAlign w:val="center"/>
          </w:tcPr>
          <w:p>
            <w:r/>
            <w:r>
              <w:rPr>
                <w:b w:val="0"/>
                <w:sz w:val="17"/>
              </w:rPr>
              <w:t>Higher-quality starting point; less time lost on vague topics.</w:t>
            </w:r>
          </w:p>
        </w:tc>
      </w:tr>
      <w:tr>
        <w:tc>
          <w:tcPr>
            <w:tcW w:type="dxa" w:w="792"/>
            <w:vAlign w:val="center"/>
          </w:tcPr>
          <w:p>
            <w:r/>
            <w:r>
              <w:rPr>
                <w:b w:val="0"/>
                <w:sz w:val="17"/>
              </w:rPr>
              <w:t>UC-02</w:t>
            </w:r>
          </w:p>
        </w:tc>
        <w:tc>
          <w:tcPr>
            <w:tcW w:type="dxa" w:w="2232"/>
            <w:vAlign w:val="center"/>
          </w:tcPr>
          <w:p>
            <w:r/>
            <w:r>
              <w:rPr>
                <w:b w:val="0"/>
                <w:sz w:val="17"/>
              </w:rPr>
              <w:t>Evidence-Backed Research Answer</w:t>
            </w:r>
          </w:p>
        </w:tc>
        <w:tc>
          <w:tcPr>
            <w:tcW w:type="dxa" w:w="4320"/>
            <w:vAlign w:val="center"/>
          </w:tcPr>
          <w:p>
            <w:r/>
            <w:r>
              <w:rPr>
                <w:b w:val="0"/>
                <w:sz w:val="17"/>
              </w:rPr>
              <w:t>Searches scholarly and web sources, retrieves evidence, synthesizes an answer and maps claims to evidence.</w:t>
            </w:r>
          </w:p>
        </w:tc>
        <w:tc>
          <w:tcPr>
            <w:tcW w:type="dxa" w:w="2880"/>
            <w:vAlign w:val="center"/>
          </w:tcPr>
          <w:p>
            <w:r/>
            <w:r>
              <w:rPr>
                <w:b w:val="0"/>
                <w:sz w:val="17"/>
              </w:rPr>
              <w:t>Faster research with transparent support for important statements.</w:t>
            </w:r>
          </w:p>
        </w:tc>
      </w:tr>
      <w:tr>
        <w:tc>
          <w:tcPr>
            <w:tcW w:type="dxa" w:w="792"/>
            <w:vAlign w:val="center"/>
          </w:tcPr>
          <w:p>
            <w:r/>
            <w:r>
              <w:rPr>
                <w:b w:val="0"/>
                <w:sz w:val="17"/>
              </w:rPr>
              <w:t>UC-03</w:t>
            </w:r>
          </w:p>
        </w:tc>
        <w:tc>
          <w:tcPr>
            <w:tcW w:type="dxa" w:w="2232"/>
            <w:vAlign w:val="center"/>
          </w:tcPr>
          <w:p>
            <w:r/>
            <w:r>
              <w:rPr>
                <w:b w:val="0"/>
                <w:sz w:val="17"/>
              </w:rPr>
              <w:t>Literature Review Assistant</w:t>
            </w:r>
          </w:p>
        </w:tc>
        <w:tc>
          <w:tcPr>
            <w:tcW w:type="dxa" w:w="4320"/>
            <w:vAlign w:val="center"/>
          </w:tcPr>
          <w:p>
            <w:r/>
            <w:r>
              <w:rPr>
                <w:b w:val="0"/>
                <w:sz w:val="17"/>
              </w:rPr>
              <w:t>Groups papers by topic, method, year and findings; compares themes and surfaces gaps.</w:t>
            </w:r>
          </w:p>
        </w:tc>
        <w:tc>
          <w:tcPr>
            <w:tcW w:type="dxa" w:w="2880"/>
            <w:vAlign w:val="center"/>
          </w:tcPr>
          <w:p>
            <w:r/>
            <w:r>
              <w:rPr>
                <w:b w:val="0"/>
                <w:sz w:val="17"/>
              </w:rPr>
              <w:t>Reduces manual literature organization and improves synthesis.</w:t>
            </w:r>
          </w:p>
        </w:tc>
      </w:tr>
      <w:tr>
        <w:tc>
          <w:tcPr>
            <w:tcW w:type="dxa" w:w="792"/>
            <w:vAlign w:val="center"/>
          </w:tcPr>
          <w:p>
            <w:r/>
            <w:r>
              <w:rPr>
                <w:b w:val="0"/>
                <w:sz w:val="17"/>
              </w:rPr>
              <w:t>UC-04</w:t>
            </w:r>
          </w:p>
        </w:tc>
        <w:tc>
          <w:tcPr>
            <w:tcW w:type="dxa" w:w="2232"/>
            <w:vAlign w:val="center"/>
          </w:tcPr>
          <w:p>
            <w:r/>
            <w:r>
              <w:rPr>
                <w:b w:val="0"/>
                <w:sz w:val="17"/>
              </w:rPr>
              <w:t>Paper Analyzer</w:t>
            </w:r>
          </w:p>
        </w:tc>
        <w:tc>
          <w:tcPr>
            <w:tcW w:type="dxa" w:w="4320"/>
            <w:vAlign w:val="center"/>
          </w:tcPr>
          <w:p>
            <w:r/>
            <w:r>
              <w:rPr>
                <w:b w:val="0"/>
                <w:sz w:val="17"/>
              </w:rPr>
              <w:t>Parses academic PDFs, extracts sections/references and enables evidence-oriented questions.</w:t>
            </w:r>
          </w:p>
        </w:tc>
        <w:tc>
          <w:tcPr>
            <w:tcW w:type="dxa" w:w="2880"/>
            <w:vAlign w:val="center"/>
          </w:tcPr>
          <w:p>
            <w:r/>
            <w:r>
              <w:rPr>
                <w:b w:val="0"/>
                <w:sz w:val="17"/>
              </w:rPr>
              <w:t>Turns difficult papers into structured research material.</w:t>
            </w:r>
          </w:p>
        </w:tc>
      </w:tr>
      <w:tr>
        <w:tc>
          <w:tcPr>
            <w:tcW w:type="dxa" w:w="792"/>
            <w:vAlign w:val="center"/>
          </w:tcPr>
          <w:p>
            <w:r/>
            <w:r>
              <w:rPr>
                <w:b w:val="0"/>
                <w:sz w:val="17"/>
              </w:rPr>
              <w:t>UC-05</w:t>
            </w:r>
          </w:p>
        </w:tc>
        <w:tc>
          <w:tcPr>
            <w:tcW w:type="dxa" w:w="2232"/>
            <w:vAlign w:val="center"/>
          </w:tcPr>
          <w:p>
            <w:r/>
            <w:r>
              <w:rPr>
                <w:b w:val="0"/>
                <w:sz w:val="17"/>
              </w:rPr>
              <w:t>Research Gap Finder</w:t>
            </w:r>
          </w:p>
        </w:tc>
        <w:tc>
          <w:tcPr>
            <w:tcW w:type="dxa" w:w="4320"/>
            <w:vAlign w:val="center"/>
          </w:tcPr>
          <w:p>
            <w:r/>
            <w:r>
              <w:rPr>
                <w:b w:val="0"/>
                <w:sz w:val="17"/>
              </w:rPr>
              <w:t>Compares themes, methods and findings across a selected literature set.</w:t>
            </w:r>
          </w:p>
        </w:tc>
        <w:tc>
          <w:tcPr>
            <w:tcW w:type="dxa" w:w="2880"/>
            <w:vAlign w:val="center"/>
          </w:tcPr>
          <w:p>
            <w:r/>
            <w:r>
              <w:rPr>
                <w:b w:val="0"/>
                <w:sz w:val="17"/>
              </w:rPr>
              <w:t>Helps students identify potential dissertation/project directions.</w:t>
            </w:r>
          </w:p>
        </w:tc>
      </w:tr>
      <w:tr>
        <w:tc>
          <w:tcPr>
            <w:tcW w:type="dxa" w:w="792"/>
            <w:vAlign w:val="center"/>
          </w:tcPr>
          <w:p>
            <w:r/>
            <w:r>
              <w:rPr>
                <w:b w:val="0"/>
                <w:sz w:val="17"/>
              </w:rPr>
              <w:t>UC-06</w:t>
            </w:r>
          </w:p>
        </w:tc>
        <w:tc>
          <w:tcPr>
            <w:tcW w:type="dxa" w:w="2232"/>
            <w:vAlign w:val="center"/>
          </w:tcPr>
          <w:p>
            <w:r/>
            <w:r>
              <w:rPr>
                <w:b w:val="0"/>
                <w:sz w:val="17"/>
              </w:rPr>
              <w:t>Project &amp; Proposal Assistant</w:t>
            </w:r>
          </w:p>
        </w:tc>
        <w:tc>
          <w:tcPr>
            <w:tcW w:type="dxa" w:w="4320"/>
            <w:vAlign w:val="center"/>
          </w:tcPr>
          <w:p>
            <w:r/>
            <w:r>
              <w:rPr>
                <w:b w:val="0"/>
                <w:sz w:val="17"/>
              </w:rPr>
              <w:t>Supports problem statement, objectives, methodology options, hypotheses and evidence gathering.</w:t>
            </w:r>
          </w:p>
        </w:tc>
        <w:tc>
          <w:tcPr>
            <w:tcW w:type="dxa" w:w="2880"/>
            <w:vAlign w:val="center"/>
          </w:tcPr>
          <w:p>
            <w:r/>
            <w:r>
              <w:rPr>
                <w:b w:val="0"/>
                <w:sz w:val="17"/>
              </w:rPr>
              <w:t>Shortens the path from idea to structured proposal.</w:t>
            </w:r>
          </w:p>
        </w:tc>
      </w:tr>
      <w:tr>
        <w:tc>
          <w:tcPr>
            <w:tcW w:type="dxa" w:w="792"/>
            <w:vAlign w:val="center"/>
          </w:tcPr>
          <w:p>
            <w:r/>
            <w:r>
              <w:rPr>
                <w:b w:val="0"/>
                <w:sz w:val="17"/>
              </w:rPr>
              <w:t>UC-07</w:t>
            </w:r>
          </w:p>
        </w:tc>
        <w:tc>
          <w:tcPr>
            <w:tcW w:type="dxa" w:w="2232"/>
            <w:vAlign w:val="center"/>
          </w:tcPr>
          <w:p>
            <w:r/>
            <w:r>
              <w:rPr>
                <w:b w:val="0"/>
                <w:sz w:val="17"/>
              </w:rPr>
              <w:t>Exam Paper Intelligence</w:t>
            </w:r>
          </w:p>
        </w:tc>
        <w:tc>
          <w:tcPr>
            <w:tcW w:type="dxa" w:w="4320"/>
            <w:vAlign w:val="center"/>
          </w:tcPr>
          <w:p>
            <w:r/>
            <w:r>
              <w:rPr>
                <w:b w:val="0"/>
                <w:sz w:val="17"/>
              </w:rPr>
              <w:t>Collects historical papers, extracts questions, clusters semantically similar questions and reports recurrence/trends.</w:t>
            </w:r>
          </w:p>
        </w:tc>
        <w:tc>
          <w:tcPr>
            <w:tcW w:type="dxa" w:w="2880"/>
            <w:vAlign w:val="center"/>
          </w:tcPr>
          <w:p>
            <w:r/>
            <w:r>
              <w:rPr>
                <w:b w:val="0"/>
                <w:sz w:val="17"/>
              </w:rPr>
              <w:t>Creates a data-driven preparation aid without claiming unsupported future prediction.</w:t>
            </w:r>
          </w:p>
        </w:tc>
      </w:tr>
      <w:tr>
        <w:tc>
          <w:tcPr>
            <w:tcW w:type="dxa" w:w="792"/>
            <w:vAlign w:val="center"/>
          </w:tcPr>
          <w:p>
            <w:r/>
            <w:r>
              <w:rPr>
                <w:b w:val="0"/>
                <w:sz w:val="17"/>
              </w:rPr>
              <w:t>UC-08</w:t>
            </w:r>
          </w:p>
        </w:tc>
        <w:tc>
          <w:tcPr>
            <w:tcW w:type="dxa" w:w="2232"/>
            <w:vAlign w:val="center"/>
          </w:tcPr>
          <w:p>
            <w:r/>
            <w:r>
              <w:rPr>
                <w:b w:val="0"/>
                <w:sz w:val="17"/>
              </w:rPr>
              <w:t>Study Planner &amp; Tutor</w:t>
            </w:r>
          </w:p>
        </w:tc>
        <w:tc>
          <w:tcPr>
            <w:tcW w:type="dxa" w:w="4320"/>
            <w:vAlign w:val="center"/>
          </w:tcPr>
          <w:p>
            <w:r/>
            <w:r>
              <w:rPr>
                <w:b w:val="0"/>
                <w:sz w:val="17"/>
              </w:rPr>
              <w:t>Uses the student's topics, evidence and assessment history to build personalized study plans and explain concepts with sources.</w:t>
            </w:r>
          </w:p>
        </w:tc>
        <w:tc>
          <w:tcPr>
            <w:tcW w:type="dxa" w:w="2880"/>
            <w:vAlign w:val="center"/>
          </w:tcPr>
          <w:p>
            <w:r/>
            <w:r>
              <w:rPr>
                <w:b w:val="0"/>
                <w:sz w:val="17"/>
              </w:rPr>
              <w:t>Extends research infrastructure into ongoing learning support.</w:t>
            </w:r>
          </w:p>
        </w:tc>
      </w:tr>
    </w:tbl>
    <w:p/>
    <w:p>
      <w:pPr>
        <w:pStyle w:val="Heading1"/>
      </w:pPr>
      <w:r>
        <w:t>5. Target Architecture</w:t>
      </w:r>
    </w:p>
    <w:p>
      <w:r>
        <w:t>The architecture separates the student experience, API/control plane, research engine, data layer and external discovery sources. The exam intelligence workflow is a module within the broader platform rather than the platform boundary.</w:t>
      </w:r>
    </w:p>
    <w:p>
      <w:pPr>
        <w:pStyle w:val="ListBullet"/>
        <w:spacing w:after="40"/>
      </w:pPr>
      <w:r>
        <w:t>Client: Flutter Web initially, with Android/iOS path from the same codebase.</w:t>
      </w:r>
    </w:p>
    <w:p>
      <w:pPr>
        <w:pStyle w:val="ListBullet"/>
        <w:spacing w:after="40"/>
      </w:pPr>
      <w:r>
        <w:t>API/control plane: FastAPI for projects, questions, research runs, authentication, rate limiting and export APIs.</w:t>
      </w:r>
    </w:p>
    <w:p>
      <w:pPr>
        <w:pStyle w:val="ListBullet"/>
        <w:spacing w:after="40"/>
      </w:pPr>
      <w:r>
        <w:t>Research orchestration: LangGraph for stateful, inspectable multi-step research workflows.</w:t>
      </w:r>
    </w:p>
    <w:p>
      <w:pPr>
        <w:pStyle w:val="ListBullet"/>
        <w:spacing w:after="40"/>
      </w:pPr>
      <w:r>
        <w:t>Model layer: Ollama for local/open-weight LLMs and embeddings; provider abstraction allows future hosted-model integration.</w:t>
      </w:r>
    </w:p>
    <w:p>
      <w:pPr>
        <w:pStyle w:val="ListBullet"/>
        <w:spacing w:after="40"/>
      </w:pPr>
      <w:r>
        <w:t>Search layer: OpenAlex and Crossref for scholarly discovery/metadata plus SearXNG for general web discovery.</w:t>
      </w:r>
    </w:p>
    <w:p>
      <w:pPr>
        <w:pStyle w:val="ListBullet"/>
        <w:spacing w:after="40"/>
      </w:pPr>
      <w:r>
        <w:t>Document intelligence: GROBID for scholarly PDF structure/references and Docling for layout-aware document conversion.</w:t>
      </w:r>
    </w:p>
    <w:p>
      <w:pPr>
        <w:pStyle w:val="ListBullet"/>
        <w:spacing w:after="40"/>
      </w:pPr>
      <w:r>
        <w:t>Data layer: PostgreSQL for durable metadata/provenance; Qdrant for vector retrieval; MinIO for document objects; Redis for cache/job state.</w:t>
      </w:r>
    </w:p>
    <w:p>
      <w:pPr>
        <w:pStyle w:val="ListBullet"/>
        <w:spacing w:after="40"/>
      </w:pPr>
      <w:r>
        <w:t>Optional integration layer: n8n for schedules/notifications/institutional integrations; Flowise for prompt/agent experimentation, outside the core research path.</w:t>
      </w:r>
    </w:p>
    <w:p>
      <w:pPr>
        <w:pStyle w:val="ListBullet"/>
        <w:spacing w:after="40"/>
      </w:pPr>
      <w:r>
        <w:t>Observability: OpenTelemetry/Grafana in the scaling phase.</w:t>
      </w:r>
    </w:p>
    <w:p>
      <w:r>
        <w:t>Core research flow:</w:t>
      </w:r>
    </w:p>
    <w:p>
      <w:pPr>
        <w:pStyle w:val="ListBullet"/>
        <w:spacing w:after="40"/>
      </w:pPr>
      <w:r>
        <w:t>Question definition → search plan → scholarly/web retrieval → source ranking</w:t>
      </w:r>
    </w:p>
    <w:p>
      <w:pPr>
        <w:pStyle w:val="ListBullet"/>
        <w:spacing w:after="40"/>
      </w:pPr>
      <w:r>
        <w:t>Source acquisition → document parsing → page/section-aware chunking</w:t>
      </w:r>
    </w:p>
    <w:p>
      <w:pPr>
        <w:pStyle w:val="ListBullet"/>
        <w:spacing w:after="40"/>
      </w:pPr>
      <w:r>
        <w:t>Embedding → vector indexing → evidence retrieval → synthesis</w:t>
      </w:r>
    </w:p>
    <w:p>
      <w:pPr>
        <w:pStyle w:val="ListBullet"/>
        <w:spacing w:after="40"/>
      </w:pPr>
      <w:r>
        <w:t>Claim extraction → citation/evidence verification → student review → export</w:t>
      </w:r>
    </w:p>
    <w:p>
      <w:pPr>
        <w:pStyle w:val="Heading1"/>
      </w:pPr>
      <w:r>
        <w:t>6. Technology Stack &amp; Cost-Efficiency Rationale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12"/>
            <w:vAlign w:val="center"/>
            <w:shd w:fill="193B63"/>
          </w:tcPr>
          <w:p>
            <w:r/>
            <w:r>
              <w:rPr>
                <w:b/>
                <w:color w:val="FFFFFF"/>
                <w:sz w:val="18"/>
              </w:rPr>
              <w:t>Technology</w:t>
            </w:r>
          </w:p>
        </w:tc>
        <w:tc>
          <w:tcPr>
            <w:tcW w:type="dxa" w:w="1440"/>
            <w:vAlign w:val="center"/>
            <w:shd w:fill="193B63"/>
          </w:tcPr>
          <w:p>
            <w:r/>
            <w:r>
              <w:rPr>
                <w:b/>
                <w:color w:val="FFFFFF"/>
                <w:sz w:val="18"/>
              </w:rPr>
              <w:t>Layer</w:t>
            </w:r>
          </w:p>
        </w:tc>
        <w:tc>
          <w:tcPr>
            <w:tcW w:type="dxa" w:w="3456"/>
            <w:vAlign w:val="center"/>
            <w:shd w:fill="193B63"/>
          </w:tcPr>
          <w:p>
            <w:r/>
            <w:r>
              <w:rPr>
                <w:b/>
                <w:color w:val="FFFFFF"/>
                <w:sz w:val="18"/>
              </w:rPr>
              <w:t>Primary role</w:t>
            </w:r>
          </w:p>
        </w:tc>
        <w:tc>
          <w:tcPr>
            <w:tcW w:type="dxa" w:w="3960"/>
            <w:vAlign w:val="center"/>
            <w:shd w:fill="193B63"/>
          </w:tcPr>
          <w:p>
            <w:r/>
            <w:r>
              <w:rPr>
                <w:b/>
                <w:color w:val="FFFFFF"/>
                <w:sz w:val="18"/>
              </w:rPr>
              <w:t>Cost-efficiency rationale</w:t>
            </w:r>
          </w:p>
        </w:tc>
      </w:tr>
      <w:tr>
        <w:tc>
          <w:tcPr>
            <w:tcW w:type="dxa" w:w="1512"/>
            <w:vAlign w:val="center"/>
          </w:tcPr>
          <w:p>
            <w:r/>
            <w:r>
              <w:rPr>
                <w:b w:val="0"/>
                <w:sz w:val="17"/>
              </w:rPr>
              <w:t>Flutter</w:t>
            </w:r>
          </w:p>
        </w:tc>
        <w:tc>
          <w:tcPr>
            <w:tcW w:type="dxa" w:w="1440"/>
            <w:vAlign w:val="center"/>
          </w:tcPr>
          <w:p>
            <w:r/>
            <w:r>
              <w:rPr>
                <w:b w:val="0"/>
                <w:sz w:val="17"/>
              </w:rPr>
              <w:t>Client</w:t>
            </w:r>
          </w:p>
        </w:tc>
        <w:tc>
          <w:tcPr>
            <w:tcW w:type="dxa" w:w="3456"/>
            <w:vAlign w:val="center"/>
          </w:tcPr>
          <w:p>
            <w:r/>
            <w:r>
              <w:rPr>
                <w:b w:val="0"/>
                <w:sz w:val="17"/>
              </w:rPr>
              <w:t>One UI codebase for web/mobile path</w:t>
            </w:r>
          </w:p>
        </w:tc>
        <w:tc>
          <w:tcPr>
            <w:tcW w:type="dxa" w:w="3960"/>
            <w:vAlign w:val="center"/>
          </w:tcPr>
          <w:p>
            <w:r/>
            <w:r>
              <w:rPr>
                <w:b w:val="0"/>
                <w:sz w:val="17"/>
              </w:rPr>
              <w:t>Reduces parallel frontend development</w:t>
            </w:r>
          </w:p>
        </w:tc>
      </w:tr>
      <w:tr>
        <w:tc>
          <w:tcPr>
            <w:tcW w:type="dxa" w:w="1512"/>
            <w:vAlign w:val="center"/>
          </w:tcPr>
          <w:p>
            <w:r/>
            <w:r>
              <w:rPr>
                <w:b w:val="0"/>
                <w:sz w:val="17"/>
              </w:rPr>
              <w:t>FastAPI</w:t>
            </w:r>
          </w:p>
        </w:tc>
        <w:tc>
          <w:tcPr>
            <w:tcW w:type="dxa" w:w="1440"/>
            <w:vAlign w:val="center"/>
          </w:tcPr>
          <w:p>
            <w:r/>
            <w:r>
              <w:rPr>
                <w:b w:val="0"/>
                <w:sz w:val="17"/>
              </w:rPr>
              <w:t>Backend</w:t>
            </w:r>
          </w:p>
        </w:tc>
        <w:tc>
          <w:tcPr>
            <w:tcW w:type="dxa" w:w="3456"/>
            <w:vAlign w:val="center"/>
          </w:tcPr>
          <w:p>
            <w:r/>
            <w:r>
              <w:rPr>
                <w:b w:val="0"/>
                <w:sz w:val="17"/>
              </w:rPr>
              <w:t>Python API/control plane</w:t>
            </w:r>
          </w:p>
        </w:tc>
        <w:tc>
          <w:tcPr>
            <w:tcW w:type="dxa" w:w="3960"/>
            <w:vAlign w:val="center"/>
          </w:tcPr>
          <w:p>
            <w:r/>
            <w:r>
              <w:rPr>
                <w:b w:val="0"/>
                <w:sz w:val="17"/>
              </w:rPr>
              <w:t>Direct integration with AI/document tooling</w:t>
            </w:r>
          </w:p>
        </w:tc>
      </w:tr>
      <w:tr>
        <w:tc>
          <w:tcPr>
            <w:tcW w:type="dxa" w:w="1512"/>
            <w:vAlign w:val="center"/>
          </w:tcPr>
          <w:p>
            <w:r/>
            <w:r>
              <w:rPr>
                <w:b w:val="0"/>
                <w:sz w:val="17"/>
              </w:rPr>
              <w:t>LangGraph</w:t>
            </w:r>
          </w:p>
        </w:tc>
        <w:tc>
          <w:tcPr>
            <w:tcW w:type="dxa" w:w="1440"/>
            <w:vAlign w:val="center"/>
          </w:tcPr>
          <w:p>
            <w:r/>
            <w:r>
              <w:rPr>
                <w:b w:val="0"/>
                <w:sz w:val="17"/>
              </w:rPr>
              <w:t>Research engine</w:t>
            </w:r>
          </w:p>
        </w:tc>
        <w:tc>
          <w:tcPr>
            <w:tcW w:type="dxa" w:w="3456"/>
            <w:vAlign w:val="center"/>
          </w:tcPr>
          <w:p>
            <w:r/>
            <w:r>
              <w:rPr>
                <w:b w:val="0"/>
                <w:sz w:val="17"/>
              </w:rPr>
              <w:t>Stateful workflow orchestration</w:t>
            </w:r>
          </w:p>
        </w:tc>
        <w:tc>
          <w:tcPr>
            <w:tcW w:type="dxa" w:w="3960"/>
            <w:vAlign w:val="center"/>
          </w:tcPr>
          <w:p>
            <w:r/>
            <w:r>
              <w:rPr>
                <w:b w:val="0"/>
                <w:sz w:val="17"/>
              </w:rPr>
              <w:t>Keeps research logic explicit and testable</w:t>
            </w:r>
          </w:p>
        </w:tc>
      </w:tr>
      <w:tr>
        <w:tc>
          <w:tcPr>
            <w:tcW w:type="dxa" w:w="1512"/>
            <w:vAlign w:val="center"/>
          </w:tcPr>
          <w:p>
            <w:r/>
            <w:r>
              <w:rPr>
                <w:b w:val="0"/>
                <w:sz w:val="17"/>
              </w:rPr>
              <w:t>Ollama</w:t>
            </w:r>
          </w:p>
        </w:tc>
        <w:tc>
          <w:tcPr>
            <w:tcW w:type="dxa" w:w="1440"/>
            <w:vAlign w:val="center"/>
          </w:tcPr>
          <w:p>
            <w:r/>
            <w:r>
              <w:rPr>
                <w:b w:val="0"/>
                <w:sz w:val="17"/>
              </w:rPr>
              <w:t>LLM runtime</w:t>
            </w:r>
          </w:p>
        </w:tc>
        <w:tc>
          <w:tcPr>
            <w:tcW w:type="dxa" w:w="3456"/>
            <w:vAlign w:val="center"/>
          </w:tcPr>
          <w:p>
            <w:r/>
            <w:r>
              <w:rPr>
                <w:b w:val="0"/>
                <w:sz w:val="17"/>
              </w:rPr>
              <w:t>Local model serving</w:t>
            </w:r>
          </w:p>
        </w:tc>
        <w:tc>
          <w:tcPr>
            <w:tcW w:type="dxa" w:w="3960"/>
            <w:vAlign w:val="center"/>
          </w:tcPr>
          <w:p>
            <w:r/>
            <w:r>
              <w:rPr>
                <w:b w:val="0"/>
                <w:sz w:val="17"/>
              </w:rPr>
              <w:t>Reduces per-token API dependency; supports private deployments</w:t>
            </w:r>
          </w:p>
        </w:tc>
      </w:tr>
      <w:tr>
        <w:tc>
          <w:tcPr>
            <w:tcW w:type="dxa" w:w="1512"/>
            <w:vAlign w:val="center"/>
          </w:tcPr>
          <w:p>
            <w:r/>
            <w:r>
              <w:rPr>
                <w:b w:val="0"/>
                <w:sz w:val="17"/>
              </w:rPr>
              <w:t>Qdrant</w:t>
            </w:r>
          </w:p>
        </w:tc>
        <w:tc>
          <w:tcPr>
            <w:tcW w:type="dxa" w:w="1440"/>
            <w:vAlign w:val="center"/>
          </w:tcPr>
          <w:p>
            <w:r/>
            <w:r>
              <w:rPr>
                <w:b w:val="0"/>
                <w:sz w:val="17"/>
              </w:rPr>
              <w:t>Vector retrieval</w:t>
            </w:r>
          </w:p>
        </w:tc>
        <w:tc>
          <w:tcPr>
            <w:tcW w:type="dxa" w:w="3456"/>
            <w:vAlign w:val="center"/>
          </w:tcPr>
          <w:p>
            <w:r/>
            <w:r>
              <w:rPr>
                <w:b w:val="0"/>
                <w:sz w:val="17"/>
              </w:rPr>
              <w:t>Semantic search/clustering</w:t>
            </w:r>
          </w:p>
        </w:tc>
        <w:tc>
          <w:tcPr>
            <w:tcW w:type="dxa" w:w="3960"/>
            <w:vAlign w:val="center"/>
          </w:tcPr>
          <w:p>
            <w:r/>
            <w:r>
              <w:rPr>
                <w:b w:val="0"/>
                <w:sz w:val="17"/>
              </w:rPr>
              <w:t>Self-hostable retrieval layer</w:t>
            </w:r>
          </w:p>
        </w:tc>
      </w:tr>
      <w:tr>
        <w:tc>
          <w:tcPr>
            <w:tcW w:type="dxa" w:w="1512"/>
            <w:vAlign w:val="center"/>
          </w:tcPr>
          <w:p>
            <w:r/>
            <w:r>
              <w:rPr>
                <w:b w:val="0"/>
                <w:sz w:val="17"/>
              </w:rPr>
              <w:t>PostgreSQL</w:t>
            </w:r>
          </w:p>
        </w:tc>
        <w:tc>
          <w:tcPr>
            <w:tcW w:type="dxa" w:w="1440"/>
            <w:vAlign w:val="center"/>
          </w:tcPr>
          <w:p>
            <w:r/>
            <w:r>
              <w:rPr>
                <w:b w:val="0"/>
                <w:sz w:val="17"/>
              </w:rPr>
              <w:t>System of record</w:t>
            </w:r>
          </w:p>
        </w:tc>
        <w:tc>
          <w:tcPr>
            <w:tcW w:type="dxa" w:w="3456"/>
            <w:vAlign w:val="center"/>
          </w:tcPr>
          <w:p>
            <w:r/>
            <w:r>
              <w:rPr>
                <w:b w:val="0"/>
                <w:sz w:val="17"/>
              </w:rPr>
              <w:t>Projects, sources, evidence, claims</w:t>
            </w:r>
          </w:p>
        </w:tc>
        <w:tc>
          <w:tcPr>
            <w:tcW w:type="dxa" w:w="3960"/>
            <w:vAlign w:val="center"/>
          </w:tcPr>
          <w:p>
            <w:r/>
            <w:r>
              <w:rPr>
                <w:b w:val="0"/>
                <w:sz w:val="17"/>
              </w:rPr>
              <w:t>Mature open database with low operational cost</w:t>
            </w:r>
          </w:p>
        </w:tc>
      </w:tr>
      <w:tr>
        <w:tc>
          <w:tcPr>
            <w:tcW w:type="dxa" w:w="1512"/>
            <w:vAlign w:val="center"/>
          </w:tcPr>
          <w:p>
            <w:r/>
            <w:r>
              <w:rPr>
                <w:b w:val="0"/>
                <w:sz w:val="17"/>
              </w:rPr>
              <w:t>OpenAlex</w:t>
            </w:r>
          </w:p>
        </w:tc>
        <w:tc>
          <w:tcPr>
            <w:tcW w:type="dxa" w:w="1440"/>
            <w:vAlign w:val="center"/>
          </w:tcPr>
          <w:p>
            <w:r/>
            <w:r>
              <w:rPr>
                <w:b w:val="0"/>
                <w:sz w:val="17"/>
              </w:rPr>
              <w:t>Scholarly discovery</w:t>
            </w:r>
          </w:p>
        </w:tc>
        <w:tc>
          <w:tcPr>
            <w:tcW w:type="dxa" w:w="3456"/>
            <w:vAlign w:val="center"/>
          </w:tcPr>
          <w:p>
            <w:r/>
            <w:r>
              <w:rPr>
                <w:b w:val="0"/>
                <w:sz w:val="17"/>
              </w:rPr>
              <w:t>Works/authors/topics metadata</w:t>
            </w:r>
          </w:p>
        </w:tc>
        <w:tc>
          <w:tcPr>
            <w:tcW w:type="dxa" w:w="3960"/>
            <w:vAlign w:val="center"/>
          </w:tcPr>
          <w:p>
            <w:r/>
            <w:r>
              <w:rPr>
                <w:b w:val="0"/>
                <w:sz w:val="17"/>
              </w:rPr>
              <w:t>Free usage tier supports early product validation</w:t>
            </w:r>
          </w:p>
        </w:tc>
      </w:tr>
      <w:tr>
        <w:tc>
          <w:tcPr>
            <w:tcW w:type="dxa" w:w="1512"/>
            <w:vAlign w:val="center"/>
          </w:tcPr>
          <w:p>
            <w:r/>
            <w:r>
              <w:rPr>
                <w:b w:val="0"/>
                <w:sz w:val="17"/>
              </w:rPr>
              <w:t>Crossref</w:t>
            </w:r>
          </w:p>
        </w:tc>
        <w:tc>
          <w:tcPr>
            <w:tcW w:type="dxa" w:w="1440"/>
            <w:vAlign w:val="center"/>
          </w:tcPr>
          <w:p>
            <w:r/>
            <w:r>
              <w:rPr>
                <w:b w:val="0"/>
                <w:sz w:val="17"/>
              </w:rPr>
              <w:t>Bibliographic metadata</w:t>
            </w:r>
          </w:p>
        </w:tc>
        <w:tc>
          <w:tcPr>
            <w:tcW w:type="dxa" w:w="3456"/>
            <w:vAlign w:val="center"/>
          </w:tcPr>
          <w:p>
            <w:r/>
            <w:r>
              <w:rPr>
                <w:b w:val="0"/>
                <w:sz w:val="17"/>
              </w:rPr>
              <w:t>DOI and publication metadata</w:t>
            </w:r>
          </w:p>
        </w:tc>
        <w:tc>
          <w:tcPr>
            <w:tcW w:type="dxa" w:w="3960"/>
            <w:vAlign w:val="center"/>
          </w:tcPr>
          <w:p>
            <w:r/>
            <w:r>
              <w:rPr>
                <w:b w:val="0"/>
                <w:sz w:val="17"/>
              </w:rPr>
              <w:t>Public REST API; paid service only for higher service levels</w:t>
            </w:r>
          </w:p>
        </w:tc>
      </w:tr>
      <w:tr>
        <w:tc>
          <w:tcPr>
            <w:tcW w:type="dxa" w:w="1512"/>
            <w:vAlign w:val="center"/>
          </w:tcPr>
          <w:p>
            <w:r/>
            <w:r>
              <w:rPr>
                <w:b w:val="0"/>
                <w:sz w:val="17"/>
              </w:rPr>
              <w:t>SearXNG</w:t>
            </w:r>
          </w:p>
        </w:tc>
        <w:tc>
          <w:tcPr>
            <w:tcW w:type="dxa" w:w="1440"/>
            <w:vAlign w:val="center"/>
          </w:tcPr>
          <w:p>
            <w:r/>
            <w:r>
              <w:rPr>
                <w:b w:val="0"/>
                <w:sz w:val="17"/>
              </w:rPr>
              <w:t>Web discovery</w:t>
            </w:r>
          </w:p>
        </w:tc>
        <w:tc>
          <w:tcPr>
            <w:tcW w:type="dxa" w:w="3456"/>
            <w:vAlign w:val="center"/>
          </w:tcPr>
          <w:p>
            <w:r/>
            <w:r>
              <w:rPr>
                <w:b w:val="0"/>
                <w:sz w:val="17"/>
              </w:rPr>
              <w:t>Self-hosted metasearch</w:t>
            </w:r>
          </w:p>
        </w:tc>
        <w:tc>
          <w:tcPr>
            <w:tcW w:type="dxa" w:w="3960"/>
            <w:vAlign w:val="center"/>
          </w:tcPr>
          <w:p>
            <w:r/>
            <w:r>
              <w:rPr>
                <w:b w:val="0"/>
                <w:sz w:val="17"/>
              </w:rPr>
              <w:t>Avoids mandatory commercial search API dependency</w:t>
            </w:r>
          </w:p>
        </w:tc>
      </w:tr>
      <w:tr>
        <w:tc>
          <w:tcPr>
            <w:tcW w:type="dxa" w:w="1512"/>
            <w:vAlign w:val="center"/>
          </w:tcPr>
          <w:p>
            <w:r/>
            <w:r>
              <w:rPr>
                <w:b w:val="0"/>
                <w:sz w:val="17"/>
              </w:rPr>
              <w:t>GROBID</w:t>
            </w:r>
          </w:p>
        </w:tc>
        <w:tc>
          <w:tcPr>
            <w:tcW w:type="dxa" w:w="1440"/>
            <w:vAlign w:val="center"/>
          </w:tcPr>
          <w:p>
            <w:r/>
            <w:r>
              <w:rPr>
                <w:b w:val="0"/>
                <w:sz w:val="17"/>
              </w:rPr>
              <w:t>Academic PDFs</w:t>
            </w:r>
          </w:p>
        </w:tc>
        <w:tc>
          <w:tcPr>
            <w:tcW w:type="dxa" w:w="3456"/>
            <w:vAlign w:val="center"/>
          </w:tcPr>
          <w:p>
            <w:r/>
            <w:r>
              <w:rPr>
                <w:b w:val="0"/>
                <w:sz w:val="17"/>
              </w:rPr>
              <w:t>Structure/references</w:t>
            </w:r>
          </w:p>
        </w:tc>
        <w:tc>
          <w:tcPr>
            <w:tcW w:type="dxa" w:w="3960"/>
            <w:vAlign w:val="center"/>
          </w:tcPr>
          <w:p>
            <w:r/>
            <w:r>
              <w:rPr>
                <w:b w:val="0"/>
                <w:sz w:val="17"/>
              </w:rPr>
              <w:t>Open-source academic document processing</w:t>
            </w:r>
          </w:p>
        </w:tc>
      </w:tr>
      <w:tr>
        <w:tc>
          <w:tcPr>
            <w:tcW w:type="dxa" w:w="1512"/>
            <w:vAlign w:val="center"/>
          </w:tcPr>
          <w:p>
            <w:r/>
            <w:r>
              <w:rPr>
                <w:b w:val="0"/>
                <w:sz w:val="17"/>
              </w:rPr>
              <w:t>Docling</w:t>
            </w:r>
          </w:p>
        </w:tc>
        <w:tc>
          <w:tcPr>
            <w:tcW w:type="dxa" w:w="1440"/>
            <w:vAlign w:val="center"/>
          </w:tcPr>
          <w:p>
            <w:r/>
            <w:r>
              <w:rPr>
                <w:b w:val="0"/>
                <w:sz w:val="17"/>
              </w:rPr>
              <w:t>Documents</w:t>
            </w:r>
          </w:p>
        </w:tc>
        <w:tc>
          <w:tcPr>
            <w:tcW w:type="dxa" w:w="3456"/>
            <w:vAlign w:val="center"/>
          </w:tcPr>
          <w:p>
            <w:r/>
            <w:r>
              <w:rPr>
                <w:b w:val="0"/>
                <w:sz w:val="17"/>
              </w:rPr>
              <w:t>PDF/layout/table parsing</w:t>
            </w:r>
          </w:p>
        </w:tc>
        <w:tc>
          <w:tcPr>
            <w:tcW w:type="dxa" w:w="3960"/>
            <w:vAlign w:val="center"/>
          </w:tcPr>
          <w:p>
            <w:r/>
            <w:r>
              <w:rPr>
                <w:b w:val="0"/>
                <w:sz w:val="17"/>
              </w:rPr>
              <w:t>Local document intelligence</w:t>
            </w:r>
          </w:p>
        </w:tc>
      </w:tr>
      <w:tr>
        <w:tc>
          <w:tcPr>
            <w:tcW w:type="dxa" w:w="1512"/>
            <w:vAlign w:val="center"/>
          </w:tcPr>
          <w:p>
            <w:r/>
            <w:r>
              <w:rPr>
                <w:b w:val="0"/>
                <w:sz w:val="17"/>
              </w:rPr>
              <w:t>MinIO</w:t>
            </w:r>
          </w:p>
        </w:tc>
        <w:tc>
          <w:tcPr>
            <w:tcW w:type="dxa" w:w="1440"/>
            <w:vAlign w:val="center"/>
          </w:tcPr>
          <w:p>
            <w:r/>
            <w:r>
              <w:rPr>
                <w:b w:val="0"/>
                <w:sz w:val="17"/>
              </w:rPr>
              <w:t>Object storage</w:t>
            </w:r>
          </w:p>
        </w:tc>
        <w:tc>
          <w:tcPr>
            <w:tcW w:type="dxa" w:w="3456"/>
            <w:vAlign w:val="center"/>
          </w:tcPr>
          <w:p>
            <w:r/>
            <w:r>
              <w:rPr>
                <w:b w:val="0"/>
                <w:sz w:val="17"/>
              </w:rPr>
              <w:t>Source documents</w:t>
            </w:r>
          </w:p>
        </w:tc>
        <w:tc>
          <w:tcPr>
            <w:tcW w:type="dxa" w:w="3960"/>
            <w:vAlign w:val="center"/>
          </w:tcPr>
          <w:p>
            <w:r/>
            <w:r>
              <w:rPr>
                <w:b w:val="0"/>
                <w:sz w:val="17"/>
              </w:rPr>
              <w:t>Self-hostable storage</w:t>
            </w:r>
          </w:p>
        </w:tc>
      </w:tr>
      <w:tr>
        <w:tc>
          <w:tcPr>
            <w:tcW w:type="dxa" w:w="1512"/>
            <w:vAlign w:val="center"/>
          </w:tcPr>
          <w:p>
            <w:r/>
            <w:r>
              <w:rPr>
                <w:b w:val="0"/>
                <w:sz w:val="17"/>
              </w:rPr>
              <w:t>Redis</w:t>
            </w:r>
          </w:p>
        </w:tc>
        <w:tc>
          <w:tcPr>
            <w:tcW w:type="dxa" w:w="1440"/>
            <w:vAlign w:val="center"/>
          </w:tcPr>
          <w:p>
            <w:r/>
            <w:r>
              <w:rPr>
                <w:b w:val="0"/>
                <w:sz w:val="17"/>
              </w:rPr>
              <w:t>Cache/jobs</w:t>
            </w:r>
          </w:p>
        </w:tc>
        <w:tc>
          <w:tcPr>
            <w:tcW w:type="dxa" w:w="3456"/>
            <w:vAlign w:val="center"/>
          </w:tcPr>
          <w:p>
            <w:r/>
            <w:r>
              <w:rPr>
                <w:b w:val="0"/>
                <w:sz w:val="17"/>
              </w:rPr>
              <w:t>Short-lived state and queues</w:t>
            </w:r>
          </w:p>
        </w:tc>
        <w:tc>
          <w:tcPr>
            <w:tcW w:type="dxa" w:w="3960"/>
            <w:vAlign w:val="center"/>
          </w:tcPr>
          <w:p>
            <w:r/>
            <w:r>
              <w:rPr>
                <w:b w:val="0"/>
                <w:sz w:val="17"/>
              </w:rPr>
              <w:t>Low-cost infrastructure primitive</w:t>
            </w:r>
          </w:p>
        </w:tc>
      </w:tr>
      <w:tr>
        <w:tc>
          <w:tcPr>
            <w:tcW w:type="dxa" w:w="1512"/>
            <w:vAlign w:val="center"/>
          </w:tcPr>
          <w:p>
            <w:r/>
            <w:r>
              <w:rPr>
                <w:b w:val="0"/>
                <w:sz w:val="17"/>
              </w:rPr>
              <w:t>Docker</w:t>
            </w:r>
          </w:p>
        </w:tc>
        <w:tc>
          <w:tcPr>
            <w:tcW w:type="dxa" w:w="1440"/>
            <w:vAlign w:val="center"/>
          </w:tcPr>
          <w:p>
            <w:r/>
            <w:r>
              <w:rPr>
                <w:b w:val="0"/>
                <w:sz w:val="17"/>
              </w:rPr>
              <w:t>Deployment</w:t>
            </w:r>
          </w:p>
        </w:tc>
        <w:tc>
          <w:tcPr>
            <w:tcW w:type="dxa" w:w="3456"/>
            <w:vAlign w:val="center"/>
          </w:tcPr>
          <w:p>
            <w:r/>
            <w:r>
              <w:rPr>
                <w:b w:val="0"/>
                <w:sz w:val="17"/>
              </w:rPr>
              <w:t>Reproducible services</w:t>
            </w:r>
          </w:p>
        </w:tc>
        <w:tc>
          <w:tcPr>
            <w:tcW w:type="dxa" w:w="3960"/>
            <w:vAlign w:val="center"/>
          </w:tcPr>
          <w:p>
            <w:r/>
            <w:r>
              <w:rPr>
                <w:b w:val="0"/>
                <w:sz w:val="17"/>
              </w:rPr>
              <w:t>Simplifies local/pilot/institution deployment</w:t>
            </w:r>
          </w:p>
        </w:tc>
      </w:tr>
    </w:tbl>
    <w:p/>
    <w:p>
      <w:r>
        <w:t>Current ecosystem checks support the open-source-first direction: Ollama is MIT licensed; Qdrant is Apache 2.0; Docling is MIT; and LangGraph's repository is MIT licensed. OpenAlex documents a free offering and Crossref documents a public REST API with optional paid higher-service tiers. These facts support the architecture's cost-control strategy, but individual model licenses, data-source terms and document copyright must still be reviewed before commercial deployment.</w:t>
      </w:r>
    </w:p>
    <w:p>
      <w:pPr>
        <w:pStyle w:val="Heading1"/>
      </w:pPr>
      <w:r>
        <w:t>7. Phased Implementation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720"/>
            <w:vAlign w:val="center"/>
            <w:shd w:fill="193B63"/>
          </w:tcPr>
          <w:p>
            <w:r/>
            <w:r>
              <w:rPr>
                <w:b/>
                <w:color w:val="FFFFFF"/>
                <w:sz w:val="18"/>
              </w:rPr>
              <w:t>Phase</w:t>
            </w:r>
          </w:p>
        </w:tc>
        <w:tc>
          <w:tcPr>
            <w:tcW w:type="dxa" w:w="1728"/>
            <w:vAlign w:val="center"/>
            <w:shd w:fill="193B63"/>
          </w:tcPr>
          <w:p>
            <w:r/>
            <w:r>
              <w:rPr>
                <w:b/>
                <w:color w:val="FFFFFF"/>
                <w:sz w:val="18"/>
              </w:rPr>
              <w:t>Name</w:t>
            </w:r>
          </w:p>
        </w:tc>
        <w:tc>
          <w:tcPr>
            <w:tcW w:type="dxa" w:w="1440"/>
            <w:vAlign w:val="center"/>
            <w:shd w:fill="193B63"/>
          </w:tcPr>
          <w:p>
            <w:r/>
            <w:r>
              <w:rPr>
                <w:b/>
                <w:color w:val="FFFFFF"/>
                <w:sz w:val="18"/>
              </w:rPr>
              <w:t>Target window</w:t>
            </w:r>
          </w:p>
        </w:tc>
        <w:tc>
          <w:tcPr>
            <w:tcW w:type="dxa" w:w="4680"/>
            <w:vAlign w:val="center"/>
            <w:shd w:fill="193B63"/>
          </w:tcPr>
          <w:p>
            <w:r/>
            <w:r>
              <w:rPr>
                <w:b/>
                <w:color w:val="FFFFFF"/>
                <w:sz w:val="18"/>
              </w:rPr>
              <w:t>Major deliverables</w:t>
            </w:r>
          </w:p>
        </w:tc>
        <w:tc>
          <w:tcPr>
            <w:tcW w:type="dxa" w:w="2880"/>
            <w:vAlign w:val="center"/>
            <w:shd w:fill="193B63"/>
          </w:tcPr>
          <w:p>
            <w:r/>
            <w:r>
              <w:rPr>
                <w:b/>
                <w:color w:val="FFFFFF"/>
                <w:sz w:val="18"/>
              </w:rPr>
              <w:t>Expected milestone</w:t>
            </w:r>
          </w:p>
        </w:tc>
      </w:tr>
      <w:tr>
        <w:tc>
          <w:tcPr>
            <w:tcW w:type="dxa" w:w="720"/>
            <w:vAlign w:val="center"/>
          </w:tcPr>
          <w:p>
            <w:r/>
            <w:r>
              <w:rPr>
                <w:b w:val="0"/>
                <w:sz w:val="17"/>
              </w:rPr>
              <w:t>1</w:t>
            </w:r>
          </w:p>
        </w:tc>
        <w:tc>
          <w:tcPr>
            <w:tcW w:type="dxa" w:w="1728"/>
            <w:vAlign w:val="center"/>
          </w:tcPr>
          <w:p>
            <w:r/>
            <w:r>
              <w:rPr>
                <w:b w:val="0"/>
                <w:sz w:val="17"/>
              </w:rPr>
              <w:t>Foundation</w:t>
            </w:r>
          </w:p>
        </w:tc>
        <w:tc>
          <w:tcPr>
            <w:tcW w:type="dxa" w:w="1440"/>
            <w:vAlign w:val="center"/>
          </w:tcPr>
          <w:p>
            <w:r/>
            <w:r>
              <w:rPr>
                <w:b w:val="0"/>
                <w:sz w:val="17"/>
              </w:rPr>
              <w:t>0–2 months</w:t>
            </w:r>
          </w:p>
        </w:tc>
        <w:tc>
          <w:tcPr>
            <w:tcW w:type="dxa" w:w="4680"/>
            <w:vAlign w:val="center"/>
          </w:tcPr>
          <w:p>
            <w:r/>
            <w:r>
              <w:rPr>
                <w:b w:val="0"/>
                <w:sz w:val="17"/>
              </w:rPr>
              <w:t>FastAPI, PostgreSQL, LangGraph, Ollama, Qdrant, OpenAlex, Crossref, SearXNG, Flutter starter</w:t>
            </w:r>
          </w:p>
        </w:tc>
        <w:tc>
          <w:tcPr>
            <w:tcW w:type="dxa" w:w="2880"/>
            <w:vAlign w:val="center"/>
          </w:tcPr>
          <w:p>
            <w:r/>
            <w:r>
              <w:rPr>
                <w:b w:val="0"/>
                <w:sz w:val="17"/>
              </w:rPr>
              <w:t>Working research question → source discovery → evidence-backed answer</w:t>
            </w:r>
          </w:p>
        </w:tc>
      </w:tr>
      <w:tr>
        <w:tc>
          <w:tcPr>
            <w:tcW w:type="dxa" w:w="720"/>
            <w:vAlign w:val="center"/>
          </w:tcPr>
          <w:p>
            <w:r/>
            <w:r>
              <w:rPr>
                <w:b w:val="0"/>
                <w:sz w:val="17"/>
              </w:rPr>
              <w:t>2</w:t>
            </w:r>
          </w:p>
        </w:tc>
        <w:tc>
          <w:tcPr>
            <w:tcW w:type="dxa" w:w="1728"/>
            <w:vAlign w:val="center"/>
          </w:tcPr>
          <w:p>
            <w:r/>
            <w:r>
              <w:rPr>
                <w:b w:val="0"/>
                <w:sz w:val="17"/>
              </w:rPr>
              <w:t>Document Intelligence</w:t>
            </w:r>
          </w:p>
        </w:tc>
        <w:tc>
          <w:tcPr>
            <w:tcW w:type="dxa" w:w="1440"/>
            <w:vAlign w:val="center"/>
          </w:tcPr>
          <w:p>
            <w:r/>
            <w:r>
              <w:rPr>
                <w:b w:val="0"/>
                <w:sz w:val="17"/>
              </w:rPr>
              <w:t>2–4 months</w:t>
            </w:r>
          </w:p>
        </w:tc>
        <w:tc>
          <w:tcPr>
            <w:tcW w:type="dxa" w:w="4680"/>
            <w:vAlign w:val="center"/>
          </w:tcPr>
          <w:p>
            <w:r/>
            <w:r>
              <w:rPr>
                <w:b w:val="0"/>
                <w:sz w:val="17"/>
              </w:rPr>
              <w:t>GROBID, Docling, MinIO, PDF ingestion, OCR fallback, page-aware chunks</w:t>
            </w:r>
          </w:p>
        </w:tc>
        <w:tc>
          <w:tcPr>
            <w:tcW w:type="dxa" w:w="2880"/>
            <w:vAlign w:val="center"/>
          </w:tcPr>
          <w:p>
            <w:r/>
            <w:r>
              <w:rPr>
                <w:b w:val="0"/>
                <w:sz w:val="17"/>
              </w:rPr>
              <w:t>Reliable academic-paper processing</w:t>
            </w:r>
          </w:p>
        </w:tc>
      </w:tr>
      <w:tr>
        <w:tc>
          <w:tcPr>
            <w:tcW w:type="dxa" w:w="720"/>
            <w:vAlign w:val="center"/>
          </w:tcPr>
          <w:p>
            <w:r/>
            <w:r>
              <w:rPr>
                <w:b w:val="0"/>
                <w:sz w:val="17"/>
              </w:rPr>
              <w:t>3</w:t>
            </w:r>
          </w:p>
        </w:tc>
        <w:tc>
          <w:tcPr>
            <w:tcW w:type="dxa" w:w="1728"/>
            <w:vAlign w:val="center"/>
          </w:tcPr>
          <w:p>
            <w:r/>
            <w:r>
              <w:rPr>
                <w:b w:val="0"/>
                <w:sz w:val="17"/>
              </w:rPr>
              <w:t>Evidence Engine</w:t>
            </w:r>
          </w:p>
        </w:tc>
        <w:tc>
          <w:tcPr>
            <w:tcW w:type="dxa" w:w="1440"/>
            <w:vAlign w:val="center"/>
          </w:tcPr>
          <w:p>
            <w:r/>
            <w:r>
              <w:rPr>
                <w:b w:val="0"/>
                <w:sz w:val="17"/>
              </w:rPr>
              <w:t>4–6 months</w:t>
            </w:r>
          </w:p>
        </w:tc>
        <w:tc>
          <w:tcPr>
            <w:tcW w:type="dxa" w:w="4680"/>
            <w:vAlign w:val="center"/>
          </w:tcPr>
          <w:p>
            <w:r/>
            <w:r>
              <w:rPr>
                <w:b w:val="0"/>
                <w:sz w:val="17"/>
              </w:rPr>
              <w:t>Hybrid retrieval, reranking, claim/evidence mapping, citation validation</w:t>
            </w:r>
          </w:p>
        </w:tc>
        <w:tc>
          <w:tcPr>
            <w:tcW w:type="dxa" w:w="2880"/>
            <w:vAlign w:val="center"/>
          </w:tcPr>
          <w:p>
            <w:r/>
            <w:r>
              <w:rPr>
                <w:b w:val="0"/>
                <w:sz w:val="17"/>
              </w:rPr>
              <w:t>Higher trust and measurable research quality</w:t>
            </w:r>
          </w:p>
        </w:tc>
      </w:tr>
      <w:tr>
        <w:tc>
          <w:tcPr>
            <w:tcW w:type="dxa" w:w="720"/>
            <w:vAlign w:val="center"/>
          </w:tcPr>
          <w:p>
            <w:r/>
            <w:r>
              <w:rPr>
                <w:b w:val="0"/>
                <w:sz w:val="17"/>
              </w:rPr>
              <w:t>4</w:t>
            </w:r>
          </w:p>
        </w:tc>
        <w:tc>
          <w:tcPr>
            <w:tcW w:type="dxa" w:w="1728"/>
            <w:vAlign w:val="center"/>
          </w:tcPr>
          <w:p>
            <w:r/>
            <w:r>
              <w:rPr>
                <w:b w:val="0"/>
                <w:sz w:val="17"/>
              </w:rPr>
              <w:t>Student Workspace</w:t>
            </w:r>
          </w:p>
        </w:tc>
        <w:tc>
          <w:tcPr>
            <w:tcW w:type="dxa" w:w="1440"/>
            <w:vAlign w:val="center"/>
          </w:tcPr>
          <w:p>
            <w:r/>
            <w:r>
              <w:rPr>
                <w:b w:val="0"/>
                <w:sz w:val="17"/>
              </w:rPr>
              <w:t>6–8 months</w:t>
            </w:r>
          </w:p>
        </w:tc>
        <w:tc>
          <w:tcPr>
            <w:tcW w:type="dxa" w:w="4680"/>
            <w:vAlign w:val="center"/>
          </w:tcPr>
          <w:p>
            <w:r/>
            <w:r>
              <w:rPr>
                <w:b w:val="0"/>
                <w:sz w:val="17"/>
              </w:rPr>
              <w:t>Auth, projects, paper reader, notes, citations, literature review, export</w:t>
            </w:r>
          </w:p>
        </w:tc>
        <w:tc>
          <w:tcPr>
            <w:tcW w:type="dxa" w:w="2880"/>
            <w:vAlign w:val="center"/>
          </w:tcPr>
          <w:p>
            <w:r/>
            <w:r>
              <w:rPr>
                <w:b w:val="0"/>
                <w:sz w:val="17"/>
              </w:rPr>
              <w:t>Usable student product</w:t>
            </w:r>
          </w:p>
        </w:tc>
      </w:tr>
      <w:tr>
        <w:tc>
          <w:tcPr>
            <w:tcW w:type="dxa" w:w="720"/>
            <w:vAlign w:val="center"/>
          </w:tcPr>
          <w:p>
            <w:r/>
            <w:r>
              <w:rPr>
                <w:b w:val="0"/>
                <w:sz w:val="17"/>
              </w:rPr>
              <w:t>5</w:t>
            </w:r>
          </w:p>
        </w:tc>
        <w:tc>
          <w:tcPr>
            <w:tcW w:type="dxa" w:w="1728"/>
            <w:vAlign w:val="center"/>
          </w:tcPr>
          <w:p>
            <w:r/>
            <w:r>
              <w:rPr>
                <w:b w:val="0"/>
                <w:sz w:val="17"/>
              </w:rPr>
              <w:t>Academic Intelligence</w:t>
            </w:r>
          </w:p>
        </w:tc>
        <w:tc>
          <w:tcPr>
            <w:tcW w:type="dxa" w:w="1440"/>
            <w:vAlign w:val="center"/>
          </w:tcPr>
          <w:p>
            <w:r/>
            <w:r>
              <w:rPr>
                <w:b w:val="0"/>
                <w:sz w:val="17"/>
              </w:rPr>
              <w:t>8–10 months</w:t>
            </w:r>
          </w:p>
        </w:tc>
        <w:tc>
          <w:tcPr>
            <w:tcW w:type="dxa" w:w="4680"/>
            <w:vAlign w:val="center"/>
          </w:tcPr>
          <w:p>
            <w:r/>
            <w:r>
              <w:rPr>
                <w:b w:val="0"/>
                <w:sz w:val="17"/>
              </w:rPr>
              <w:t>Research gaps, methodology comparison, concept maps, proposal/project assistant</w:t>
            </w:r>
          </w:p>
        </w:tc>
        <w:tc>
          <w:tcPr>
            <w:tcW w:type="dxa" w:w="2880"/>
            <w:vAlign w:val="center"/>
          </w:tcPr>
          <w:p>
            <w:r/>
            <w:r>
              <w:rPr>
                <w:b w:val="0"/>
                <w:sz w:val="17"/>
              </w:rPr>
              <w:t>Differentiated academic research platform</w:t>
            </w:r>
          </w:p>
        </w:tc>
      </w:tr>
      <w:tr>
        <w:tc>
          <w:tcPr>
            <w:tcW w:type="dxa" w:w="720"/>
            <w:vAlign w:val="center"/>
          </w:tcPr>
          <w:p>
            <w:r/>
            <w:r>
              <w:rPr>
                <w:b w:val="0"/>
                <w:sz w:val="17"/>
              </w:rPr>
              <w:t>6</w:t>
            </w:r>
          </w:p>
        </w:tc>
        <w:tc>
          <w:tcPr>
            <w:tcW w:type="dxa" w:w="1728"/>
            <w:vAlign w:val="center"/>
          </w:tcPr>
          <w:p>
            <w:r/>
            <w:r>
              <w:rPr>
                <w:b w:val="0"/>
                <w:sz w:val="17"/>
              </w:rPr>
              <w:t>Exam Intelligence</w:t>
            </w:r>
          </w:p>
        </w:tc>
        <w:tc>
          <w:tcPr>
            <w:tcW w:type="dxa" w:w="1440"/>
            <w:vAlign w:val="center"/>
          </w:tcPr>
          <w:p>
            <w:r/>
            <w:r>
              <w:rPr>
                <w:b w:val="0"/>
                <w:sz w:val="17"/>
              </w:rPr>
              <w:t>10–12 months</w:t>
            </w:r>
          </w:p>
        </w:tc>
        <w:tc>
          <w:tcPr>
            <w:tcW w:type="dxa" w:w="4680"/>
            <w:vAlign w:val="center"/>
          </w:tcPr>
          <w:p>
            <w:r/>
            <w:r>
              <w:rPr>
                <w:b w:val="0"/>
                <w:sz w:val="17"/>
              </w:rPr>
              <w:t>Paper collection, question extraction, clustering, recurrence/trend analytics</w:t>
            </w:r>
          </w:p>
        </w:tc>
        <w:tc>
          <w:tcPr>
            <w:tcW w:type="dxa" w:w="2880"/>
            <w:vAlign w:val="center"/>
          </w:tcPr>
          <w:p>
            <w:r/>
            <w:r>
              <w:rPr>
                <w:b w:val="0"/>
                <w:sz w:val="17"/>
              </w:rPr>
              <w:t>High-value exam/study vertical</w:t>
            </w:r>
          </w:p>
        </w:tc>
      </w:tr>
      <w:tr>
        <w:tc>
          <w:tcPr>
            <w:tcW w:type="dxa" w:w="720"/>
            <w:vAlign w:val="center"/>
          </w:tcPr>
          <w:p>
            <w:r/>
            <w:r>
              <w:rPr>
                <w:b w:val="0"/>
                <w:sz w:val="17"/>
              </w:rPr>
              <w:t>7</w:t>
            </w:r>
          </w:p>
        </w:tc>
        <w:tc>
          <w:tcPr>
            <w:tcW w:type="dxa" w:w="1728"/>
            <w:vAlign w:val="center"/>
          </w:tcPr>
          <w:p>
            <w:r/>
            <w:r>
              <w:rPr>
                <w:b w:val="0"/>
                <w:sz w:val="17"/>
              </w:rPr>
              <w:t>Scale &amp; Ecosystem</w:t>
            </w:r>
          </w:p>
        </w:tc>
        <w:tc>
          <w:tcPr>
            <w:tcW w:type="dxa" w:w="1440"/>
            <w:vAlign w:val="center"/>
          </w:tcPr>
          <w:p>
            <w:r/>
            <w:r>
              <w:rPr>
                <w:b w:val="0"/>
                <w:sz w:val="17"/>
              </w:rPr>
              <w:t>12+ months</w:t>
            </w:r>
          </w:p>
        </w:tc>
        <w:tc>
          <w:tcPr>
            <w:tcW w:type="dxa" w:w="4680"/>
            <w:vAlign w:val="center"/>
          </w:tcPr>
          <w:p>
            <w:r/>
            <w:r>
              <w:rPr>
                <w:b w:val="0"/>
                <w:sz w:val="17"/>
              </w:rPr>
              <w:t>Mobile, collaboration, multilingual, institution deployment, APIs/SDK, observability</w:t>
            </w:r>
          </w:p>
        </w:tc>
        <w:tc>
          <w:tcPr>
            <w:tcW w:type="dxa" w:w="2880"/>
            <w:vAlign w:val="center"/>
          </w:tcPr>
          <w:p>
            <w:r/>
            <w:r>
              <w:rPr>
                <w:b w:val="0"/>
                <w:sz w:val="17"/>
              </w:rPr>
              <w:t>Broader adoption and platform economics</w:t>
            </w:r>
          </w:p>
        </w:tc>
      </w:tr>
    </w:tbl>
    <w:p/>
    <w:p>
      <w:pPr>
        <w:pStyle w:val="Heading1"/>
      </w:pPr>
      <w:r>
        <w:t>8. Expected Goals &amp; Outcomes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vAlign w:val="center"/>
            <w:shd w:fill="193B63"/>
          </w:tcPr>
          <w:p>
            <w:r/>
            <w:r>
              <w:rPr>
                <w:b/>
                <w:color w:val="FFFFFF"/>
                <w:sz w:val="18"/>
              </w:rPr>
              <w:t>Goal</w:t>
            </w:r>
          </w:p>
        </w:tc>
        <w:tc>
          <w:tcPr>
            <w:tcW w:type="dxa" w:w="2736"/>
            <w:vAlign w:val="center"/>
            <w:shd w:fill="193B63"/>
          </w:tcPr>
          <w:p>
            <w:r/>
            <w:r>
              <w:rPr>
                <w:b/>
                <w:color w:val="FFFFFF"/>
                <w:sz w:val="18"/>
              </w:rPr>
              <w:t>Objective</w:t>
            </w:r>
          </w:p>
        </w:tc>
        <w:tc>
          <w:tcPr>
            <w:tcW w:type="dxa" w:w="3816"/>
            <w:vAlign w:val="center"/>
            <w:shd w:fill="193B63"/>
          </w:tcPr>
          <w:p>
            <w:r/>
            <w:r>
              <w:rPr>
                <w:b/>
                <w:color w:val="FFFFFF"/>
                <w:sz w:val="18"/>
              </w:rPr>
              <w:t>Expected outcome</w:t>
            </w:r>
          </w:p>
        </w:tc>
        <w:tc>
          <w:tcPr>
            <w:tcW w:type="dxa" w:w="3096"/>
            <w:vAlign w:val="center"/>
            <w:shd w:fill="193B63"/>
          </w:tcPr>
          <w:p>
            <w:r/>
            <w:r>
              <w:rPr>
                <w:b/>
                <w:color w:val="FFFFFF"/>
                <w:sz w:val="18"/>
              </w:rPr>
              <w:t>Business/student impact</w:t>
            </w:r>
          </w:p>
        </w:tc>
      </w:tr>
      <w:tr>
        <w:tc>
          <w:tcPr>
            <w:tcW w:type="dxa" w:w="720"/>
            <w:vAlign w:val="center"/>
          </w:tcPr>
          <w:p>
            <w:r/>
            <w:r>
              <w:rPr>
                <w:b w:val="0"/>
                <w:sz w:val="17"/>
              </w:rPr>
              <w:t>G1</w:t>
            </w:r>
          </w:p>
        </w:tc>
        <w:tc>
          <w:tcPr>
            <w:tcW w:type="dxa" w:w="2736"/>
            <w:vAlign w:val="center"/>
          </w:tcPr>
          <w:p>
            <w:r/>
            <w:r>
              <w:rPr>
                <w:b w:val="0"/>
                <w:sz w:val="17"/>
              </w:rPr>
              <w:t>Create a trusted academic research assistant</w:t>
            </w:r>
          </w:p>
        </w:tc>
        <w:tc>
          <w:tcPr>
            <w:tcW w:type="dxa" w:w="3816"/>
            <w:vAlign w:val="center"/>
          </w:tcPr>
          <w:p>
            <w:r/>
            <w:r>
              <w:rPr>
                <w:b w:val="0"/>
                <w:sz w:val="17"/>
              </w:rPr>
              <w:t>Evidence-backed answers with source and claim traceability</w:t>
            </w:r>
          </w:p>
        </w:tc>
        <w:tc>
          <w:tcPr>
            <w:tcW w:type="dxa" w:w="3096"/>
            <w:vAlign w:val="center"/>
          </w:tcPr>
          <w:p>
            <w:r/>
            <w:r>
              <w:rPr>
                <w:b w:val="0"/>
                <w:sz w:val="17"/>
              </w:rPr>
              <w:t>Student confidence and academic usability</w:t>
            </w:r>
          </w:p>
        </w:tc>
      </w:tr>
      <w:tr>
        <w:tc>
          <w:tcPr>
            <w:tcW w:type="dxa" w:w="720"/>
            <w:vAlign w:val="center"/>
          </w:tcPr>
          <w:p>
            <w:r/>
            <w:r>
              <w:rPr>
                <w:b w:val="0"/>
                <w:sz w:val="17"/>
              </w:rPr>
              <w:t>G2</w:t>
            </w:r>
          </w:p>
        </w:tc>
        <w:tc>
          <w:tcPr>
            <w:tcW w:type="dxa" w:w="2736"/>
            <w:vAlign w:val="center"/>
          </w:tcPr>
          <w:p>
            <w:r/>
            <w:r>
              <w:rPr>
                <w:b w:val="0"/>
                <w:sz w:val="17"/>
              </w:rPr>
              <w:t>Reduce research friction</w:t>
            </w:r>
          </w:p>
        </w:tc>
        <w:tc>
          <w:tcPr>
            <w:tcW w:type="dxa" w:w="3816"/>
            <w:vAlign w:val="center"/>
          </w:tcPr>
          <w:p>
            <w:r/>
            <w:r>
              <w:rPr>
                <w:b w:val="0"/>
                <w:sz w:val="17"/>
              </w:rPr>
              <w:t>One workspace for discovery, reading, evidence and references</w:t>
            </w:r>
          </w:p>
        </w:tc>
        <w:tc>
          <w:tcPr>
            <w:tcW w:type="dxa" w:w="3096"/>
            <w:vAlign w:val="center"/>
          </w:tcPr>
          <w:p>
            <w:r/>
            <w:r>
              <w:rPr>
                <w:b w:val="0"/>
                <w:sz w:val="17"/>
              </w:rPr>
              <w:t>Lower time spent switching tools</w:t>
            </w:r>
          </w:p>
        </w:tc>
      </w:tr>
      <w:tr>
        <w:tc>
          <w:tcPr>
            <w:tcW w:type="dxa" w:w="720"/>
            <w:vAlign w:val="center"/>
          </w:tcPr>
          <w:p>
            <w:r/>
            <w:r>
              <w:rPr>
                <w:b w:val="0"/>
                <w:sz w:val="17"/>
              </w:rPr>
              <w:t>G3</w:t>
            </w:r>
          </w:p>
        </w:tc>
        <w:tc>
          <w:tcPr>
            <w:tcW w:type="dxa" w:w="2736"/>
            <w:vAlign w:val="center"/>
          </w:tcPr>
          <w:p>
            <w:r/>
            <w:r>
              <w:rPr>
                <w:b w:val="0"/>
                <w:sz w:val="17"/>
              </w:rPr>
              <w:t>Control AI operating costs</w:t>
            </w:r>
          </w:p>
        </w:tc>
        <w:tc>
          <w:tcPr>
            <w:tcW w:type="dxa" w:w="3816"/>
            <w:vAlign w:val="center"/>
          </w:tcPr>
          <w:p>
            <w:r/>
            <w:r>
              <w:rPr>
                <w:b w:val="0"/>
                <w:sz w:val="17"/>
              </w:rPr>
              <w:t>Local/open-source model path with optional hosted fallback</w:t>
            </w:r>
          </w:p>
        </w:tc>
        <w:tc>
          <w:tcPr>
            <w:tcW w:type="dxa" w:w="3096"/>
            <w:vAlign w:val="center"/>
          </w:tcPr>
          <w:p>
            <w:r/>
            <w:r>
              <w:rPr>
                <w:b w:val="0"/>
                <w:sz w:val="17"/>
              </w:rPr>
              <w:t>Predictable infrastructure economics</w:t>
            </w:r>
          </w:p>
        </w:tc>
      </w:tr>
      <w:tr>
        <w:tc>
          <w:tcPr>
            <w:tcW w:type="dxa" w:w="720"/>
            <w:vAlign w:val="center"/>
          </w:tcPr>
          <w:p>
            <w:r/>
            <w:r>
              <w:rPr>
                <w:b w:val="0"/>
                <w:sz w:val="17"/>
              </w:rPr>
              <w:t>G4</w:t>
            </w:r>
          </w:p>
        </w:tc>
        <w:tc>
          <w:tcPr>
            <w:tcW w:type="dxa" w:w="2736"/>
            <w:vAlign w:val="center"/>
          </w:tcPr>
          <w:p>
            <w:r/>
            <w:r>
              <w:rPr>
                <w:b w:val="0"/>
                <w:sz w:val="17"/>
              </w:rPr>
              <w:t>Build reusable research infrastructure</w:t>
            </w:r>
          </w:p>
        </w:tc>
        <w:tc>
          <w:tcPr>
            <w:tcW w:type="dxa" w:w="3816"/>
            <w:vAlign w:val="center"/>
          </w:tcPr>
          <w:p>
            <w:r/>
            <w:r>
              <w:rPr>
                <w:b w:val="0"/>
                <w:sz w:val="17"/>
              </w:rPr>
              <w:t>Shared engine for multiple academic use cases</w:t>
            </w:r>
          </w:p>
        </w:tc>
        <w:tc>
          <w:tcPr>
            <w:tcW w:type="dxa" w:w="3096"/>
            <w:vAlign w:val="center"/>
          </w:tcPr>
          <w:p>
            <w:r/>
            <w:r>
              <w:rPr>
                <w:b w:val="0"/>
                <w:sz w:val="17"/>
              </w:rPr>
              <w:t>New features reuse existing platform investment</w:t>
            </w:r>
          </w:p>
        </w:tc>
      </w:tr>
      <w:tr>
        <w:tc>
          <w:tcPr>
            <w:tcW w:type="dxa" w:w="720"/>
            <w:vAlign w:val="center"/>
          </w:tcPr>
          <w:p>
            <w:r/>
            <w:r>
              <w:rPr>
                <w:b w:val="0"/>
                <w:sz w:val="17"/>
              </w:rPr>
              <w:t>G5</w:t>
            </w:r>
          </w:p>
        </w:tc>
        <w:tc>
          <w:tcPr>
            <w:tcW w:type="dxa" w:w="2736"/>
            <w:vAlign w:val="center"/>
          </w:tcPr>
          <w:p>
            <w:r/>
            <w:r>
              <w:rPr>
                <w:b w:val="0"/>
                <w:sz w:val="17"/>
              </w:rPr>
              <w:t>Support multiple education levels</w:t>
            </w:r>
          </w:p>
        </w:tc>
        <w:tc>
          <w:tcPr>
            <w:tcW w:type="dxa" w:w="3816"/>
            <w:vAlign w:val="center"/>
          </w:tcPr>
          <w:p>
            <w:r/>
            <w:r>
              <w:rPr>
                <w:b w:val="0"/>
                <w:sz w:val="17"/>
              </w:rPr>
              <w:t>Configurable taxonomy and workflows</w:t>
            </w:r>
          </w:p>
        </w:tc>
        <w:tc>
          <w:tcPr>
            <w:tcW w:type="dxa" w:w="3096"/>
            <w:vAlign w:val="center"/>
          </w:tcPr>
          <w:p>
            <w:r/>
            <w:r>
              <w:rPr>
                <w:b w:val="0"/>
                <w:sz w:val="17"/>
              </w:rPr>
              <w:t>School → higher education → research applicability</w:t>
            </w:r>
          </w:p>
        </w:tc>
      </w:tr>
      <w:tr>
        <w:tc>
          <w:tcPr>
            <w:tcW w:type="dxa" w:w="720"/>
            <w:vAlign w:val="center"/>
          </w:tcPr>
          <w:p>
            <w:r/>
            <w:r>
              <w:rPr>
                <w:b w:val="0"/>
                <w:sz w:val="17"/>
              </w:rPr>
              <w:t>G6</w:t>
            </w:r>
          </w:p>
        </w:tc>
        <w:tc>
          <w:tcPr>
            <w:tcW w:type="dxa" w:w="2736"/>
            <w:vAlign w:val="center"/>
          </w:tcPr>
          <w:p>
            <w:r/>
            <w:r>
              <w:rPr>
                <w:b w:val="0"/>
                <w:sz w:val="17"/>
              </w:rPr>
              <w:t>Create institutional deployment option</w:t>
            </w:r>
          </w:p>
        </w:tc>
        <w:tc>
          <w:tcPr>
            <w:tcW w:type="dxa" w:w="3816"/>
            <w:vAlign w:val="center"/>
          </w:tcPr>
          <w:p>
            <w:r/>
            <w:r>
              <w:rPr>
                <w:b w:val="0"/>
                <w:sz w:val="17"/>
              </w:rPr>
              <w:t>Self-hostable core and privacy-aware architecture</w:t>
            </w:r>
          </w:p>
        </w:tc>
        <w:tc>
          <w:tcPr>
            <w:tcW w:type="dxa" w:w="3096"/>
            <w:vAlign w:val="center"/>
          </w:tcPr>
          <w:p>
            <w:r/>
            <w:r>
              <w:rPr>
                <w:b w:val="0"/>
                <w:sz w:val="17"/>
              </w:rPr>
              <w:t>Potential B2B/B2Institution opportunity</w:t>
            </w:r>
          </w:p>
        </w:tc>
      </w:tr>
    </w:tbl>
    <w:p/>
    <w:p>
      <w:pPr>
        <w:pStyle w:val="Heading1"/>
      </w:pPr>
      <w:r>
        <w:t>9. Investor-Facing Success Metrics</w:t>
      </w:r>
    </w:p>
    <w:p>
      <w:r>
        <w:t>The following are proposed target metrics for product validation. They are planning targets, not current measured results.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93B63"/>
          </w:tcPr>
          <w:p>
            <w:r/>
            <w:r>
              <w:rPr>
                <w:b/>
                <w:color w:val="FFFFFF"/>
                <w:sz w:val="18"/>
              </w:rPr>
              <w:t>Metric</w:t>
            </w:r>
          </w:p>
        </w:tc>
        <w:tc>
          <w:tcPr>
            <w:tcW w:type="dxa" w:w="1872"/>
            <w:vAlign w:val="center"/>
            <w:shd w:fill="193B63"/>
          </w:tcPr>
          <w:p>
            <w:r/>
            <w:r>
              <w:rPr>
                <w:b/>
                <w:color w:val="FFFFFF"/>
                <w:sz w:val="18"/>
              </w:rPr>
              <w:t>Initial target</w:t>
            </w:r>
          </w:p>
        </w:tc>
        <w:tc>
          <w:tcPr>
            <w:tcW w:type="dxa" w:w="6048"/>
            <w:vAlign w:val="center"/>
            <w:shd w:fill="193B63"/>
          </w:tcPr>
          <w:p>
            <w:r/>
            <w:r>
              <w:rPr>
                <w:b/>
                <w:color w:val="FFFFFF"/>
                <w:sz w:val="18"/>
              </w:rPr>
              <w:t>Definition</w:t>
            </w:r>
          </w:p>
        </w:tc>
      </w:tr>
      <w:tr>
        <w:tc>
          <w:tcPr>
            <w:tcW w:type="dxa" w:w="2880"/>
            <w:vAlign w:val="center"/>
          </w:tcPr>
          <w:p>
            <w:r/>
            <w:r>
              <w:rPr>
                <w:b w:val="0"/>
                <w:sz w:val="17"/>
              </w:rPr>
              <w:t>Research completion rate</w:t>
            </w:r>
          </w:p>
        </w:tc>
        <w:tc>
          <w:tcPr>
            <w:tcW w:type="dxa" w:w="1872"/>
            <w:vAlign w:val="center"/>
          </w:tcPr>
          <w:p>
            <w:r/>
            <w:r>
              <w:rPr>
                <w:b w:val="0"/>
                <w:sz w:val="17"/>
              </w:rPr>
              <w:t>≥80%</w:t>
            </w:r>
          </w:p>
        </w:tc>
        <w:tc>
          <w:tcPr>
            <w:tcW w:type="dxa" w:w="6048"/>
            <w:vAlign w:val="center"/>
          </w:tcPr>
          <w:p>
            <w:r/>
            <w:r>
              <w:rPr>
                <w:b w:val="0"/>
                <w:sz w:val="17"/>
              </w:rPr>
              <w:t>Started research runs that reach a usable result</w:t>
            </w:r>
          </w:p>
        </w:tc>
      </w:tr>
      <w:tr>
        <w:tc>
          <w:tcPr>
            <w:tcW w:type="dxa" w:w="2880"/>
            <w:vAlign w:val="center"/>
          </w:tcPr>
          <w:p>
            <w:r/>
            <w:r>
              <w:rPr>
                <w:b w:val="0"/>
                <w:sz w:val="17"/>
              </w:rPr>
              <w:t>Source traceability</w:t>
            </w:r>
          </w:p>
        </w:tc>
        <w:tc>
          <w:tcPr>
            <w:tcW w:type="dxa" w:w="1872"/>
            <w:vAlign w:val="center"/>
          </w:tcPr>
          <w:p>
            <w:r/>
            <w:r>
              <w:rPr>
                <w:b w:val="0"/>
                <w:sz w:val="17"/>
              </w:rPr>
              <w:t>≥95%</w:t>
            </w:r>
          </w:p>
        </w:tc>
        <w:tc>
          <w:tcPr>
            <w:tcW w:type="dxa" w:w="6048"/>
            <w:vAlign w:val="center"/>
          </w:tcPr>
          <w:p>
            <w:r/>
            <w:r>
              <w:rPr>
                <w:b w:val="0"/>
                <w:sz w:val="17"/>
              </w:rPr>
              <w:t>Major factual claims linked to identifiable evidence</w:t>
            </w:r>
          </w:p>
        </w:tc>
      </w:tr>
      <w:tr>
        <w:tc>
          <w:tcPr>
            <w:tcW w:type="dxa" w:w="2880"/>
            <w:vAlign w:val="center"/>
          </w:tcPr>
          <w:p>
            <w:r/>
            <w:r>
              <w:rPr>
                <w:b w:val="0"/>
                <w:sz w:val="17"/>
              </w:rPr>
              <w:t>Citation correctness</w:t>
            </w:r>
          </w:p>
        </w:tc>
        <w:tc>
          <w:tcPr>
            <w:tcW w:type="dxa" w:w="1872"/>
            <w:vAlign w:val="center"/>
          </w:tcPr>
          <w:p>
            <w:r/>
            <w:r>
              <w:rPr>
                <w:b w:val="0"/>
                <w:sz w:val="17"/>
              </w:rPr>
              <w:t>≥90% at pilot</w:t>
            </w:r>
          </w:p>
        </w:tc>
        <w:tc>
          <w:tcPr>
            <w:tcW w:type="dxa" w:w="6048"/>
            <w:vAlign w:val="center"/>
          </w:tcPr>
          <w:p>
            <w:r/>
            <w:r>
              <w:rPr>
                <w:b w:val="0"/>
                <w:sz w:val="17"/>
              </w:rPr>
              <w:t>Citations actually support the associated claim</w:t>
            </w:r>
          </w:p>
        </w:tc>
      </w:tr>
      <w:tr>
        <w:tc>
          <w:tcPr>
            <w:tcW w:type="dxa" w:w="2880"/>
            <w:vAlign w:val="center"/>
          </w:tcPr>
          <w:p>
            <w:r/>
            <w:r>
              <w:rPr>
                <w:b w:val="0"/>
                <w:sz w:val="17"/>
              </w:rPr>
              <w:t>Unsupported-claim rate</w:t>
            </w:r>
          </w:p>
        </w:tc>
        <w:tc>
          <w:tcPr>
            <w:tcW w:type="dxa" w:w="1872"/>
            <w:vAlign w:val="center"/>
          </w:tcPr>
          <w:p>
            <w:r/>
            <w:r>
              <w:rPr>
                <w:b w:val="0"/>
                <w:sz w:val="17"/>
              </w:rPr>
              <w:t>&lt;5% at pilot</w:t>
            </w:r>
          </w:p>
        </w:tc>
        <w:tc>
          <w:tcPr>
            <w:tcW w:type="dxa" w:w="6048"/>
            <w:vAlign w:val="center"/>
          </w:tcPr>
          <w:p>
            <w:r/>
            <w:r>
              <w:rPr>
                <w:b w:val="0"/>
                <w:sz w:val="17"/>
              </w:rPr>
              <w:t>Claims without adequate evidence</w:t>
            </w:r>
          </w:p>
        </w:tc>
      </w:tr>
      <w:tr>
        <w:tc>
          <w:tcPr>
            <w:tcW w:type="dxa" w:w="2880"/>
            <w:vAlign w:val="center"/>
          </w:tcPr>
          <w:p>
            <w:r/>
            <w:r>
              <w:rPr>
                <w:b w:val="0"/>
                <w:sz w:val="17"/>
              </w:rPr>
              <w:t>Research time reduction</w:t>
            </w:r>
          </w:p>
        </w:tc>
        <w:tc>
          <w:tcPr>
            <w:tcW w:type="dxa" w:w="1872"/>
            <w:vAlign w:val="center"/>
          </w:tcPr>
          <w:p>
            <w:r/>
            <w:r>
              <w:rPr>
                <w:b w:val="0"/>
                <w:sz w:val="17"/>
              </w:rPr>
              <w:t>≥50% target</w:t>
            </w:r>
          </w:p>
        </w:tc>
        <w:tc>
          <w:tcPr>
            <w:tcW w:type="dxa" w:w="6048"/>
            <w:vAlign w:val="center"/>
          </w:tcPr>
          <w:p>
            <w:r/>
            <w:r>
              <w:rPr>
                <w:b w:val="0"/>
                <w:sz w:val="17"/>
              </w:rPr>
              <w:t>Compared with a defined manual student workflow</w:t>
            </w:r>
          </w:p>
        </w:tc>
      </w:tr>
      <w:tr>
        <w:tc>
          <w:tcPr>
            <w:tcW w:type="dxa" w:w="2880"/>
            <w:vAlign w:val="center"/>
          </w:tcPr>
          <w:p>
            <w:r/>
            <w:r>
              <w:rPr>
                <w:b w:val="0"/>
                <w:sz w:val="17"/>
              </w:rPr>
              <w:t>Document extraction success</w:t>
            </w:r>
          </w:p>
        </w:tc>
        <w:tc>
          <w:tcPr>
            <w:tcW w:type="dxa" w:w="1872"/>
            <w:vAlign w:val="center"/>
          </w:tcPr>
          <w:p>
            <w:r/>
            <w:r>
              <w:rPr>
                <w:b w:val="0"/>
                <w:sz w:val="17"/>
              </w:rPr>
              <w:t>≥90% target</w:t>
            </w:r>
          </w:p>
        </w:tc>
        <w:tc>
          <w:tcPr>
            <w:tcW w:type="dxa" w:w="6048"/>
            <w:vAlign w:val="center"/>
          </w:tcPr>
          <w:p>
            <w:r/>
            <w:r>
              <w:rPr>
                <w:b w:val="0"/>
                <w:sz w:val="17"/>
              </w:rPr>
              <w:t>Usable structured output on selected academic PDFs</w:t>
            </w:r>
          </w:p>
        </w:tc>
      </w:tr>
      <w:tr>
        <w:tc>
          <w:tcPr>
            <w:tcW w:type="dxa" w:w="2880"/>
            <w:vAlign w:val="center"/>
          </w:tcPr>
          <w:p>
            <w:r/>
            <w:r>
              <w:rPr>
                <w:b w:val="0"/>
                <w:sz w:val="17"/>
              </w:rPr>
              <w:t>Semantic clustering precision</w:t>
            </w:r>
          </w:p>
        </w:tc>
        <w:tc>
          <w:tcPr>
            <w:tcW w:type="dxa" w:w="1872"/>
            <w:vAlign w:val="center"/>
          </w:tcPr>
          <w:p>
            <w:r/>
            <w:r>
              <w:rPr>
                <w:b w:val="0"/>
                <w:sz w:val="17"/>
              </w:rPr>
              <w:t>≥90% target</w:t>
            </w:r>
          </w:p>
        </w:tc>
        <w:tc>
          <w:tcPr>
            <w:tcW w:type="dxa" w:w="6048"/>
            <w:vAlign w:val="center"/>
          </w:tcPr>
          <w:p>
            <w:r/>
            <w:r>
              <w:rPr>
                <w:b w:val="0"/>
                <w:sz w:val="17"/>
              </w:rPr>
              <w:t>Correctly groups equivalent/near-equivalent exam questions</w:t>
            </w:r>
          </w:p>
        </w:tc>
      </w:tr>
      <w:tr>
        <w:tc>
          <w:tcPr>
            <w:tcW w:type="dxa" w:w="2880"/>
            <w:vAlign w:val="center"/>
          </w:tcPr>
          <w:p>
            <w:r/>
            <w:r>
              <w:rPr>
                <w:b w:val="0"/>
                <w:sz w:val="17"/>
              </w:rPr>
              <w:t>Repeat-user rate</w:t>
            </w:r>
          </w:p>
        </w:tc>
        <w:tc>
          <w:tcPr>
            <w:tcW w:type="dxa" w:w="1872"/>
            <w:vAlign w:val="center"/>
          </w:tcPr>
          <w:p>
            <w:r/>
            <w:r>
              <w:rPr>
                <w:b w:val="0"/>
                <w:sz w:val="17"/>
              </w:rPr>
              <w:t>≥40% pilot target</w:t>
            </w:r>
          </w:p>
        </w:tc>
        <w:tc>
          <w:tcPr>
            <w:tcW w:type="dxa" w:w="6048"/>
            <w:vAlign w:val="center"/>
          </w:tcPr>
          <w:p>
            <w:r/>
            <w:r>
              <w:rPr>
                <w:b w:val="0"/>
                <w:sz w:val="17"/>
              </w:rPr>
              <w:t>Students returning for a second research task</w:t>
            </w:r>
          </w:p>
        </w:tc>
      </w:tr>
      <w:tr>
        <w:tc>
          <w:tcPr>
            <w:tcW w:type="dxa" w:w="2880"/>
            <w:vAlign w:val="center"/>
          </w:tcPr>
          <w:p>
            <w:r/>
            <w:r>
              <w:rPr>
                <w:b w:val="0"/>
                <w:sz w:val="17"/>
              </w:rPr>
              <w:t>Cost per completed research run</w:t>
            </w:r>
          </w:p>
        </w:tc>
        <w:tc>
          <w:tcPr>
            <w:tcW w:type="dxa" w:w="1872"/>
            <w:vAlign w:val="center"/>
          </w:tcPr>
          <w:p>
            <w:r/>
            <w:r>
              <w:rPr>
                <w:b w:val="0"/>
                <w:sz w:val="17"/>
              </w:rPr>
              <w:t>Track monthly</w:t>
            </w:r>
          </w:p>
        </w:tc>
        <w:tc>
          <w:tcPr>
            <w:tcW w:type="dxa" w:w="6048"/>
            <w:vAlign w:val="center"/>
          </w:tcPr>
          <w:p>
            <w:r/>
            <w:r>
              <w:rPr>
                <w:b w:val="0"/>
                <w:sz w:val="17"/>
              </w:rPr>
              <w:t>Infrastructure + model + retrieval cost divided by completed runs</w:t>
            </w:r>
          </w:p>
        </w:tc>
      </w:tr>
      <w:tr>
        <w:tc>
          <w:tcPr>
            <w:tcW w:type="dxa" w:w="2880"/>
            <w:vAlign w:val="center"/>
          </w:tcPr>
          <w:p>
            <w:r/>
            <w:r>
              <w:rPr>
                <w:b w:val="0"/>
                <w:sz w:val="17"/>
              </w:rPr>
              <w:t>Monthly cost per active student</w:t>
            </w:r>
          </w:p>
        </w:tc>
        <w:tc>
          <w:tcPr>
            <w:tcW w:type="dxa" w:w="1872"/>
            <w:vAlign w:val="center"/>
          </w:tcPr>
          <w:p>
            <w:r/>
            <w:r>
              <w:rPr>
                <w:b w:val="0"/>
                <w:sz w:val="17"/>
              </w:rPr>
              <w:t>Track monthly</w:t>
            </w:r>
          </w:p>
        </w:tc>
        <w:tc>
          <w:tcPr>
            <w:tcW w:type="dxa" w:w="6048"/>
            <w:vAlign w:val="center"/>
          </w:tcPr>
          <w:p>
            <w:r/>
            <w:r>
              <w:rPr>
                <w:b w:val="0"/>
                <w:sz w:val="17"/>
              </w:rPr>
              <w:t>Total platform operating cost divided by active students</w:t>
            </w:r>
          </w:p>
        </w:tc>
      </w:tr>
    </w:tbl>
    <w:p/>
    <w:p>
      <w:pPr>
        <w:pStyle w:val="Heading1"/>
      </w:pPr>
      <w:r>
        <w:t>10. Cost-Effective Operating Model</w:t>
      </w:r>
    </w:p>
    <w:p>
      <w:r>
        <w:t>The project should be managed using a unit-economics model rather than a simple infrastructure budget. People cost will dominate early development; the open-source architecture is primarily valuable because it reduces recurring vendor/API dependency and makes the same infrastructure reusable across many workflows.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93B63"/>
          </w:tcPr>
          <w:p>
            <w:r/>
            <w:r>
              <w:rPr>
                <w:b/>
                <w:color w:val="FFFFFF"/>
                <w:sz w:val="18"/>
              </w:rPr>
              <w:t>Cost area</w:t>
            </w:r>
          </w:p>
        </w:tc>
        <w:tc>
          <w:tcPr>
            <w:tcW w:type="dxa" w:w="3024"/>
            <w:vAlign w:val="center"/>
            <w:shd w:fill="193B63"/>
          </w:tcPr>
          <w:p>
            <w:r/>
            <w:r>
              <w:rPr>
                <w:b/>
                <w:color w:val="FFFFFF"/>
                <w:sz w:val="18"/>
              </w:rPr>
              <w:t>What it covers</w:t>
            </w:r>
          </w:p>
        </w:tc>
        <w:tc>
          <w:tcPr>
            <w:tcW w:type="dxa" w:w="2376"/>
            <w:vAlign w:val="center"/>
            <w:shd w:fill="193B63"/>
          </w:tcPr>
          <w:p>
            <w:r/>
            <w:r>
              <w:rPr>
                <w:b/>
                <w:color w:val="FFFFFF"/>
                <w:sz w:val="18"/>
              </w:rPr>
              <w:t>Economic behavior</w:t>
            </w:r>
          </w:p>
        </w:tc>
        <w:tc>
          <w:tcPr>
            <w:tcW w:type="dxa" w:w="3600"/>
            <w:vAlign w:val="center"/>
            <w:shd w:fill="193B63"/>
          </w:tcPr>
          <w:p>
            <w:r/>
            <w:r>
              <w:rPr>
                <w:b/>
                <w:color w:val="FFFFFF"/>
                <w:sz w:val="18"/>
              </w:rPr>
              <w:t>Control strategy</w:t>
            </w:r>
          </w:p>
        </w:tc>
      </w:tr>
      <w:tr>
        <w:tc>
          <w:tcPr>
            <w:tcW w:type="dxa" w:w="1800"/>
            <w:vAlign w:val="center"/>
          </w:tcPr>
          <w:p>
            <w:r/>
            <w:r>
              <w:rPr>
                <w:b w:val="0"/>
                <w:sz w:val="17"/>
              </w:rPr>
              <w:t>Development team</w:t>
            </w:r>
          </w:p>
        </w:tc>
        <w:tc>
          <w:tcPr>
            <w:tcW w:type="dxa" w:w="3024"/>
            <w:vAlign w:val="center"/>
          </w:tcPr>
          <w:p>
            <w:r/>
            <w:r>
              <w:rPr>
                <w:b w:val="0"/>
                <w:sz w:val="17"/>
              </w:rPr>
              <w:t>Product/engineering/research effort</w:t>
            </w:r>
          </w:p>
        </w:tc>
        <w:tc>
          <w:tcPr>
            <w:tcW w:type="dxa" w:w="2376"/>
            <w:vAlign w:val="center"/>
          </w:tcPr>
          <w:p>
            <w:r/>
            <w:r>
              <w:rPr>
                <w:b w:val="0"/>
                <w:sz w:val="17"/>
              </w:rPr>
              <w:t>Primary early investment</w:t>
            </w:r>
          </w:p>
        </w:tc>
        <w:tc>
          <w:tcPr>
            <w:tcW w:type="dxa" w:w="3600"/>
            <w:vAlign w:val="center"/>
          </w:tcPr>
          <w:p>
            <w:r/>
            <w:r>
              <w:rPr>
                <w:b w:val="0"/>
                <w:sz w:val="17"/>
              </w:rPr>
              <w:t>Phase-based team sizing</w:t>
            </w:r>
          </w:p>
        </w:tc>
      </w:tr>
      <w:tr>
        <w:tc>
          <w:tcPr>
            <w:tcW w:type="dxa" w:w="1800"/>
            <w:vAlign w:val="center"/>
          </w:tcPr>
          <w:p>
            <w:r/>
            <w:r>
              <w:rPr>
                <w:b w:val="0"/>
                <w:sz w:val="17"/>
              </w:rPr>
              <w:t>Compute</w:t>
            </w:r>
          </w:p>
        </w:tc>
        <w:tc>
          <w:tcPr>
            <w:tcW w:type="dxa" w:w="3024"/>
            <w:vAlign w:val="center"/>
          </w:tcPr>
          <w:p>
            <w:r/>
            <w:r>
              <w:rPr>
                <w:b w:val="0"/>
                <w:sz w:val="17"/>
              </w:rPr>
              <w:t>LLM inference + document processing</w:t>
            </w:r>
          </w:p>
        </w:tc>
        <w:tc>
          <w:tcPr>
            <w:tcW w:type="dxa" w:w="2376"/>
            <w:vAlign w:val="center"/>
          </w:tcPr>
          <w:p>
            <w:r/>
            <w:r>
              <w:rPr>
                <w:b w:val="0"/>
                <w:sz w:val="17"/>
              </w:rPr>
              <w:t>Variable</w:t>
            </w:r>
          </w:p>
        </w:tc>
        <w:tc>
          <w:tcPr>
            <w:tcW w:type="dxa" w:w="3600"/>
            <w:vAlign w:val="center"/>
          </w:tcPr>
          <w:p>
            <w:r/>
            <w:r>
              <w:rPr>
                <w:b w:val="0"/>
                <w:sz w:val="17"/>
              </w:rPr>
              <w:t>Local GPU or dedicated GPU; scale only with demand</w:t>
            </w:r>
          </w:p>
        </w:tc>
      </w:tr>
      <w:tr>
        <w:tc>
          <w:tcPr>
            <w:tcW w:type="dxa" w:w="1800"/>
            <w:vAlign w:val="center"/>
          </w:tcPr>
          <w:p>
            <w:r/>
            <w:r>
              <w:rPr>
                <w:b w:val="0"/>
                <w:sz w:val="17"/>
              </w:rPr>
              <w:t>Storage</w:t>
            </w:r>
          </w:p>
        </w:tc>
        <w:tc>
          <w:tcPr>
            <w:tcW w:type="dxa" w:w="3024"/>
            <w:vAlign w:val="center"/>
          </w:tcPr>
          <w:p>
            <w:r/>
            <w:r>
              <w:rPr>
                <w:b w:val="0"/>
                <w:sz w:val="17"/>
              </w:rPr>
              <w:t>PDFs, extracted documents, artifacts</w:t>
            </w:r>
          </w:p>
        </w:tc>
        <w:tc>
          <w:tcPr>
            <w:tcW w:type="dxa" w:w="2376"/>
            <w:vAlign w:val="center"/>
          </w:tcPr>
          <w:p>
            <w:r/>
            <w:r>
              <w:rPr>
                <w:b w:val="0"/>
                <w:sz w:val="17"/>
              </w:rPr>
              <w:t>Low/medium variable</w:t>
            </w:r>
          </w:p>
        </w:tc>
        <w:tc>
          <w:tcPr>
            <w:tcW w:type="dxa" w:w="3600"/>
            <w:vAlign w:val="center"/>
          </w:tcPr>
          <w:p>
            <w:r/>
            <w:r>
              <w:rPr>
                <w:b w:val="0"/>
                <w:sz w:val="17"/>
              </w:rPr>
              <w:t>MinIO/object storage + lifecycle policies</w:t>
            </w:r>
          </w:p>
        </w:tc>
      </w:tr>
      <w:tr>
        <w:tc>
          <w:tcPr>
            <w:tcW w:type="dxa" w:w="1800"/>
            <w:vAlign w:val="center"/>
          </w:tcPr>
          <w:p>
            <w:r/>
            <w:r>
              <w:rPr>
                <w:b w:val="0"/>
                <w:sz w:val="17"/>
              </w:rPr>
              <w:t>Search/metadata</w:t>
            </w:r>
          </w:p>
        </w:tc>
        <w:tc>
          <w:tcPr>
            <w:tcW w:type="dxa" w:w="3024"/>
            <w:vAlign w:val="center"/>
          </w:tcPr>
          <w:p>
            <w:r/>
            <w:r>
              <w:rPr>
                <w:b w:val="0"/>
                <w:sz w:val="17"/>
              </w:rPr>
              <w:t>OpenAlex/Crossref/SearXNG</w:t>
            </w:r>
          </w:p>
        </w:tc>
        <w:tc>
          <w:tcPr>
            <w:tcW w:type="dxa" w:w="2376"/>
            <w:vAlign w:val="center"/>
          </w:tcPr>
          <w:p>
            <w:r/>
            <w:r>
              <w:rPr>
                <w:b w:val="0"/>
                <w:sz w:val="17"/>
              </w:rPr>
              <w:t>Low in early stages</w:t>
            </w:r>
          </w:p>
        </w:tc>
        <w:tc>
          <w:tcPr>
            <w:tcW w:type="dxa" w:w="3600"/>
            <w:vAlign w:val="center"/>
          </w:tcPr>
          <w:p>
            <w:r/>
            <w:r>
              <w:rPr>
                <w:b w:val="0"/>
                <w:sz w:val="17"/>
              </w:rPr>
              <w:t>Use free/public tiers within their limits; upgrade selectively</w:t>
            </w:r>
          </w:p>
        </w:tc>
      </w:tr>
      <w:tr>
        <w:tc>
          <w:tcPr>
            <w:tcW w:type="dxa" w:w="1800"/>
            <w:vAlign w:val="center"/>
          </w:tcPr>
          <w:p>
            <w:r/>
            <w:r>
              <w:rPr>
                <w:b w:val="0"/>
                <w:sz w:val="17"/>
              </w:rPr>
              <w:t>Observability</w:t>
            </w:r>
          </w:p>
        </w:tc>
        <w:tc>
          <w:tcPr>
            <w:tcW w:type="dxa" w:w="3024"/>
            <w:vAlign w:val="center"/>
          </w:tcPr>
          <w:p>
            <w:r/>
            <w:r>
              <w:rPr>
                <w:b w:val="0"/>
                <w:sz w:val="17"/>
              </w:rPr>
              <w:t>Logs, traces, metrics</w:t>
            </w:r>
          </w:p>
        </w:tc>
        <w:tc>
          <w:tcPr>
            <w:tcW w:type="dxa" w:w="2376"/>
            <w:vAlign w:val="center"/>
          </w:tcPr>
          <w:p>
            <w:r/>
            <w:r>
              <w:rPr>
                <w:b w:val="0"/>
                <w:sz w:val="17"/>
              </w:rPr>
              <w:t>Low/medium</w:t>
            </w:r>
          </w:p>
        </w:tc>
        <w:tc>
          <w:tcPr>
            <w:tcW w:type="dxa" w:w="3600"/>
            <w:vAlign w:val="center"/>
          </w:tcPr>
          <w:p>
            <w:r/>
            <w:r>
              <w:rPr>
                <w:b w:val="0"/>
                <w:sz w:val="17"/>
              </w:rPr>
              <w:t>Self-hosted stack initially</w:t>
            </w:r>
          </w:p>
        </w:tc>
      </w:tr>
      <w:tr>
        <w:tc>
          <w:tcPr>
            <w:tcW w:type="dxa" w:w="1800"/>
            <w:vAlign w:val="center"/>
          </w:tcPr>
          <w:p>
            <w:r/>
            <w:r>
              <w:rPr>
                <w:b w:val="0"/>
                <w:sz w:val="17"/>
              </w:rPr>
              <w:t>Notifications/integrations</w:t>
            </w:r>
          </w:p>
        </w:tc>
        <w:tc>
          <w:tcPr>
            <w:tcW w:type="dxa" w:w="3024"/>
            <w:vAlign w:val="center"/>
          </w:tcPr>
          <w:p>
            <w:r/>
            <w:r>
              <w:rPr>
                <w:b w:val="0"/>
                <w:sz w:val="17"/>
              </w:rPr>
              <w:t>Email, workflows</w:t>
            </w:r>
          </w:p>
        </w:tc>
        <w:tc>
          <w:tcPr>
            <w:tcW w:type="dxa" w:w="2376"/>
            <w:vAlign w:val="center"/>
          </w:tcPr>
          <w:p>
            <w:r/>
            <w:r>
              <w:rPr>
                <w:b w:val="0"/>
                <w:sz w:val="17"/>
              </w:rPr>
              <w:t>Optional</w:t>
            </w:r>
          </w:p>
        </w:tc>
        <w:tc>
          <w:tcPr>
            <w:tcW w:type="dxa" w:w="3600"/>
            <w:vAlign w:val="center"/>
          </w:tcPr>
          <w:p>
            <w:r/>
            <w:r>
              <w:rPr>
                <w:b w:val="0"/>
                <w:sz w:val="17"/>
              </w:rPr>
              <w:t>Add n8n/integration services only when business value exists</w:t>
            </w:r>
          </w:p>
        </w:tc>
      </w:tr>
    </w:tbl>
    <w:p/>
    <w:p>
      <w:pPr>
        <w:pStyle w:val="Heading2"/>
      </w:pPr>
      <w:r>
        <w:t>Illustrative infrastructure envelopes</w:t>
      </w:r>
    </w:p>
    <w:p>
      <w:r>
        <w:t>These are planning ranges for investor discussion, not vendor quotations. Actual costs depend heavily on GPU choice, concurrency, document volume, retention policy, traffic and whether the team already owns development hardware.</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93B63"/>
          </w:tcPr>
          <w:p>
            <w:r/>
            <w:r>
              <w:rPr>
                <w:b/>
                <w:color w:val="FFFFFF"/>
                <w:sz w:val="18"/>
              </w:rPr>
              <w:t>Stage</w:t>
            </w:r>
          </w:p>
        </w:tc>
        <w:tc>
          <w:tcPr>
            <w:tcW w:type="dxa" w:w="3024"/>
            <w:vAlign w:val="center"/>
            <w:shd w:fill="193B63"/>
          </w:tcPr>
          <w:p>
            <w:r/>
            <w:r>
              <w:rPr>
                <w:b/>
                <w:color w:val="FFFFFF"/>
                <w:sz w:val="18"/>
              </w:rPr>
              <w:t>Illustrative infrastructure envelope</w:t>
            </w:r>
          </w:p>
        </w:tc>
        <w:tc>
          <w:tcPr>
            <w:tcW w:type="dxa" w:w="5472"/>
            <w:vAlign w:val="center"/>
            <w:shd w:fill="193B63"/>
          </w:tcPr>
          <w:p>
            <w:r/>
            <w:r>
              <w:rPr>
                <w:b/>
                <w:color w:val="FFFFFF"/>
                <w:sz w:val="18"/>
              </w:rPr>
              <w:t>Assumptions</w:t>
            </w:r>
          </w:p>
        </w:tc>
      </w:tr>
      <w:tr>
        <w:tc>
          <w:tcPr>
            <w:tcW w:type="dxa" w:w="2304"/>
            <w:vAlign w:val="center"/>
          </w:tcPr>
          <w:p>
            <w:r/>
            <w:r>
              <w:rPr>
                <w:b w:val="0"/>
                <w:sz w:val="17"/>
              </w:rPr>
              <w:t>POC / 50–200 pilot users</w:t>
            </w:r>
          </w:p>
        </w:tc>
        <w:tc>
          <w:tcPr>
            <w:tcW w:type="dxa" w:w="3024"/>
            <w:vAlign w:val="center"/>
          </w:tcPr>
          <w:p>
            <w:r/>
            <w:r>
              <w:rPr>
                <w:b w:val="0"/>
                <w:sz w:val="17"/>
              </w:rPr>
              <w:t>$300–$1,500/month</w:t>
            </w:r>
          </w:p>
        </w:tc>
        <w:tc>
          <w:tcPr>
            <w:tcW w:type="dxa" w:w="5472"/>
            <w:vAlign w:val="center"/>
          </w:tcPr>
          <w:p>
            <w:r/>
            <w:r>
              <w:rPr>
                <w:b w:val="0"/>
                <w:sz w:val="17"/>
              </w:rPr>
              <w:t>One modest application/database environment; optional dedicated GPU; low document volume</w:t>
            </w:r>
          </w:p>
        </w:tc>
      </w:tr>
      <w:tr>
        <w:tc>
          <w:tcPr>
            <w:tcW w:type="dxa" w:w="2304"/>
            <w:vAlign w:val="center"/>
          </w:tcPr>
          <w:p>
            <w:r/>
            <w:r>
              <w:rPr>
                <w:b w:val="0"/>
                <w:sz w:val="17"/>
              </w:rPr>
              <w:t>Early production / 500–2,000 users</w:t>
            </w:r>
          </w:p>
        </w:tc>
        <w:tc>
          <w:tcPr>
            <w:tcW w:type="dxa" w:w="3024"/>
            <w:vAlign w:val="center"/>
          </w:tcPr>
          <w:p>
            <w:r/>
            <w:r>
              <w:rPr>
                <w:b w:val="0"/>
                <w:sz w:val="17"/>
              </w:rPr>
              <w:t>$1,000–$5,000/month</w:t>
            </w:r>
          </w:p>
        </w:tc>
        <w:tc>
          <w:tcPr>
            <w:tcW w:type="dxa" w:w="5472"/>
            <w:vAlign w:val="center"/>
          </w:tcPr>
          <w:p>
            <w:r/>
            <w:r>
              <w:rPr>
                <w:b w:val="0"/>
                <w:sz w:val="17"/>
              </w:rPr>
              <w:t>Dedicated inference capacity, larger storage, monitoring and backups</w:t>
            </w:r>
          </w:p>
        </w:tc>
      </w:tr>
      <w:tr>
        <w:tc>
          <w:tcPr>
            <w:tcW w:type="dxa" w:w="2304"/>
            <w:vAlign w:val="center"/>
          </w:tcPr>
          <w:p>
            <w:r/>
            <w:r>
              <w:rPr>
                <w:b w:val="0"/>
                <w:sz w:val="17"/>
              </w:rPr>
              <w:t>Growth / 5,000–20,000 users</w:t>
            </w:r>
          </w:p>
        </w:tc>
        <w:tc>
          <w:tcPr>
            <w:tcW w:type="dxa" w:w="3024"/>
            <w:vAlign w:val="center"/>
          </w:tcPr>
          <w:p>
            <w:r/>
            <w:r>
              <w:rPr>
                <w:b w:val="0"/>
                <w:sz w:val="17"/>
              </w:rPr>
              <w:t>$3,000–$15,000+/month</w:t>
            </w:r>
          </w:p>
        </w:tc>
        <w:tc>
          <w:tcPr>
            <w:tcW w:type="dxa" w:w="5472"/>
            <w:vAlign w:val="center"/>
          </w:tcPr>
          <w:p>
            <w:r/>
            <w:r>
              <w:rPr>
                <w:b w:val="0"/>
                <w:sz w:val="17"/>
              </w:rPr>
              <w:t>Multiple workers/GPU nodes, higher availability, caching and scaling</w:t>
            </w:r>
          </w:p>
        </w:tc>
      </w:tr>
    </w:tbl>
    <w:p/>
    <w:p>
      <w:r>
        <w:t xml:space="preserve">A more meaningful investor metric is cost per completed research run: </w:t>
      </w:r>
    </w:p>
    <w:p>
      <w:r>
        <w:rPr>
          <w:b/>
        </w:rPr>
        <w:t>Cost per run = (compute + storage + search/metadata + observability + support allocation) ÷ completed research runs.</w:t>
      </w:r>
    </w:p>
    <w:p>
      <w:r>
        <w:t>The product should also track cost per active student, evidence retrieval cost per run, average document-processing cost, average LLM tokens/seconds per run, and cache hit rate. These metrics allow the team to decide when to use a smaller local model, a larger local model or an external model.</w:t>
      </w:r>
    </w:p>
    <w:p>
      <w:pPr>
        <w:pStyle w:val="Heading1"/>
      </w:pPr>
      <w:r>
        <w:t>11. Potential Business Model</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93B63"/>
          </w:tcPr>
          <w:p>
            <w:r/>
            <w:r>
              <w:rPr>
                <w:b/>
                <w:color w:val="FFFFFF"/>
                <w:sz w:val="18"/>
              </w:rPr>
              <w:t>Model</w:t>
            </w:r>
          </w:p>
        </w:tc>
        <w:tc>
          <w:tcPr>
            <w:tcW w:type="dxa" w:w="4752"/>
            <w:vAlign w:val="center"/>
            <w:shd w:fill="193B63"/>
          </w:tcPr>
          <w:p>
            <w:r/>
            <w:r>
              <w:rPr>
                <w:b/>
                <w:color w:val="FFFFFF"/>
                <w:sz w:val="18"/>
              </w:rPr>
              <w:t>Offer</w:t>
            </w:r>
          </w:p>
        </w:tc>
        <w:tc>
          <w:tcPr>
            <w:tcW w:type="dxa" w:w="3600"/>
            <w:vAlign w:val="center"/>
            <w:shd w:fill="193B63"/>
          </w:tcPr>
          <w:p>
            <w:r/>
            <w:r>
              <w:rPr>
                <w:b/>
                <w:color w:val="FFFFFF"/>
                <w:sz w:val="18"/>
              </w:rPr>
              <w:t>Strategic purpose</w:t>
            </w:r>
          </w:p>
        </w:tc>
      </w:tr>
      <w:tr>
        <w:tc>
          <w:tcPr>
            <w:tcW w:type="dxa" w:w="2448"/>
            <w:vAlign w:val="center"/>
          </w:tcPr>
          <w:p>
            <w:r/>
            <w:r>
              <w:rPr>
                <w:b w:val="0"/>
                <w:sz w:val="17"/>
              </w:rPr>
              <w:t>Free student tier</w:t>
            </w:r>
          </w:p>
        </w:tc>
        <w:tc>
          <w:tcPr>
            <w:tcW w:type="dxa" w:w="4752"/>
            <w:vAlign w:val="center"/>
          </w:tcPr>
          <w:p>
            <w:r/>
            <w:r>
              <w:rPr>
                <w:b w:val="0"/>
                <w:sz w:val="17"/>
              </w:rPr>
              <w:t>Limited research runs / storage</w:t>
            </w:r>
          </w:p>
        </w:tc>
        <w:tc>
          <w:tcPr>
            <w:tcW w:type="dxa" w:w="3600"/>
            <w:vAlign w:val="center"/>
          </w:tcPr>
          <w:p>
            <w:r/>
            <w:r>
              <w:rPr>
                <w:b w:val="0"/>
                <w:sz w:val="17"/>
              </w:rPr>
              <w:t>Acquisition + validation</w:t>
            </w:r>
          </w:p>
        </w:tc>
      </w:tr>
      <w:tr>
        <w:tc>
          <w:tcPr>
            <w:tcW w:type="dxa" w:w="2448"/>
            <w:vAlign w:val="center"/>
          </w:tcPr>
          <w:p>
            <w:r/>
            <w:r>
              <w:rPr>
                <w:b w:val="0"/>
                <w:sz w:val="17"/>
              </w:rPr>
              <w:t>Student Pro</w:t>
            </w:r>
          </w:p>
        </w:tc>
        <w:tc>
          <w:tcPr>
            <w:tcW w:type="dxa" w:w="4752"/>
            <w:vAlign w:val="center"/>
          </w:tcPr>
          <w:p>
            <w:r/>
            <w:r>
              <w:rPr>
                <w:b w:val="0"/>
                <w:sz w:val="17"/>
              </w:rPr>
              <w:t>Higher limits, exports, advanced research tools</w:t>
            </w:r>
          </w:p>
        </w:tc>
        <w:tc>
          <w:tcPr>
            <w:tcW w:type="dxa" w:w="3600"/>
            <w:vAlign w:val="center"/>
          </w:tcPr>
          <w:p>
            <w:r/>
            <w:r>
              <w:rPr>
                <w:b w:val="0"/>
                <w:sz w:val="17"/>
              </w:rPr>
              <w:t>Direct subscription</w:t>
            </w:r>
          </w:p>
        </w:tc>
      </w:tr>
      <w:tr>
        <w:tc>
          <w:tcPr>
            <w:tcW w:type="dxa" w:w="2448"/>
            <w:vAlign w:val="center"/>
          </w:tcPr>
          <w:p>
            <w:r/>
            <w:r>
              <w:rPr>
                <w:b w:val="0"/>
                <w:sz w:val="17"/>
              </w:rPr>
              <w:t>Institution / College</w:t>
            </w:r>
          </w:p>
        </w:tc>
        <w:tc>
          <w:tcPr>
            <w:tcW w:type="dxa" w:w="4752"/>
            <w:vAlign w:val="center"/>
          </w:tcPr>
          <w:p>
            <w:r/>
            <w:r>
              <w:rPr>
                <w:b w:val="0"/>
                <w:sz w:val="17"/>
              </w:rPr>
              <w:t>Private deployment, admin, analytics, SSO</w:t>
            </w:r>
          </w:p>
        </w:tc>
        <w:tc>
          <w:tcPr>
            <w:tcW w:type="dxa" w:w="3600"/>
            <w:vAlign w:val="center"/>
          </w:tcPr>
          <w:p>
            <w:r/>
            <w:r>
              <w:rPr>
                <w:b w:val="0"/>
                <w:sz w:val="17"/>
              </w:rPr>
              <w:t>B2B/B2Institution</w:t>
            </w:r>
          </w:p>
        </w:tc>
      </w:tr>
      <w:tr>
        <w:tc>
          <w:tcPr>
            <w:tcW w:type="dxa" w:w="2448"/>
            <w:vAlign w:val="center"/>
          </w:tcPr>
          <w:p>
            <w:r/>
            <w:r>
              <w:rPr>
                <w:b w:val="0"/>
                <w:sz w:val="17"/>
              </w:rPr>
              <w:t>Research Lab / Department</w:t>
            </w:r>
          </w:p>
        </w:tc>
        <w:tc>
          <w:tcPr>
            <w:tcW w:type="dxa" w:w="4752"/>
            <w:vAlign w:val="center"/>
          </w:tcPr>
          <w:p>
            <w:r/>
            <w:r>
              <w:rPr>
                <w:b w:val="0"/>
                <w:sz w:val="17"/>
              </w:rPr>
              <w:t>Shared research workspace + controlled data</w:t>
            </w:r>
          </w:p>
        </w:tc>
        <w:tc>
          <w:tcPr>
            <w:tcW w:type="dxa" w:w="3600"/>
            <w:vAlign w:val="center"/>
          </w:tcPr>
          <w:p>
            <w:r/>
            <w:r>
              <w:rPr>
                <w:b w:val="0"/>
                <w:sz w:val="17"/>
              </w:rPr>
              <w:t>Institutional license/support</w:t>
            </w:r>
          </w:p>
        </w:tc>
      </w:tr>
      <w:tr>
        <w:tc>
          <w:tcPr>
            <w:tcW w:type="dxa" w:w="2448"/>
            <w:vAlign w:val="center"/>
          </w:tcPr>
          <w:p>
            <w:r/>
            <w:r>
              <w:rPr>
                <w:b w:val="0"/>
                <w:sz w:val="17"/>
              </w:rPr>
              <w:t>API / SDK</w:t>
            </w:r>
          </w:p>
        </w:tc>
        <w:tc>
          <w:tcPr>
            <w:tcW w:type="dxa" w:w="4752"/>
            <w:vAlign w:val="center"/>
          </w:tcPr>
          <w:p>
            <w:r/>
            <w:r>
              <w:rPr>
                <w:b w:val="0"/>
                <w:sz w:val="17"/>
              </w:rPr>
              <w:t>Research services for third-party educational products</w:t>
            </w:r>
          </w:p>
        </w:tc>
        <w:tc>
          <w:tcPr>
            <w:tcW w:type="dxa" w:w="3600"/>
            <w:vAlign w:val="center"/>
          </w:tcPr>
          <w:p>
            <w:r/>
            <w:r>
              <w:rPr>
                <w:b w:val="0"/>
                <w:sz w:val="17"/>
              </w:rPr>
              <w:t>Developer ecosystem</w:t>
            </w:r>
          </w:p>
        </w:tc>
      </w:tr>
      <w:tr>
        <w:tc>
          <w:tcPr>
            <w:tcW w:type="dxa" w:w="2448"/>
            <w:vAlign w:val="center"/>
          </w:tcPr>
          <w:p>
            <w:r/>
            <w:r>
              <w:rPr>
                <w:b w:val="0"/>
                <w:sz w:val="17"/>
              </w:rPr>
              <w:t>Managed self-hosting</w:t>
            </w:r>
          </w:p>
        </w:tc>
        <w:tc>
          <w:tcPr>
            <w:tcW w:type="dxa" w:w="4752"/>
            <w:vAlign w:val="center"/>
          </w:tcPr>
          <w:p>
            <w:r/>
            <w:r>
              <w:rPr>
                <w:b w:val="0"/>
                <w:sz w:val="17"/>
              </w:rPr>
              <w:t>Deployment, upgrades, observability and support</w:t>
            </w:r>
          </w:p>
        </w:tc>
        <w:tc>
          <w:tcPr>
            <w:tcW w:type="dxa" w:w="3600"/>
            <w:vAlign w:val="center"/>
          </w:tcPr>
          <w:p>
            <w:r/>
            <w:r>
              <w:rPr>
                <w:b w:val="0"/>
                <w:sz w:val="17"/>
              </w:rPr>
              <w:t>Services + recurring revenue</w:t>
            </w:r>
          </w:p>
        </w:tc>
      </w:tr>
    </w:tbl>
    <w:p/>
    <w:p>
      <w:pPr>
        <w:pStyle w:val="Heading1"/>
      </w:pPr>
      <w:r>
        <w:t>12. Differentiation</w:t>
      </w:r>
    </w:p>
    <w:p>
      <w:pPr>
        <w:pStyle w:val="ListBullet"/>
        <w:spacing w:after="40"/>
      </w:pPr>
      <w:r>
        <w:t>Evidence-first architecture: claims can be tied to source evidence rather than only producing conversational text.</w:t>
      </w:r>
    </w:p>
    <w:p>
      <w:pPr>
        <w:pStyle w:val="ListBullet"/>
        <w:spacing w:after="40"/>
      </w:pPr>
      <w:r>
        <w:t>Academic-native ingestion: GROBID/Docling support document structures that generic web RAG systems often ignore.</w:t>
      </w:r>
    </w:p>
    <w:p>
      <w:pPr>
        <w:pStyle w:val="ListBullet"/>
        <w:spacing w:after="40"/>
      </w:pPr>
      <w:r>
        <w:t>Open-source-first economics: core components can be self-hosted, reducing mandatory recurring API dependence.</w:t>
      </w:r>
    </w:p>
    <w:p>
      <w:pPr>
        <w:pStyle w:val="ListBullet"/>
        <w:spacing w:after="40"/>
      </w:pPr>
      <w:r>
        <w:t>Research workspace rather than one-shot chatbot: projects, questions, sources, evidence, notes and exports form a persistent workflow.</w:t>
      </w:r>
    </w:p>
    <w:p>
      <w:pPr>
        <w:pStyle w:val="ListBullet"/>
        <w:spacing w:after="40"/>
      </w:pPr>
      <w:r>
        <w:t>Multi-domain foundation: the same engine can serve literature review, paper analysis, research gaps, exam intelligence and study assistance.</w:t>
      </w:r>
    </w:p>
    <w:p>
      <w:pPr>
        <w:pStyle w:val="ListBullet"/>
        <w:spacing w:after="40"/>
      </w:pPr>
      <w:r>
        <w:t>Institutional deployment path: privacy and self-hosting can support colleges and universities with stricter data requirements.</w:t>
      </w:r>
    </w:p>
    <w:p>
      <w:pPr>
        <w:pStyle w:val="Heading1"/>
      </w:pPr>
      <w:r>
        <w:t>13.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193B63"/>
          </w:tcPr>
          <w:p>
            <w:r/>
            <w:r>
              <w:rPr>
                <w:b/>
                <w:color w:val="FFFFFF"/>
                <w:sz w:val="18"/>
              </w:rPr>
              <w:t>Risk</w:t>
            </w:r>
          </w:p>
        </w:tc>
        <w:tc>
          <w:tcPr>
            <w:tcW w:type="dxa" w:w="1440"/>
            <w:vAlign w:val="center"/>
            <w:shd w:fill="193B63"/>
          </w:tcPr>
          <w:p>
            <w:r/>
            <w:r>
              <w:rPr>
                <w:b/>
                <w:color w:val="FFFFFF"/>
                <w:sz w:val="18"/>
              </w:rPr>
              <w:t>Severity</w:t>
            </w:r>
          </w:p>
        </w:tc>
        <w:tc>
          <w:tcPr>
            <w:tcW w:type="dxa" w:w="6336"/>
            <w:vAlign w:val="center"/>
            <w:shd w:fill="193B63"/>
          </w:tcPr>
          <w:p>
            <w:r/>
            <w:r>
              <w:rPr>
                <w:b/>
                <w:color w:val="FFFFFF"/>
                <w:sz w:val="18"/>
              </w:rPr>
              <w:t>Mitigation</w:t>
            </w:r>
          </w:p>
        </w:tc>
      </w:tr>
      <w:tr>
        <w:tc>
          <w:tcPr>
            <w:tcW w:type="dxa" w:w="3024"/>
            <w:vAlign w:val="center"/>
          </w:tcPr>
          <w:p>
            <w:r/>
            <w:r>
              <w:rPr>
                <w:b w:val="0"/>
                <w:sz w:val="17"/>
              </w:rPr>
              <w:t>Hallucination / unsupported claims</w:t>
            </w:r>
          </w:p>
        </w:tc>
        <w:tc>
          <w:tcPr>
            <w:tcW w:type="dxa" w:w="1440"/>
            <w:vAlign w:val="center"/>
          </w:tcPr>
          <w:p>
            <w:r/>
            <w:r>
              <w:rPr>
                <w:b w:val="0"/>
                <w:sz w:val="17"/>
              </w:rPr>
              <w:t>High</w:t>
            </w:r>
          </w:p>
        </w:tc>
        <w:tc>
          <w:tcPr>
            <w:tcW w:type="dxa" w:w="6336"/>
            <w:vAlign w:val="center"/>
          </w:tcPr>
          <w:p>
            <w:r/>
            <w:r>
              <w:rPr>
                <w:b w:val="0"/>
                <w:sz w:val="17"/>
              </w:rPr>
              <w:t>Evidence-first synthesis, claim validation, confidence labels, human review</w:t>
            </w:r>
          </w:p>
        </w:tc>
      </w:tr>
      <w:tr>
        <w:tc>
          <w:tcPr>
            <w:tcW w:type="dxa" w:w="3024"/>
            <w:vAlign w:val="center"/>
          </w:tcPr>
          <w:p>
            <w:r/>
            <w:r>
              <w:rPr>
                <w:b w:val="0"/>
                <w:sz w:val="17"/>
              </w:rPr>
              <w:t>PDF parsing quality</w:t>
            </w:r>
          </w:p>
        </w:tc>
        <w:tc>
          <w:tcPr>
            <w:tcW w:type="dxa" w:w="1440"/>
            <w:vAlign w:val="center"/>
          </w:tcPr>
          <w:p>
            <w:r/>
            <w:r>
              <w:rPr>
                <w:b w:val="0"/>
                <w:sz w:val="17"/>
              </w:rPr>
              <w:t>Medium/High</w:t>
            </w:r>
          </w:p>
        </w:tc>
        <w:tc>
          <w:tcPr>
            <w:tcW w:type="dxa" w:w="6336"/>
            <w:vAlign w:val="center"/>
          </w:tcPr>
          <w:p>
            <w:r/>
            <w:r>
              <w:rPr>
                <w:b w:val="0"/>
                <w:sz w:val="17"/>
              </w:rPr>
              <w:t>GROBID + Docling + OCR fallback + extraction evaluation dataset</w:t>
            </w:r>
          </w:p>
        </w:tc>
      </w:tr>
      <w:tr>
        <w:tc>
          <w:tcPr>
            <w:tcW w:type="dxa" w:w="3024"/>
            <w:vAlign w:val="center"/>
          </w:tcPr>
          <w:p>
            <w:r/>
            <w:r>
              <w:rPr>
                <w:b w:val="0"/>
                <w:sz w:val="17"/>
              </w:rPr>
              <w:t>Search source quality</w:t>
            </w:r>
          </w:p>
        </w:tc>
        <w:tc>
          <w:tcPr>
            <w:tcW w:type="dxa" w:w="1440"/>
            <w:vAlign w:val="center"/>
          </w:tcPr>
          <w:p>
            <w:r/>
            <w:r>
              <w:rPr>
                <w:b w:val="0"/>
                <w:sz w:val="17"/>
              </w:rPr>
              <w:t>Medium</w:t>
            </w:r>
          </w:p>
        </w:tc>
        <w:tc>
          <w:tcPr>
            <w:tcW w:type="dxa" w:w="6336"/>
            <w:vAlign w:val="center"/>
          </w:tcPr>
          <w:p>
            <w:r/>
            <w:r>
              <w:rPr>
                <w:b w:val="0"/>
                <w:sz w:val="17"/>
              </w:rPr>
              <w:t>Source ranking, scholarly-first retrieval, provenance and source-type labels</w:t>
            </w:r>
          </w:p>
        </w:tc>
      </w:tr>
      <w:tr>
        <w:tc>
          <w:tcPr>
            <w:tcW w:type="dxa" w:w="3024"/>
            <w:vAlign w:val="center"/>
          </w:tcPr>
          <w:p>
            <w:r/>
            <w:r>
              <w:rPr>
                <w:b w:val="0"/>
                <w:sz w:val="17"/>
              </w:rPr>
              <w:t>Model quality on local hardware</w:t>
            </w:r>
          </w:p>
        </w:tc>
        <w:tc>
          <w:tcPr>
            <w:tcW w:type="dxa" w:w="1440"/>
            <w:vAlign w:val="center"/>
          </w:tcPr>
          <w:p>
            <w:r/>
            <w:r>
              <w:rPr>
                <w:b w:val="0"/>
                <w:sz w:val="17"/>
              </w:rPr>
              <w:t>Medium</w:t>
            </w:r>
          </w:p>
        </w:tc>
        <w:tc>
          <w:tcPr>
            <w:tcW w:type="dxa" w:w="6336"/>
            <w:vAlign w:val="center"/>
          </w:tcPr>
          <w:p>
            <w:r/>
            <w:r>
              <w:rPr>
                <w:b w:val="0"/>
                <w:sz w:val="17"/>
              </w:rPr>
              <w:t>Model abstraction, evaluation harness, optional hosted fallback</w:t>
            </w:r>
          </w:p>
        </w:tc>
      </w:tr>
      <w:tr>
        <w:tc>
          <w:tcPr>
            <w:tcW w:type="dxa" w:w="3024"/>
            <w:vAlign w:val="center"/>
          </w:tcPr>
          <w:p>
            <w:r/>
            <w:r>
              <w:rPr>
                <w:b w:val="0"/>
                <w:sz w:val="17"/>
              </w:rPr>
              <w:t>Copyright / licensing</w:t>
            </w:r>
          </w:p>
        </w:tc>
        <w:tc>
          <w:tcPr>
            <w:tcW w:type="dxa" w:w="1440"/>
            <w:vAlign w:val="center"/>
          </w:tcPr>
          <w:p>
            <w:r/>
            <w:r>
              <w:rPr>
                <w:b w:val="0"/>
                <w:sz w:val="17"/>
              </w:rPr>
              <w:t>High</w:t>
            </w:r>
          </w:p>
        </w:tc>
        <w:tc>
          <w:tcPr>
            <w:tcW w:type="dxa" w:w="6336"/>
            <w:vAlign w:val="center"/>
          </w:tcPr>
          <w:p>
            <w:r/>
            <w:r>
              <w:rPr>
                <w:b w:val="0"/>
                <w:sz w:val="17"/>
              </w:rPr>
              <w:t>Respect source terms, store metadata/provenance, avoid unauthorized redistribution</w:t>
            </w:r>
          </w:p>
        </w:tc>
      </w:tr>
      <w:tr>
        <w:tc>
          <w:tcPr>
            <w:tcW w:type="dxa" w:w="3024"/>
            <w:vAlign w:val="center"/>
          </w:tcPr>
          <w:p>
            <w:r/>
            <w:r>
              <w:rPr>
                <w:b w:val="0"/>
                <w:sz w:val="17"/>
              </w:rPr>
              <w:t>Infrastructure scaling</w:t>
            </w:r>
          </w:p>
        </w:tc>
        <w:tc>
          <w:tcPr>
            <w:tcW w:type="dxa" w:w="1440"/>
            <w:vAlign w:val="center"/>
          </w:tcPr>
          <w:p>
            <w:r/>
            <w:r>
              <w:rPr>
                <w:b w:val="0"/>
                <w:sz w:val="17"/>
              </w:rPr>
              <w:t>Medium</w:t>
            </w:r>
          </w:p>
        </w:tc>
        <w:tc>
          <w:tcPr>
            <w:tcW w:type="dxa" w:w="6336"/>
            <w:vAlign w:val="center"/>
          </w:tcPr>
          <w:p>
            <w:r/>
            <w:r>
              <w:rPr>
                <w:b w:val="0"/>
                <w:sz w:val="17"/>
              </w:rPr>
              <w:t>Queue-based workers, caching, observability, horizontal scaling</w:t>
            </w:r>
          </w:p>
        </w:tc>
      </w:tr>
      <w:tr>
        <w:tc>
          <w:tcPr>
            <w:tcW w:type="dxa" w:w="3024"/>
            <w:vAlign w:val="center"/>
          </w:tcPr>
          <w:p>
            <w:r/>
            <w:r>
              <w:rPr>
                <w:b w:val="0"/>
                <w:sz w:val="17"/>
              </w:rPr>
              <w:t>Student over-reliance on AI</w:t>
            </w:r>
          </w:p>
        </w:tc>
        <w:tc>
          <w:tcPr>
            <w:tcW w:type="dxa" w:w="1440"/>
            <w:vAlign w:val="center"/>
          </w:tcPr>
          <w:p>
            <w:r/>
            <w:r>
              <w:rPr>
                <w:b w:val="0"/>
                <w:sz w:val="17"/>
              </w:rPr>
              <w:t>Medium</w:t>
            </w:r>
          </w:p>
        </w:tc>
        <w:tc>
          <w:tcPr>
            <w:tcW w:type="dxa" w:w="6336"/>
            <w:vAlign w:val="center"/>
          </w:tcPr>
          <w:p>
            <w:r/>
            <w:r>
              <w:rPr>
                <w:b w:val="0"/>
                <w:sz w:val="17"/>
              </w:rPr>
              <w:t>Show evidence, encourage review, distinguish generated synthesis from source facts</w:t>
            </w:r>
          </w:p>
        </w:tc>
      </w:tr>
    </w:tbl>
    <w:p/>
    <w:p>
      <w:pPr>
        <w:pStyle w:val="Heading1"/>
      </w:pPr>
      <w:r>
        <w:t>14. Investor Milestones</w:t>
      </w:r>
    </w:p>
    <w:p>
      <w:r>
        <w:rPr>
          <w:b/>
        </w:rPr>
        <w:t xml:space="preserve">M1 — Technical proof: </w:t>
      </w:r>
      <w:r>
        <w:t>Demonstrate end-to-end research run using local/open components.</w:t>
      </w:r>
    </w:p>
    <w:p>
      <w:r>
        <w:rPr>
          <w:b/>
        </w:rPr>
        <w:t xml:space="preserve">M2 — Research quality: </w:t>
      </w:r>
      <w:r>
        <w:t>Benchmark source retrieval, document extraction, citation correctness and unsupported-claim rate.</w:t>
      </w:r>
    </w:p>
    <w:p>
      <w:r>
        <w:rPr>
          <w:b/>
        </w:rPr>
        <w:t xml:space="preserve">M3 — Student pilot: </w:t>
      </w:r>
      <w:r>
        <w:t>Deploy to a controlled student cohort and measure task completion/time saved.</w:t>
      </w:r>
    </w:p>
    <w:p>
      <w:r>
        <w:rPr>
          <w:b/>
        </w:rPr>
        <w:t xml:space="preserve">M4 — Product-market evidence: </w:t>
      </w:r>
      <w:r>
        <w:t>Validate repeat usage across multiple academic subjects and research workflows.</w:t>
      </w:r>
    </w:p>
    <w:p>
      <w:r>
        <w:rPr>
          <w:b/>
        </w:rPr>
        <w:t xml:space="preserve">M5 — Institutional pilot: </w:t>
      </w:r>
      <w:r>
        <w:t>Demonstrate self-hosted deployment, privacy controls and administrator workflows.</w:t>
      </w:r>
    </w:p>
    <w:p>
      <w:r>
        <w:rPr>
          <w:b/>
        </w:rPr>
        <w:t xml:space="preserve">M6 — Scale economics: </w:t>
      </w:r>
      <w:r>
        <w:t>Show declining cost per research run and sustainable cost per active student.</w:t>
      </w:r>
    </w:p>
    <w:p>
      <w:pPr>
        <w:pStyle w:val="Heading1"/>
      </w:pPr>
      <w:r>
        <w:t>15. Proposed Investment Narrative</w:t>
      </w:r>
    </w:p>
    <w:tbl>
      <w:tblPr>
        <w:tblW w:type="auto" w:w="0"/>
        <w:jc w:val="center"/>
        <w:tblLook w:firstColumn="1" w:firstRow="1" w:lastColumn="0" w:lastRow="0" w:noHBand="0" w:noVBand="1" w:val="04A0"/>
      </w:tblPr>
      <w:tblGrid>
        <w:gridCol w:w="10080"/>
      </w:tblGrid>
      <w:tr>
        <w:tc>
          <w:tcPr>
            <w:tcW w:type="dxa" w:w="10080"/>
            <w:shd w:fill="E8F1E8"/>
          </w:tcPr>
          <w:p>
            <w:r>
              <w:rPr>
                <w:b/>
                <w:color w:val="19375F"/>
                <w:sz w:val="22"/>
              </w:rPr>
              <w:t>Recommended investor message</w:t>
              <w:br/>
            </w:r>
            <w:r>
              <w:rPr>
                <w:sz w:val="19"/>
              </w:rPr>
              <w:t>We are not building another generic AI chatbot. We are building the infrastructure layer for student academic research: discovery, document intelligence, evidence, citations, synthesis and persistent research workflows. We begin with a focused, measurable use case, prove the research engine, then expand horizontally into literature review, paper analysis, research gaps, project assistance, exam intelligence and personalized learning.</w:t>
            </w:r>
          </w:p>
        </w:tc>
      </w:tr>
    </w:tbl>
    <w:p/>
    <w:p>
      <w:r>
        <w:t>The investment should therefore be staged against technical and product milestones. Funding is released against evidence of research quality, student adoption and unit-economics improvement rather than against a long undifferentiated feature list.</w:t>
      </w:r>
    </w:p>
    <w:p>
      <w:pPr>
        <w:pStyle w:val="Heading1"/>
      </w:pPr>
      <w:r>
        <w:t>16. Suggested Funding Structure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93B63"/>
          </w:tcPr>
          <w:p>
            <w:r/>
            <w:r>
              <w:rPr>
                <w:b/>
                <w:color w:val="FFFFFF"/>
                <w:sz w:val="18"/>
              </w:rPr>
              <w:t>Stage</w:t>
            </w:r>
          </w:p>
        </w:tc>
        <w:tc>
          <w:tcPr>
            <w:tcW w:type="dxa" w:w="3024"/>
            <w:vAlign w:val="center"/>
            <w:shd w:fill="193B63"/>
          </w:tcPr>
          <w:p>
            <w:r/>
            <w:r>
              <w:rPr>
                <w:b/>
                <w:color w:val="FFFFFF"/>
                <w:sz w:val="18"/>
              </w:rPr>
              <w:t>Investment purpose</w:t>
            </w:r>
          </w:p>
        </w:tc>
        <w:tc>
          <w:tcPr>
            <w:tcW w:type="dxa" w:w="4320"/>
            <w:vAlign w:val="center"/>
            <w:shd w:fill="193B63"/>
          </w:tcPr>
          <w:p>
            <w:r/>
            <w:r>
              <w:rPr>
                <w:b/>
                <w:color w:val="FFFFFF"/>
                <w:sz w:val="18"/>
              </w:rPr>
              <w:t>Milestone gate</w:t>
            </w:r>
          </w:p>
        </w:tc>
        <w:tc>
          <w:tcPr>
            <w:tcW w:type="dxa" w:w="2880"/>
            <w:vAlign w:val="center"/>
            <w:shd w:fill="193B63"/>
          </w:tcPr>
          <w:p>
            <w:r/>
            <w:r>
              <w:rPr>
                <w:b/>
                <w:color w:val="FFFFFF"/>
                <w:sz w:val="18"/>
              </w:rPr>
              <w:t>Primary spend</w:t>
            </w:r>
          </w:p>
        </w:tc>
      </w:tr>
      <w:tr>
        <w:tc>
          <w:tcPr>
            <w:tcW w:type="dxa" w:w="1008"/>
            <w:vAlign w:val="center"/>
          </w:tcPr>
          <w:p>
            <w:r/>
            <w:r>
              <w:rPr>
                <w:b w:val="0"/>
                <w:sz w:val="17"/>
              </w:rPr>
              <w:t>Stage A</w:t>
            </w:r>
          </w:p>
        </w:tc>
        <w:tc>
          <w:tcPr>
            <w:tcW w:type="dxa" w:w="3024"/>
            <w:vAlign w:val="center"/>
          </w:tcPr>
          <w:p>
            <w:r/>
            <w:r>
              <w:rPr>
                <w:b w:val="0"/>
                <w:sz w:val="17"/>
              </w:rPr>
              <w:t>Foundation + research engine</w:t>
            </w:r>
          </w:p>
        </w:tc>
        <w:tc>
          <w:tcPr>
            <w:tcW w:type="dxa" w:w="4320"/>
            <w:vAlign w:val="center"/>
          </w:tcPr>
          <w:p>
            <w:r/>
            <w:r>
              <w:rPr>
                <w:b w:val="0"/>
                <w:sz w:val="17"/>
              </w:rPr>
              <w:t>Release against technical demo and baseline quality evaluation</w:t>
            </w:r>
          </w:p>
        </w:tc>
        <w:tc>
          <w:tcPr>
            <w:tcW w:type="dxa" w:w="2880"/>
            <w:vAlign w:val="center"/>
          </w:tcPr>
          <w:p>
            <w:r/>
            <w:r>
              <w:rPr>
                <w:b w:val="0"/>
                <w:sz w:val="17"/>
              </w:rPr>
              <w:t>Core team + pilot infrastructure</w:t>
            </w:r>
          </w:p>
        </w:tc>
      </w:tr>
      <w:tr>
        <w:tc>
          <w:tcPr>
            <w:tcW w:type="dxa" w:w="1008"/>
            <w:vAlign w:val="center"/>
          </w:tcPr>
          <w:p>
            <w:r/>
            <w:r>
              <w:rPr>
                <w:b w:val="0"/>
                <w:sz w:val="17"/>
              </w:rPr>
              <w:t>Stage B</w:t>
            </w:r>
          </w:p>
        </w:tc>
        <w:tc>
          <w:tcPr>
            <w:tcW w:type="dxa" w:w="3024"/>
            <w:vAlign w:val="center"/>
          </w:tcPr>
          <w:p>
            <w:r/>
            <w:r>
              <w:rPr>
                <w:b w:val="0"/>
                <w:sz w:val="17"/>
              </w:rPr>
              <w:t>Document/evidence engine</w:t>
            </w:r>
          </w:p>
        </w:tc>
        <w:tc>
          <w:tcPr>
            <w:tcW w:type="dxa" w:w="4320"/>
            <w:vAlign w:val="center"/>
          </w:tcPr>
          <w:p>
            <w:r/>
            <w:r>
              <w:rPr>
                <w:b w:val="0"/>
                <w:sz w:val="17"/>
              </w:rPr>
              <w:t>Release against document extraction and citation benchmarks</w:t>
            </w:r>
          </w:p>
        </w:tc>
        <w:tc>
          <w:tcPr>
            <w:tcW w:type="dxa" w:w="2880"/>
            <w:vAlign w:val="center"/>
          </w:tcPr>
          <w:p>
            <w:r/>
            <w:r>
              <w:rPr>
                <w:b w:val="0"/>
                <w:sz w:val="17"/>
              </w:rPr>
              <w:t>Research/data engineering + evaluation</w:t>
            </w:r>
          </w:p>
        </w:tc>
      </w:tr>
      <w:tr>
        <w:tc>
          <w:tcPr>
            <w:tcW w:type="dxa" w:w="1008"/>
            <w:vAlign w:val="center"/>
          </w:tcPr>
          <w:p>
            <w:r/>
            <w:r>
              <w:rPr>
                <w:b w:val="0"/>
                <w:sz w:val="17"/>
              </w:rPr>
              <w:t>Stage C</w:t>
            </w:r>
          </w:p>
        </w:tc>
        <w:tc>
          <w:tcPr>
            <w:tcW w:type="dxa" w:w="3024"/>
            <w:vAlign w:val="center"/>
          </w:tcPr>
          <w:p>
            <w:r/>
            <w:r>
              <w:rPr>
                <w:b w:val="0"/>
                <w:sz w:val="17"/>
              </w:rPr>
              <w:t>Student product</w:t>
            </w:r>
          </w:p>
        </w:tc>
        <w:tc>
          <w:tcPr>
            <w:tcW w:type="dxa" w:w="4320"/>
            <w:vAlign w:val="center"/>
          </w:tcPr>
          <w:p>
            <w:r/>
            <w:r>
              <w:rPr>
                <w:b w:val="0"/>
                <w:sz w:val="17"/>
              </w:rPr>
              <w:t>Release against pilot engagement and repeat-use metrics</w:t>
            </w:r>
          </w:p>
        </w:tc>
        <w:tc>
          <w:tcPr>
            <w:tcW w:type="dxa" w:w="2880"/>
            <w:vAlign w:val="center"/>
          </w:tcPr>
          <w:p>
            <w:r/>
            <w:r>
              <w:rPr>
                <w:b w:val="0"/>
                <w:sz w:val="17"/>
              </w:rPr>
              <w:t>Flutter/product + backend + UX</w:t>
            </w:r>
          </w:p>
        </w:tc>
      </w:tr>
      <w:tr>
        <w:tc>
          <w:tcPr>
            <w:tcW w:type="dxa" w:w="1008"/>
            <w:vAlign w:val="center"/>
          </w:tcPr>
          <w:p>
            <w:r/>
            <w:r>
              <w:rPr>
                <w:b w:val="0"/>
                <w:sz w:val="17"/>
              </w:rPr>
              <w:t>Stage D</w:t>
            </w:r>
          </w:p>
        </w:tc>
        <w:tc>
          <w:tcPr>
            <w:tcW w:type="dxa" w:w="3024"/>
            <w:vAlign w:val="center"/>
          </w:tcPr>
          <w:p>
            <w:r/>
            <w:r>
              <w:rPr>
                <w:b w:val="0"/>
                <w:sz w:val="17"/>
              </w:rPr>
              <w:t>Scale + institutional</w:t>
            </w:r>
          </w:p>
        </w:tc>
        <w:tc>
          <w:tcPr>
            <w:tcW w:type="dxa" w:w="4320"/>
            <w:vAlign w:val="center"/>
          </w:tcPr>
          <w:p>
            <w:r/>
            <w:r>
              <w:rPr>
                <w:b w:val="0"/>
                <w:sz w:val="17"/>
              </w:rPr>
              <w:t>Release against institutional pilot and unit economics</w:t>
            </w:r>
          </w:p>
        </w:tc>
        <w:tc>
          <w:tcPr>
            <w:tcW w:type="dxa" w:w="2880"/>
            <w:vAlign w:val="center"/>
          </w:tcPr>
          <w:p>
            <w:r/>
            <w:r>
              <w:rPr>
                <w:b w:val="0"/>
                <w:sz w:val="17"/>
              </w:rPr>
              <w:t>Infrastructure + security + partnerships</w:t>
            </w:r>
          </w:p>
        </w:tc>
      </w:tr>
    </w:tbl>
    <w:p/>
    <w:p>
      <w:pPr>
        <w:pStyle w:val="Heading1"/>
      </w:pPr>
      <w:r>
        <w:t>17. Expected End State</w:t>
      </w:r>
    </w:p>
    <w:p>
      <w:r>
        <w:t>At maturity, Academic Research AI should function as a reusable academic intelligence platform rather than a single-purpose exam application. A student should be able to start with a question, discover credible sources, read and understand papers, collect evidence, compare findings, identify gaps, create a structured research output and retain the entire research trail in one workspace.</w:t>
      </w:r>
    </w:p>
    <w:p>
      <w:r>
        <w:t>The architecture is intentionally future-proof: the research engine, provenance model, document pipeline and retrieval layer become shared platform capabilities; new student-facing features are added as workflows on top. This creates the potential for broad academic coverage while preserving a disciplined, measurable and cost-conscious implementation path.</w:t>
      </w:r>
    </w:p>
    <w:p>
      <w:r>
        <w:br w:type="page"/>
      </w:r>
    </w:p>
    <w:p>
      <w:pPr>
        <w:pStyle w:val="Heading1"/>
      </w:pPr>
      <w:r>
        <w:t>Appendix A — Reference Architecture Flow</w:t>
      </w:r>
    </w:p>
    <w:p>
      <w:pPr>
        <w:pStyle w:val="ListBullet"/>
        <w:spacing w:after="40"/>
      </w:pPr>
      <w:r>
        <w:t>Flutter → FastAPI → Research Project / Question → LangGraph</w:t>
      </w:r>
    </w:p>
    <w:p>
      <w:pPr>
        <w:pStyle w:val="ListBullet"/>
        <w:spacing w:after="40"/>
      </w:pPr>
      <w:r>
        <w:t>LangGraph → OpenAlex + Crossref + SearXNG → source ranking</w:t>
      </w:r>
    </w:p>
    <w:p>
      <w:pPr>
        <w:pStyle w:val="ListBullet"/>
        <w:spacing w:after="40"/>
      </w:pPr>
      <w:r>
        <w:t>Source → acquisition → GROBID / Docling → structured document</w:t>
      </w:r>
    </w:p>
    <w:p>
      <w:pPr>
        <w:pStyle w:val="ListBullet"/>
        <w:spacing w:after="40"/>
      </w:pPr>
      <w:r>
        <w:t>Document → chunks → Ollama embeddings → Qdrant</w:t>
      </w:r>
    </w:p>
    <w:p>
      <w:pPr>
        <w:pStyle w:val="ListBullet"/>
        <w:spacing w:after="40"/>
      </w:pPr>
      <w:r>
        <w:t>Question → evidence retrieval → Ollama synthesis → claims</w:t>
      </w:r>
    </w:p>
    <w:p>
      <w:pPr>
        <w:pStyle w:val="ListBullet"/>
        <w:spacing w:after="40"/>
      </w:pPr>
      <w:r>
        <w:t>Claims → evidence items → source/locator → student review/export</w:t>
      </w:r>
    </w:p>
    <w:p>
      <w:pPr>
        <w:pStyle w:val="ListBullet"/>
        <w:spacing w:after="40"/>
      </w:pPr>
      <w:r>
        <w:t>PostgreSQL stores the durable research record; MinIO stores source artifacts; Redis supports jobs/cache.</w:t>
      </w:r>
    </w:p>
    <w:p>
      <w:pPr>
        <w:pStyle w:val="Heading1"/>
      </w:pPr>
      <w:r>
        <w:t>Appendix B — Source Basis &amp; Current Technology Checks</w:t>
      </w:r>
    </w:p>
    <w:p>
      <w:r>
        <w:t>Primary project basis: the uploaded “AI Exam Research Web App — Architecture Plan (v2, using your Default Stack)”, which defined the initial Flutter/FastAPI/n8n/Flowise/Ollama/LangGraph/Qdrant/PostgreSQL/FastMCP/Docker/observability architecture and the exam-paper research workflow.</w:t>
      </w:r>
    </w:p>
    <w:p>
      <w:pPr>
        <w:pStyle w:val="ListBullet"/>
      </w:pPr>
      <w:r>
        <w:rPr>
          <w:b/>
        </w:rPr>
        <w:t xml:space="preserve">OpenAlex — </w:t>
      </w:r>
      <w:r>
        <w:t>Current pricing documentation states the core OpenAlex website/API/data snapshot are available free of charge, with paid offerings for higher service levels. https://help.openalex.org/hc/en-us/articles/24397762024087-Pricing</w:t>
      </w:r>
    </w:p>
    <w:p>
      <w:pPr>
        <w:pStyle w:val="ListBullet"/>
      </w:pPr>
      <w:r>
        <w:rPr>
          <w:b/>
        </w:rPr>
        <w:t xml:space="preserve">Crossref — </w:t>
      </w:r>
      <w:r>
        <w:t>Current REST API documentation states that the public API is accessible without signup; Crossref also offers an optional paid Metadata Plus service for higher service levels. https://www.crossref.org/documentation/retrieve-metadata/rest-api/</w:t>
      </w:r>
    </w:p>
    <w:p>
      <w:pPr>
        <w:pStyle w:val="ListBullet"/>
      </w:pPr>
      <w:r>
        <w:rPr>
          <w:b/>
        </w:rPr>
        <w:t xml:space="preserve">LangGraph — </w:t>
      </w:r>
      <w:r>
        <w:t>Current repository describes LangGraph as a low-level orchestration framework for stateful agents; repository license is MIT. https://github.com/langchain-ai/langgraph</w:t>
      </w:r>
    </w:p>
    <w:p>
      <w:pPr>
        <w:pStyle w:val="ListBullet"/>
      </w:pPr>
      <w:r>
        <w:rPr>
          <w:b/>
        </w:rPr>
        <w:t xml:space="preserve">Ollama — </w:t>
      </w:r>
      <w:r>
        <w:t>Current repository is MIT licensed and provides local model runtime capabilities. https://github.com/ollama/ollama</w:t>
      </w:r>
    </w:p>
    <w:p>
      <w:pPr>
        <w:pStyle w:val="ListBullet"/>
      </w:pPr>
      <w:r>
        <w:rPr>
          <w:b/>
        </w:rPr>
        <w:t xml:space="preserve">Qdrant — </w:t>
      </w:r>
      <w:r>
        <w:t>Current repository is licensed under Apache 2.0. https://github.com/qdrant/qdrant</w:t>
      </w:r>
    </w:p>
    <w:p>
      <w:pPr>
        <w:pStyle w:val="ListBullet"/>
      </w:pPr>
      <w:r>
        <w:rPr>
          <w:b/>
        </w:rPr>
        <w:t xml:space="preserve">Docling — </w:t>
      </w:r>
      <w:r>
        <w:t>Current repository states the codebase is MIT licensed and provides advanced PDF/document understanding. https://github.com/docling-project/docling</w:t>
      </w:r>
    </w:p>
    <w:p>
      <w:pPr>
        <w:pStyle w:val="Heading1"/>
      </w:pPr>
      <w:r>
        <w:t>Appendix C — Cost Assumption Note</w:t>
      </w:r>
    </w:p>
    <w:p>
      <w:r>
        <w:t>All infrastructure ranges in this proposal are illustrative planning envelopes, not vendor quotes or financial forecasts. Before an investment decision, the team should run a 30-day pilot measurement using real workloads and record GPU utilization, document volume, storage growth, average research-run duration, model inference time, search volume, failure/retry rates and active-user concurrency. Those measurements should replace the illustrative ranges in the investor financial model.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Academic Research AI • Investor Proposal • Confidential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4B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Research AI — Investor Proposal &amp; Implementation Blueprint</dc:title>
  <dc:subject>Use cases, goals, outcomes, architecture, roadmap and cost-effective implementation metrics</dc:subject>
  <dc:creator>Academic Research AI Project</dc:creator>
  <cp:keywords>academic research, AI, students, investor proposal, open source, LangGraph, Ollama, Qdrant</cp:keywords>
  <dc:description>generated by python-docx</dc:description>
  <cp:lastModifiedBy/>
  <cp:revision>1</cp:revision>
  <dcterms:created xsi:type="dcterms:W3CDTF">2013-12-23T23:15:00Z</dcterms:created>
  <dcterms:modified xsi:type="dcterms:W3CDTF">2013-12-23T23:15:00Z</dcterms:modified>
  <cp:category/>
</cp:coreProperties>
</file>