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07F64" w14:textId="123219A3" w:rsidR="00CB275D" w:rsidRPr="00CB275D" w:rsidRDefault="00CB275D" w:rsidP="00677065">
      <w:r>
        <w:t xml:space="preserve">Tried to include everything that we did (as far as I could remember and also using AI (what it can remember) </w:t>
      </w:r>
    </w:p>
    <w:p w14:paraId="4DC63E69" w14:textId="77777777" w:rsidR="00CB275D" w:rsidRPr="00CB275D" w:rsidRDefault="00CB275D" w:rsidP="00CB275D">
      <w:pPr>
        <w:rPr>
          <w:b/>
          <w:bCs/>
          <w:u w:val="single"/>
        </w:rPr>
      </w:pPr>
      <w:r w:rsidRPr="00CB275D">
        <w:rPr>
          <w:b/>
          <w:bCs/>
          <w:u w:val="single"/>
        </w:rPr>
        <w:t>Data collation</w:t>
      </w:r>
    </w:p>
    <w:p w14:paraId="49553276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We focused on observational impacts of climate change on marine plankton/zooplankton. </w:t>
      </w:r>
    </w:p>
    <w:p w14:paraId="647DBD6B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We used existing synthesis/review/database papers as starting points. </w:t>
      </w:r>
    </w:p>
    <w:p w14:paraId="46D8A8EF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For distribution shifts, we mainly used Poloczanska et al. as the starting point. </w:t>
      </w:r>
    </w:p>
    <w:p w14:paraId="00D5A45B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For phenology shifts, we used the Cooley/IPCC-related phenology database as the starting point. </w:t>
      </w:r>
    </w:p>
    <w:p w14:paraId="1F0EEE22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From these starting papers/databases, we checked: </w:t>
      </w:r>
    </w:p>
    <w:p w14:paraId="1AD2553D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studies included in the database/review </w:t>
      </w:r>
    </w:p>
    <w:p w14:paraId="121CBDB2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papers cited within those studies </w:t>
      </w:r>
    </w:p>
    <w:p w14:paraId="73A61E28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newer papers that cited those studies </w:t>
      </w:r>
    </w:p>
    <w:p w14:paraId="46DFC779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We also used AI/online search tools to help identify possible additional studies and relevant search terms. </w:t>
      </w:r>
    </w:p>
    <w:p w14:paraId="11F45496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AI was only used as a search/screening aid. The actual values were checked manually from the original papers. </w:t>
      </w:r>
    </w:p>
    <w:p w14:paraId="655DB9FC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We extracted information from: </w:t>
      </w:r>
    </w:p>
    <w:p w14:paraId="57B4DAED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main text </w:t>
      </w:r>
    </w:p>
    <w:p w14:paraId="503FA2E5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tables </w:t>
      </w:r>
    </w:p>
    <w:p w14:paraId="3458FB24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supplementary materials </w:t>
      </w:r>
    </w:p>
    <w:p w14:paraId="54A766A6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figures </w:t>
      </w:r>
    </w:p>
    <w:p w14:paraId="3519CE97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When values were not directly reported, we used WebPlotDigitizer to extract numerical values from published figures. </w:t>
      </w:r>
    </w:p>
    <w:p w14:paraId="3A1739FE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For phenology figures, we generally digitised plots when they had: </w:t>
      </w:r>
    </w:p>
    <w:p w14:paraId="28189586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a year/time axis </w:t>
      </w:r>
    </w:p>
    <w:p w14:paraId="522CFDC3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a phenological timing metric, such as bloom timing, peak timing, first appearance, onset, day-of-year, or month/date </w:t>
      </w:r>
    </w:p>
    <w:p w14:paraId="230FF1A4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For distribution figures, we generally digitised plots when they had: </w:t>
      </w:r>
    </w:p>
    <w:p w14:paraId="35B5E537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a year/time axis </w:t>
      </w:r>
    </w:p>
    <w:p w14:paraId="1E273125" w14:textId="77777777" w:rsidR="00CB275D" w:rsidRPr="00CB275D" w:rsidRDefault="00CB275D" w:rsidP="00CB275D">
      <w:pPr>
        <w:pStyle w:val="ListParagraph"/>
        <w:numPr>
          <w:ilvl w:val="1"/>
          <w:numId w:val="4"/>
        </w:numPr>
      </w:pPr>
      <w:r w:rsidRPr="00CB275D">
        <w:t xml:space="preserve">a spatial-position metric, such as latitude, range limit, distribution centre/centroid, mean latitude, depth, distance moved, or location of peak occurrence/abundance </w:t>
      </w:r>
    </w:p>
    <w:p w14:paraId="60951AD4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From the extracted values, we estimated slopes where needed. </w:t>
      </w:r>
    </w:p>
    <w:p w14:paraId="53330E4E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Phenology rates were standardised to days per decade where possible. </w:t>
      </w:r>
    </w:p>
    <w:p w14:paraId="68B8B7A0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Distribution rates were standardised to km per decade where possible. </w:t>
      </w:r>
    </w:p>
    <w:p w14:paraId="1169678B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t xml:space="preserve">We documented how each value was obtained in the Details and Notes columns. </w:t>
      </w:r>
    </w:p>
    <w:p w14:paraId="13B600FD" w14:textId="77777777" w:rsidR="00CB275D" w:rsidRPr="00CB275D" w:rsidRDefault="00CB275D" w:rsidP="00CB275D">
      <w:pPr>
        <w:pStyle w:val="ListParagraph"/>
        <w:numPr>
          <w:ilvl w:val="0"/>
          <w:numId w:val="4"/>
        </w:numPr>
      </w:pPr>
      <w:r w:rsidRPr="00CB275D">
        <w:lastRenderedPageBreak/>
        <w:t>We also noted which figure/table the extracted value was based on in the Details and Notes columns, especially when values were digitised from figures.</w:t>
      </w:r>
    </w:p>
    <w:p w14:paraId="15ACAC44" w14:textId="37DA2B02" w:rsidR="00F8571E" w:rsidRDefault="00F8571E" w:rsidP="00F8571E">
      <w:pPr>
        <w:pStyle w:val="ListParagraph"/>
        <w:ind w:left="1440"/>
      </w:pPr>
    </w:p>
    <w:p w14:paraId="3F669A56" w14:textId="77777777" w:rsidR="00CB275D" w:rsidRPr="00CB275D" w:rsidRDefault="00CB275D" w:rsidP="00CB275D">
      <w:pPr>
        <w:rPr>
          <w:b/>
          <w:bCs/>
          <w:u w:val="single"/>
        </w:rPr>
      </w:pPr>
      <w:commentRangeStart w:id="0"/>
      <w:r w:rsidRPr="00CB275D">
        <w:rPr>
          <w:b/>
          <w:bCs/>
          <w:u w:val="single"/>
        </w:rPr>
        <w:t>Data filtering process</w:t>
      </w:r>
      <w:commentRangeEnd w:id="0"/>
      <w:r w:rsidRPr="00CB275D">
        <w:rPr>
          <w:rStyle w:val="CommentReference"/>
          <w:b/>
          <w:bCs/>
          <w:sz w:val="24"/>
          <w:szCs w:val="24"/>
          <w:u w:val="single"/>
        </w:rPr>
        <w:commentReference w:id="0"/>
      </w:r>
    </w:p>
    <w:p w14:paraId="5E3B9BF9" w14:textId="77777777" w:rsidR="00CB275D" w:rsidRPr="00CB275D" w:rsidRDefault="00CB275D" w:rsidP="00CB275D">
      <w:pPr>
        <w:numPr>
          <w:ilvl w:val="0"/>
          <w:numId w:val="5"/>
        </w:numPr>
      </w:pPr>
      <w:r w:rsidRPr="00CB275D">
        <w:t xml:space="preserve">After data collation, we filtered the database separately for </w:t>
      </w:r>
      <w:r w:rsidRPr="00CB275D">
        <w:rPr>
          <w:b/>
          <w:bCs/>
        </w:rPr>
        <w:t>rate-based analyses</w:t>
      </w:r>
      <w:r w:rsidRPr="00CB275D">
        <w:t xml:space="preserve"> and </w:t>
      </w:r>
      <w:r w:rsidRPr="00CB275D">
        <w:rPr>
          <w:b/>
          <w:bCs/>
        </w:rPr>
        <w:t>percentage-consistent analyses</w:t>
      </w:r>
      <w:r w:rsidRPr="00CB275D">
        <w:t xml:space="preserve">. </w:t>
      </w:r>
    </w:p>
    <w:p w14:paraId="2FDB8B48" w14:textId="77777777" w:rsidR="00CB275D" w:rsidRPr="00CB275D" w:rsidRDefault="00CB275D" w:rsidP="00CB275D">
      <w:pPr>
        <w:numPr>
          <w:ilvl w:val="0"/>
          <w:numId w:val="5"/>
        </w:numPr>
      </w:pPr>
      <w:r w:rsidRPr="00CB275D">
        <w:t xml:space="preserve">For the </w:t>
      </w:r>
      <w:r w:rsidRPr="00CB275D">
        <w:rPr>
          <w:b/>
          <w:bCs/>
        </w:rPr>
        <w:t>distribution rate panel</w:t>
      </w:r>
      <w:r w:rsidRPr="00CB275D">
        <w:t xml:space="preserve">, we retained records only when: </w:t>
      </w:r>
    </w:p>
    <w:p w14:paraId="147B0B3F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Rate was numeric and not missing </w:t>
      </w:r>
    </w:p>
    <w:p w14:paraId="4F6B2B4E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Subgroup was not missing or labelled "NA" </w:t>
      </w:r>
    </w:p>
    <w:p w14:paraId="5D692ABF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the record belonged to the zooplankton group </w:t>
      </w:r>
    </w:p>
    <w:p w14:paraId="2699D24E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the record was not flagged for exclusion </w:t>
      </w:r>
    </w:p>
    <w:p w14:paraId="7625C9E8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Timespan &gt;= 19 years </w:t>
      </w:r>
    </w:p>
    <w:p w14:paraId="22BFC5BD" w14:textId="77777777" w:rsidR="00CB275D" w:rsidRPr="00CB275D" w:rsidRDefault="00CB275D" w:rsidP="00CB275D">
      <w:pPr>
        <w:numPr>
          <w:ilvl w:val="0"/>
          <w:numId w:val="5"/>
        </w:numPr>
      </w:pPr>
      <w:r w:rsidRPr="00CB275D">
        <w:t xml:space="preserve">The </w:t>
      </w:r>
      <w:r w:rsidRPr="00CB275D">
        <w:rPr>
          <w:b/>
          <w:bCs/>
        </w:rPr>
        <w:t>timespan filter was only applied to the distribution rate data</w:t>
      </w:r>
      <w:r w:rsidRPr="00CB275D">
        <w:t xml:space="preserve">. This was why some taxa had many raw distribution records in the database, but fewer records in the final distribution rate panel. </w:t>
      </w:r>
    </w:p>
    <w:p w14:paraId="3211B243" w14:textId="77777777" w:rsidR="00CB275D" w:rsidRPr="00CB275D" w:rsidRDefault="00CB275D" w:rsidP="00CB275D">
      <w:pPr>
        <w:numPr>
          <w:ilvl w:val="0"/>
          <w:numId w:val="5"/>
        </w:numPr>
      </w:pPr>
      <w:r w:rsidRPr="00CB275D">
        <w:t xml:space="preserve">For the </w:t>
      </w:r>
      <w:r w:rsidRPr="00CB275D">
        <w:rPr>
          <w:b/>
          <w:bCs/>
        </w:rPr>
        <w:t>phenology rate panel</w:t>
      </w:r>
      <w:r w:rsidRPr="00CB275D">
        <w:t xml:space="preserve">, we retained records only when: </w:t>
      </w:r>
    </w:p>
    <w:p w14:paraId="6BF07C92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the row was not marked as excluded in the Include column </w:t>
      </w:r>
    </w:p>
    <w:p w14:paraId="03E7CAC7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Rate was numeric and not missing </w:t>
      </w:r>
    </w:p>
    <w:p w14:paraId="6E5AF0C2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Subgroup was not missing or labelled "NA" </w:t>
      </w:r>
    </w:p>
    <w:p w14:paraId="31D332B8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the record belonged to the zooplankton group </w:t>
      </w:r>
    </w:p>
    <w:p w14:paraId="0E4D9A95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the record was not flagged for exclusion </w:t>
      </w:r>
    </w:p>
    <w:p w14:paraId="52300285" w14:textId="77777777" w:rsidR="00CB275D" w:rsidRPr="00CB275D" w:rsidRDefault="00CB275D" w:rsidP="00CB275D">
      <w:pPr>
        <w:numPr>
          <w:ilvl w:val="0"/>
          <w:numId w:val="5"/>
        </w:numPr>
      </w:pPr>
      <w:r w:rsidRPr="00CB275D">
        <w:t xml:space="preserve">Some subgroup names were standardised before analysis. For example, pteropods were grouped under molluscs, while mysids, cirripeds, and amphipods were grouped under other crustaceans. </w:t>
      </w:r>
    </w:p>
    <w:p w14:paraId="16DD9198" w14:textId="77777777" w:rsidR="00CB275D" w:rsidRPr="00CB275D" w:rsidRDefault="00CB275D" w:rsidP="00CB275D">
      <w:pPr>
        <w:numPr>
          <w:ilvl w:val="0"/>
          <w:numId w:val="5"/>
        </w:numPr>
      </w:pPr>
      <w:r w:rsidRPr="00CB275D">
        <w:t xml:space="preserve">Rotifers and dinoflagellates were excluded from the zooplankton block in the script. </w:t>
      </w:r>
    </w:p>
    <w:p w14:paraId="4D272F90" w14:textId="77777777" w:rsidR="00CB275D" w:rsidRPr="00CB275D" w:rsidRDefault="00CB275D" w:rsidP="00CB275D">
      <w:pPr>
        <w:numPr>
          <w:ilvl w:val="0"/>
          <w:numId w:val="5"/>
        </w:numPr>
      </w:pPr>
      <w:r w:rsidRPr="00CB275D">
        <w:t xml:space="preserve">Holoplankton and meroplankton records were identified based on the Group column and were also used to create the broader holo/mero groupings. </w:t>
      </w:r>
    </w:p>
    <w:p w14:paraId="73587BC1" w14:textId="77777777" w:rsidR="00CB275D" w:rsidRPr="00CB275D" w:rsidRDefault="00CB275D" w:rsidP="00CB275D">
      <w:pPr>
        <w:numPr>
          <w:ilvl w:val="0"/>
          <w:numId w:val="5"/>
        </w:numPr>
      </w:pPr>
      <w:r w:rsidRPr="00CB275D">
        <w:t xml:space="preserve">For the </w:t>
      </w:r>
      <w:r w:rsidRPr="00CB275D">
        <w:rPr>
          <w:b/>
          <w:bCs/>
        </w:rPr>
        <w:t>percentage-consistent panel</w:t>
      </w:r>
      <w:r w:rsidRPr="00CB275D">
        <w:t xml:space="preserve">, records were filtered based on the Consistent category. We retained only records classified as: </w:t>
      </w:r>
    </w:p>
    <w:p w14:paraId="24909027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lastRenderedPageBreak/>
        <w:t xml:space="preserve">Consistent </w:t>
      </w:r>
    </w:p>
    <w:p w14:paraId="58F6F784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Not consistent </w:t>
      </w:r>
    </w:p>
    <w:p w14:paraId="15826A82" w14:textId="77777777" w:rsidR="00CB275D" w:rsidRPr="00CB275D" w:rsidRDefault="00CB275D" w:rsidP="00CB275D">
      <w:pPr>
        <w:numPr>
          <w:ilvl w:val="1"/>
          <w:numId w:val="5"/>
        </w:numPr>
      </w:pPr>
      <w:r w:rsidRPr="00CB275D">
        <w:t xml:space="preserve">Unsure </w:t>
      </w:r>
    </w:p>
    <w:p w14:paraId="473CB1C0" w14:textId="77777777" w:rsidR="00CB275D" w:rsidRPr="00CB275D" w:rsidRDefault="00CB275D" w:rsidP="00CB275D">
      <w:pPr>
        <w:numPr>
          <w:ilvl w:val="0"/>
          <w:numId w:val="5"/>
        </w:numPr>
      </w:pPr>
      <w:r w:rsidRPr="00CB275D">
        <w:t xml:space="preserve">The consistency labels were standardised so that different entries such as Y, YES, or C were treated as Consistent, while N, NC, or NO were treated as Not consistent. Ambiguous labels such as Neutral, 0, or - were treated as Unsure. </w:t>
      </w:r>
    </w:p>
    <w:p w14:paraId="7E7BF940" w14:textId="77777777" w:rsidR="00CB275D" w:rsidRPr="00CB275D" w:rsidRDefault="00CB275D" w:rsidP="00CB275D">
      <w:pPr>
        <w:numPr>
          <w:ilvl w:val="0"/>
          <w:numId w:val="5"/>
        </w:numPr>
      </w:pPr>
      <w:r w:rsidRPr="00CB275D">
        <w:t xml:space="preserve">For the </w:t>
      </w:r>
      <w:r w:rsidRPr="00CB275D">
        <w:rPr>
          <w:b/>
          <w:bCs/>
        </w:rPr>
        <w:t>distribution percentage-consistent panel</w:t>
      </w:r>
      <w:r w:rsidRPr="00CB275D">
        <w:t xml:space="preserve">, the current script did </w:t>
      </w:r>
      <w:r w:rsidRPr="00CB275D">
        <w:rPr>
          <w:b/>
          <w:bCs/>
        </w:rPr>
        <w:t>not</w:t>
      </w:r>
      <w:r w:rsidRPr="00CB275D">
        <w:t xml:space="preserve"> apply the Timespan &gt;= 19 years filter. It filtered records based on subgroup availability, exclusion flags, and consistency category only</w:t>
      </w:r>
    </w:p>
    <w:p w14:paraId="4382CF2C" w14:textId="77777777" w:rsidR="00F8571E" w:rsidRDefault="00F8571E" w:rsidP="00F8571E"/>
    <w:p w14:paraId="061CD521" w14:textId="534967E9" w:rsidR="00677065" w:rsidRPr="00CB275D" w:rsidRDefault="00677065" w:rsidP="00677065">
      <w:pPr>
        <w:rPr>
          <w:b/>
          <w:bCs/>
          <w:u w:val="single"/>
        </w:rPr>
      </w:pPr>
      <w:r w:rsidRPr="00677065">
        <w:rPr>
          <w:b/>
          <w:bCs/>
          <w:u w:val="single"/>
        </w:rPr>
        <w:t>Data analysis</w:t>
      </w:r>
    </w:p>
    <w:p w14:paraId="2522FD76" w14:textId="77777777" w:rsidR="00CB275D" w:rsidRPr="00CB275D" w:rsidRDefault="00CB275D" w:rsidP="00CB275D">
      <w:pPr>
        <w:numPr>
          <w:ilvl w:val="0"/>
          <w:numId w:val="6"/>
        </w:numPr>
      </w:pPr>
      <w:r w:rsidRPr="00CB275D">
        <w:t xml:space="preserve">Analyses were done separately for </w:t>
      </w:r>
      <w:r w:rsidRPr="00CB275D">
        <w:rPr>
          <w:b/>
          <w:bCs/>
        </w:rPr>
        <w:t>distribution</w:t>
      </w:r>
      <w:r w:rsidRPr="00CB275D">
        <w:t xml:space="preserve"> and </w:t>
      </w:r>
      <w:r w:rsidRPr="00CB275D">
        <w:rPr>
          <w:b/>
          <w:bCs/>
        </w:rPr>
        <w:t>phenology</w:t>
      </w:r>
      <w:r w:rsidRPr="00CB275D">
        <w:t xml:space="preserve"> records. </w:t>
      </w:r>
    </w:p>
    <w:p w14:paraId="4A626BC9" w14:textId="77777777" w:rsidR="00CB275D" w:rsidRPr="00CB275D" w:rsidRDefault="00CB275D" w:rsidP="00CB275D">
      <w:pPr>
        <w:numPr>
          <w:ilvl w:val="0"/>
          <w:numId w:val="6"/>
        </w:numPr>
      </w:pPr>
      <w:r w:rsidRPr="00CB275D">
        <w:t xml:space="preserve">For the rate-based panels, we calculated the </w:t>
      </w:r>
      <w:r w:rsidRPr="00CB275D">
        <w:rPr>
          <w:b/>
          <w:bCs/>
        </w:rPr>
        <w:t>mean rate of change</w:t>
      </w:r>
      <w:r w:rsidRPr="00CB275D">
        <w:t xml:space="preserve"> for each taxonomic group. </w:t>
      </w:r>
    </w:p>
    <w:p w14:paraId="3CCDE8A5" w14:textId="77777777" w:rsidR="00CB275D" w:rsidRPr="00CB275D" w:rsidRDefault="00CB275D" w:rsidP="00CB275D">
      <w:pPr>
        <w:numPr>
          <w:ilvl w:val="0"/>
          <w:numId w:val="6"/>
        </w:numPr>
      </w:pPr>
      <w:r w:rsidRPr="00CB275D">
        <w:t xml:space="preserve">Distribution rates were analysed in </w:t>
      </w:r>
      <w:r w:rsidRPr="00CB275D">
        <w:rPr>
          <w:b/>
          <w:bCs/>
        </w:rPr>
        <w:t>km per decade</w:t>
      </w:r>
      <w:r w:rsidRPr="00CB275D">
        <w:t xml:space="preserve">. </w:t>
      </w:r>
    </w:p>
    <w:p w14:paraId="4262C7A0" w14:textId="77777777" w:rsidR="00CB275D" w:rsidRPr="00CB275D" w:rsidRDefault="00CB275D" w:rsidP="00CB275D">
      <w:pPr>
        <w:numPr>
          <w:ilvl w:val="0"/>
          <w:numId w:val="6"/>
        </w:numPr>
      </w:pPr>
      <w:r w:rsidRPr="00CB275D">
        <w:t xml:space="preserve">Phenology rates were analysed in </w:t>
      </w:r>
      <w:r w:rsidRPr="00CB275D">
        <w:rPr>
          <w:b/>
          <w:bCs/>
        </w:rPr>
        <w:t>days per decade</w:t>
      </w:r>
      <w:r w:rsidRPr="00CB275D">
        <w:t xml:space="preserve">. </w:t>
      </w:r>
    </w:p>
    <w:p w14:paraId="62911C1D" w14:textId="77777777" w:rsidR="00CB275D" w:rsidRPr="00CB275D" w:rsidRDefault="00CB275D" w:rsidP="00CB275D">
      <w:pPr>
        <w:numPr>
          <w:ilvl w:val="0"/>
          <w:numId w:val="6"/>
        </w:numPr>
      </w:pPr>
      <w:r w:rsidRPr="00CB275D">
        <w:t xml:space="preserve">The mean was calculated as the arithmetic mean of the standardised rates within each group: </w:t>
      </w:r>
    </w:p>
    <w:p w14:paraId="73F08050" w14:textId="77777777" w:rsidR="00CB275D" w:rsidRPr="00CB275D" w:rsidRDefault="00CB275D" w:rsidP="00CB275D">
      <w:r w:rsidRPr="00CB275D">
        <w:t>Mean rate = average of all retained rate values for that group</w:t>
      </w:r>
    </w:p>
    <w:p w14:paraId="6C777FF6" w14:textId="77777777" w:rsidR="00CB275D" w:rsidRPr="00CB275D" w:rsidRDefault="00CB275D" w:rsidP="00CB275D">
      <w:pPr>
        <w:numPr>
          <w:ilvl w:val="0"/>
          <w:numId w:val="7"/>
        </w:numPr>
      </w:pPr>
      <w:r w:rsidRPr="00CB275D">
        <w:t xml:space="preserve">We also calculated </w:t>
      </w:r>
      <w:r w:rsidRPr="00CB275D">
        <w:rPr>
          <w:b/>
          <w:bCs/>
        </w:rPr>
        <w:t>95% confidence intervals</w:t>
      </w:r>
      <w:r w:rsidRPr="00CB275D">
        <w:t xml:space="preserve"> around the mean rate. </w:t>
      </w:r>
    </w:p>
    <w:p w14:paraId="3F74E6CB" w14:textId="77777777" w:rsidR="00CB275D" w:rsidRPr="00CB275D" w:rsidRDefault="00CB275D" w:rsidP="00CB275D">
      <w:pPr>
        <w:numPr>
          <w:ilvl w:val="0"/>
          <w:numId w:val="7"/>
        </w:numPr>
      </w:pPr>
      <w:r w:rsidRPr="00CB275D">
        <w:t xml:space="preserve">Confidence intervals for the rate panels were calculated using a </w:t>
      </w:r>
      <w:r w:rsidRPr="00CB275D">
        <w:rPr>
          <w:b/>
          <w:bCs/>
        </w:rPr>
        <w:t>t-based 95% CI</w:t>
      </w:r>
      <w:r w:rsidRPr="00CB275D">
        <w:t xml:space="preserve">: </w:t>
      </w:r>
    </w:p>
    <w:p w14:paraId="02C6DF47" w14:textId="77777777" w:rsidR="00CB275D" w:rsidRPr="00CB275D" w:rsidRDefault="00CB275D" w:rsidP="00CB275D">
      <w:r w:rsidRPr="00CB275D">
        <w:t>95% CI = mean ± t × SE</w:t>
      </w:r>
    </w:p>
    <w:p w14:paraId="22705EFE" w14:textId="77777777" w:rsidR="00CB275D" w:rsidRPr="00CB275D" w:rsidRDefault="00CB275D" w:rsidP="00CB275D">
      <w:r w:rsidRPr="00CB275D">
        <w:t>where:</w:t>
      </w:r>
    </w:p>
    <w:p w14:paraId="4BF8F298" w14:textId="77777777" w:rsidR="00CB275D" w:rsidRPr="00CB275D" w:rsidRDefault="00CB275D" w:rsidP="00CB275D">
      <w:r w:rsidRPr="00CB275D">
        <w:t>SE = standard deviation / √n</w:t>
      </w:r>
    </w:p>
    <w:p w14:paraId="287F842B" w14:textId="77777777" w:rsidR="00CB275D" w:rsidRPr="00CB275D" w:rsidRDefault="00CB275D" w:rsidP="00CB275D">
      <w:pPr>
        <w:numPr>
          <w:ilvl w:val="0"/>
          <w:numId w:val="8"/>
        </w:numPr>
      </w:pPr>
      <w:r w:rsidRPr="00CB275D">
        <w:t xml:space="preserve">The t-value depended on the sample size for each group, using n - 1 degrees of freedom. </w:t>
      </w:r>
    </w:p>
    <w:p w14:paraId="3EFE1C05" w14:textId="77777777" w:rsidR="00CB275D" w:rsidRPr="00CB275D" w:rsidRDefault="00CB275D" w:rsidP="00CB275D">
      <w:pPr>
        <w:numPr>
          <w:ilvl w:val="0"/>
          <w:numId w:val="8"/>
        </w:numPr>
      </w:pPr>
      <w:r w:rsidRPr="00CB275D">
        <w:t xml:space="preserve">This means groups with smaller sample sizes had wider confidence intervals. </w:t>
      </w:r>
    </w:p>
    <w:p w14:paraId="3585C0B6" w14:textId="77777777" w:rsidR="00CB275D" w:rsidRPr="00CB275D" w:rsidRDefault="00CB275D" w:rsidP="00CB275D">
      <w:pPr>
        <w:numPr>
          <w:ilvl w:val="0"/>
          <w:numId w:val="8"/>
        </w:numPr>
      </w:pPr>
      <w:r w:rsidRPr="00CB275D">
        <w:lastRenderedPageBreak/>
        <w:t xml:space="preserve">Confidence intervals were only shown when there were enough records to estimate them reliably. </w:t>
      </w:r>
    </w:p>
    <w:p w14:paraId="673ED83D" w14:textId="77777777" w:rsidR="00CB275D" w:rsidRPr="00CB275D" w:rsidRDefault="00CB275D" w:rsidP="00CB275D">
      <w:pPr>
        <w:numPr>
          <w:ilvl w:val="0"/>
          <w:numId w:val="8"/>
        </w:numPr>
      </w:pPr>
      <w:r w:rsidRPr="00CB275D">
        <w:t xml:space="preserve">For the </w:t>
      </w:r>
      <w:r w:rsidRPr="00CB275D">
        <w:rPr>
          <w:b/>
          <w:bCs/>
        </w:rPr>
        <w:t>percentage-consistent panel</w:t>
      </w:r>
      <w:r w:rsidRPr="00CB275D">
        <w:t xml:space="preserve">, we calculated the percentage of records classified as </w:t>
      </w:r>
      <w:r w:rsidRPr="00CB275D">
        <w:rPr>
          <w:b/>
          <w:bCs/>
        </w:rPr>
        <w:t>Consistent</w:t>
      </w:r>
      <w:r w:rsidRPr="00CB275D">
        <w:t xml:space="preserve"> within each group. </w:t>
      </w:r>
    </w:p>
    <w:p w14:paraId="70FA78FE" w14:textId="77777777" w:rsidR="00CB275D" w:rsidRPr="00CB275D" w:rsidRDefault="00CB275D" w:rsidP="00CB275D">
      <w:pPr>
        <w:numPr>
          <w:ilvl w:val="0"/>
          <w:numId w:val="8"/>
        </w:numPr>
      </w:pPr>
      <w:r w:rsidRPr="00CB275D">
        <w:t xml:space="preserve">Records classified as </w:t>
      </w:r>
      <w:r w:rsidRPr="00CB275D">
        <w:rPr>
          <w:b/>
          <w:bCs/>
        </w:rPr>
        <w:t>Consistent</w:t>
      </w:r>
      <w:r w:rsidRPr="00CB275D">
        <w:t xml:space="preserve">, </w:t>
      </w:r>
      <w:r w:rsidRPr="00CB275D">
        <w:rPr>
          <w:b/>
          <w:bCs/>
        </w:rPr>
        <w:t>Not consistent</w:t>
      </w:r>
      <w:r w:rsidRPr="00CB275D">
        <w:t xml:space="preserve">, and </w:t>
      </w:r>
      <w:r w:rsidRPr="00CB275D">
        <w:rPr>
          <w:b/>
          <w:bCs/>
        </w:rPr>
        <w:t>Unsure</w:t>
      </w:r>
      <w:r w:rsidRPr="00CB275D">
        <w:t xml:space="preserve"> were included in the consistency summary. </w:t>
      </w:r>
    </w:p>
    <w:p w14:paraId="5400AA7F" w14:textId="77777777" w:rsidR="00CB275D" w:rsidRPr="00CB275D" w:rsidRDefault="00CB275D" w:rsidP="00CB275D">
      <w:pPr>
        <w:numPr>
          <w:ilvl w:val="0"/>
          <w:numId w:val="8"/>
        </w:numPr>
      </w:pPr>
      <w:r w:rsidRPr="00CB275D">
        <w:t xml:space="preserve">The percentage was calculated as: </w:t>
      </w:r>
    </w:p>
    <w:p w14:paraId="3899BEA7" w14:textId="77777777" w:rsidR="00CB275D" w:rsidRPr="00CB275D" w:rsidRDefault="00CB275D" w:rsidP="00CB275D">
      <w:r w:rsidRPr="00CB275D">
        <w:t>Percentage consistent = number of consistent records / total number of classified records × 100</w:t>
      </w:r>
    </w:p>
    <w:p w14:paraId="7D33D173" w14:textId="77777777" w:rsidR="00CB275D" w:rsidRPr="00CB275D" w:rsidRDefault="00CB275D" w:rsidP="00CB275D">
      <w:pPr>
        <w:numPr>
          <w:ilvl w:val="0"/>
          <w:numId w:val="9"/>
        </w:numPr>
      </w:pPr>
      <w:r w:rsidRPr="00CB275D">
        <w:t xml:space="preserve">For the percentage-consistent estimates, we used </w:t>
      </w:r>
      <w:r w:rsidRPr="00CB275D">
        <w:rPr>
          <w:b/>
          <w:bCs/>
        </w:rPr>
        <w:t>Wilson binomial 95% confidence intervals</w:t>
      </w:r>
      <w:r w:rsidRPr="00CB275D">
        <w:t xml:space="preserve">, which are more appropriate for proportions/percentages than the normal/t-based CI. </w:t>
      </w:r>
    </w:p>
    <w:p w14:paraId="47F71F3D" w14:textId="77777777" w:rsidR="00CB275D" w:rsidRPr="00CB275D" w:rsidRDefault="00CB275D" w:rsidP="00CB275D">
      <w:pPr>
        <w:numPr>
          <w:ilvl w:val="0"/>
          <w:numId w:val="9"/>
        </w:numPr>
      </w:pPr>
      <w:r w:rsidRPr="00CB275D">
        <w:t>Sample sizes shown above the panels represent the number of records used for each group after filtering.</w:t>
      </w:r>
    </w:p>
    <w:p w14:paraId="1014F2F7" w14:textId="12A77E01" w:rsidR="00677065" w:rsidRPr="00CB275D" w:rsidRDefault="00677065" w:rsidP="00CB275D">
      <w:pPr>
        <w:rPr>
          <w:b/>
          <w:bCs/>
        </w:rPr>
      </w:pPr>
    </w:p>
    <w:sectPr w:rsidR="00677065" w:rsidRPr="00CB2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ris Esturas" w:date="2026-07-05T17:12:00Z" w:initials="KE">
    <w:p w14:paraId="52C75445" w14:textId="77777777" w:rsidR="00CB275D" w:rsidRDefault="00CB275D" w:rsidP="00CB275D">
      <w:pPr>
        <w:pStyle w:val="CommentText"/>
      </w:pPr>
      <w:r>
        <w:rPr>
          <w:rStyle w:val="CommentReference"/>
        </w:rPr>
        <w:annotationRef/>
      </w:r>
      <w:r>
        <w:t>Revisit exclusion criteria with Ant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C754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BF6FE0" w16cex:dateUtc="2026-07-05T09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C75445" w16cid:durableId="00BF6FE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6838"/>
    <w:multiLevelType w:val="multilevel"/>
    <w:tmpl w:val="FACE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534F6"/>
    <w:multiLevelType w:val="multilevel"/>
    <w:tmpl w:val="0A5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A5C13"/>
    <w:multiLevelType w:val="multilevel"/>
    <w:tmpl w:val="0C86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56A52"/>
    <w:multiLevelType w:val="multilevel"/>
    <w:tmpl w:val="1E5A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D7A9C"/>
    <w:multiLevelType w:val="multilevel"/>
    <w:tmpl w:val="F630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6510F"/>
    <w:multiLevelType w:val="multilevel"/>
    <w:tmpl w:val="E538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73D73"/>
    <w:multiLevelType w:val="hybridMultilevel"/>
    <w:tmpl w:val="BF70A68A"/>
    <w:lvl w:ilvl="0" w:tplc="C2A0156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F13B1F"/>
    <w:multiLevelType w:val="hybridMultilevel"/>
    <w:tmpl w:val="3D24D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2A2A57"/>
    <w:multiLevelType w:val="hybridMultilevel"/>
    <w:tmpl w:val="C0FE761A"/>
    <w:lvl w:ilvl="0" w:tplc="E2325C3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300448">
    <w:abstractNumId w:val="7"/>
  </w:num>
  <w:num w:numId="2" w16cid:durableId="487131919">
    <w:abstractNumId w:val="8"/>
  </w:num>
  <w:num w:numId="3" w16cid:durableId="31195674">
    <w:abstractNumId w:val="6"/>
  </w:num>
  <w:num w:numId="4" w16cid:durableId="1437285407">
    <w:abstractNumId w:val="4"/>
  </w:num>
  <w:num w:numId="5" w16cid:durableId="481430770">
    <w:abstractNumId w:val="5"/>
  </w:num>
  <w:num w:numId="6" w16cid:durableId="1253126367">
    <w:abstractNumId w:val="3"/>
  </w:num>
  <w:num w:numId="7" w16cid:durableId="1085761749">
    <w:abstractNumId w:val="0"/>
  </w:num>
  <w:num w:numId="8" w16cid:durableId="1403257015">
    <w:abstractNumId w:val="1"/>
  </w:num>
  <w:num w:numId="9" w16cid:durableId="68216955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ris Esturas">
    <w15:presenceInfo w15:providerId="AD" w15:userId="S::kris.esturas@mq.edu.au::60c470c4-ff90-4860-a2e4-78e4ef4dea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A24"/>
    <w:rsid w:val="0004350D"/>
    <w:rsid w:val="0046666B"/>
    <w:rsid w:val="004B4406"/>
    <w:rsid w:val="00677065"/>
    <w:rsid w:val="008B4DD0"/>
    <w:rsid w:val="00905787"/>
    <w:rsid w:val="00AA0F91"/>
    <w:rsid w:val="00C064EA"/>
    <w:rsid w:val="00CB275D"/>
    <w:rsid w:val="00E95A24"/>
    <w:rsid w:val="00F8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DF2B"/>
  <w15:chartTrackingRefBased/>
  <w15:docId w15:val="{5C91B6E9-E87A-4797-BDC8-D5282FD4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A2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B27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27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27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27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27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Esturas</dc:creator>
  <cp:keywords/>
  <dc:description/>
  <cp:lastModifiedBy>Kris Esturas</cp:lastModifiedBy>
  <cp:revision>2</cp:revision>
  <dcterms:created xsi:type="dcterms:W3CDTF">2026-07-05T15:02:00Z</dcterms:created>
  <dcterms:modified xsi:type="dcterms:W3CDTF">2026-07-05T15:02:00Z</dcterms:modified>
</cp:coreProperties>
</file>