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18CD" w14:textId="77777777" w:rsidR="00F60219" w:rsidRPr="00F60219" w:rsidRDefault="00F60219" w:rsidP="00F60219">
      <w:pPr>
        <w:rPr>
          <w:rFonts w:ascii="Calibri" w:hAnsi="Calibri" w:cs="Calibri"/>
          <w:b/>
          <w:bCs/>
        </w:rPr>
      </w:pPr>
      <w:r w:rsidRPr="00F60219">
        <w:rPr>
          <w:rFonts w:ascii="Calibri" w:hAnsi="Calibri" w:cs="Calibri"/>
          <w:b/>
          <w:bCs/>
        </w:rPr>
        <w:t>Data collation</w:t>
      </w:r>
    </w:p>
    <w:p w14:paraId="22D04DFC" w14:textId="58F3E9B6" w:rsidR="00F60219" w:rsidRPr="00F60219" w:rsidRDefault="00F60219" w:rsidP="00F60219">
      <w:pPr>
        <w:rPr>
          <w:rFonts w:ascii="Calibri" w:hAnsi="Calibri" w:cs="Calibri"/>
        </w:rPr>
      </w:pPr>
      <w:r w:rsidRPr="00F60219">
        <w:rPr>
          <w:rFonts w:ascii="Calibri" w:hAnsi="Calibri" w:cs="Calibri"/>
        </w:rPr>
        <w:t>We compiled data from existing meta-analyses published in recent years that examined the effects of temperature, ocean acidification, and their combined effects on marine organisms with planktonic life stages, including both holoplankton and meroplankton. We first used Jian et al.</w:t>
      </w:r>
      <w:r w:rsidR="008D433C">
        <w:rPr>
          <w:rFonts w:ascii="Calibri" w:hAnsi="Calibri" w:cs="Calibri"/>
        </w:rPr>
        <w:t>,</w:t>
      </w:r>
      <w:r w:rsidRPr="00F60219">
        <w:rPr>
          <w:rFonts w:ascii="Calibri" w:hAnsi="Calibri" w:cs="Calibri"/>
        </w:rPr>
        <w:t xml:space="preserve"> </w:t>
      </w:r>
      <w:r w:rsidR="00E34DD7">
        <w:rPr>
          <w:rFonts w:ascii="Calibri" w:hAnsi="Calibri" w:cs="Calibri"/>
        </w:rPr>
        <w:t xml:space="preserve">(2025) </w:t>
      </w:r>
      <w:r w:rsidRPr="00F60219">
        <w:rPr>
          <w:rFonts w:ascii="Calibri" w:hAnsi="Calibri" w:cs="Calibri"/>
        </w:rPr>
        <w:t>as the starting database, followed by Alter et al. (2024), because these studies included broad literature searches on climate</w:t>
      </w:r>
      <w:r w:rsidR="006210E1">
        <w:rPr>
          <w:rFonts w:ascii="Calibri" w:hAnsi="Calibri" w:cs="Calibri"/>
        </w:rPr>
        <w:t xml:space="preserve"> </w:t>
      </w:r>
      <w:r w:rsidRPr="00F60219">
        <w:rPr>
          <w:rFonts w:ascii="Calibri" w:hAnsi="Calibri" w:cs="Calibri"/>
        </w:rPr>
        <w:t>change impacts on marine life. For the succeeding meta-analyses</w:t>
      </w:r>
      <w:r w:rsidR="00E34DD7">
        <w:rPr>
          <w:rFonts w:ascii="Calibri" w:hAnsi="Calibri" w:cs="Calibri"/>
        </w:rPr>
        <w:t xml:space="preserve"> we </w:t>
      </w:r>
      <w:r w:rsidR="002B10D4">
        <w:rPr>
          <w:rFonts w:ascii="Calibri" w:hAnsi="Calibri" w:cs="Calibri"/>
        </w:rPr>
        <w:t>collated</w:t>
      </w:r>
      <w:r w:rsidRPr="00F60219">
        <w:rPr>
          <w:rFonts w:ascii="Calibri" w:hAnsi="Calibri" w:cs="Calibri"/>
        </w:rPr>
        <w:t xml:space="preserve">, we checked whether each record </w:t>
      </w:r>
      <w:r w:rsidR="008D433C">
        <w:rPr>
          <w:rFonts w:ascii="Calibri" w:hAnsi="Calibri" w:cs="Calibri"/>
        </w:rPr>
        <w:t xml:space="preserve">from those references </w:t>
      </w:r>
      <w:r w:rsidRPr="00F60219">
        <w:rPr>
          <w:rFonts w:ascii="Calibri" w:hAnsi="Calibri" w:cs="Calibri"/>
        </w:rPr>
        <w:t>was already present in our working database and only added records that were new.</w:t>
      </w:r>
    </w:p>
    <w:p w14:paraId="2C4C8A66" w14:textId="01E4CC20" w:rsidR="00F60219" w:rsidRPr="00F60219" w:rsidRDefault="00F60219" w:rsidP="00F60219">
      <w:pPr>
        <w:rPr>
          <w:rFonts w:ascii="Calibri" w:hAnsi="Calibri" w:cs="Calibri"/>
        </w:rPr>
      </w:pPr>
      <w:r w:rsidRPr="00F60219">
        <w:rPr>
          <w:rFonts w:ascii="Calibri" w:hAnsi="Calibri" w:cs="Calibri"/>
        </w:rPr>
        <w:t xml:space="preserve">For meroplanktonic organisms, we only included entries corresponding to planktonic early life stages, including eggs, embryos, larvae, postlarvae, gametes, or fertilisation stages, depending on how these were reported in the source database. Juvenile and adult stages were excluded unless the organism was holoplanktonic. For holoplankton, we retained records for taxa that remain planktonic throughout their life cycle. </w:t>
      </w:r>
    </w:p>
    <w:p w14:paraId="0F663A55" w14:textId="51FC85AD" w:rsidR="00F60219" w:rsidRPr="00F60219" w:rsidRDefault="00F60219" w:rsidP="00F60219">
      <w:pPr>
        <w:rPr>
          <w:rFonts w:ascii="Calibri" w:hAnsi="Calibri" w:cs="Calibri"/>
        </w:rPr>
      </w:pPr>
      <w:r w:rsidRPr="00F60219">
        <w:rPr>
          <w:rFonts w:ascii="Calibri" w:hAnsi="Calibri" w:cs="Calibri"/>
        </w:rPr>
        <w:t>Response variables were then grouped into five broad response categories: growth, development, physiology, reproduction, and survival</w:t>
      </w:r>
      <w:r w:rsidR="00E2728F">
        <w:rPr>
          <w:rFonts w:ascii="Calibri" w:hAnsi="Calibri" w:cs="Calibri"/>
        </w:rPr>
        <w:t xml:space="preserve"> (ref why?).</w:t>
      </w:r>
    </w:p>
    <w:p w14:paraId="7DE2173F" w14:textId="77777777" w:rsidR="00BA56E8" w:rsidRDefault="00BA56E8" w:rsidP="00BA56E8">
      <w:pPr>
        <w:rPr>
          <w:rFonts w:ascii="Calibri" w:hAnsi="Calibri" w:cs="Calibri"/>
          <w:b/>
          <w:bCs/>
        </w:rPr>
      </w:pPr>
    </w:p>
    <w:p w14:paraId="42E6C715" w14:textId="08DF6994" w:rsidR="00BA56E8" w:rsidRPr="00BA56E8" w:rsidRDefault="00BA56E8" w:rsidP="00BA56E8">
      <w:pPr>
        <w:rPr>
          <w:rFonts w:ascii="Calibri" w:hAnsi="Calibri" w:cs="Calibri"/>
        </w:rPr>
      </w:pPr>
      <w:r w:rsidRPr="00BA56E8">
        <w:rPr>
          <w:rFonts w:ascii="Calibri" w:hAnsi="Calibri" w:cs="Calibri"/>
          <w:b/>
          <w:bCs/>
        </w:rPr>
        <w:t>Data filtering</w:t>
      </w:r>
    </w:p>
    <w:p w14:paraId="31E08208" w14:textId="325B14D8" w:rsidR="00C60D96" w:rsidRDefault="00BA56E8">
      <w:pPr>
        <w:rPr>
          <w:rFonts w:ascii="Calibri" w:hAnsi="Calibri" w:cs="Calibri"/>
        </w:rPr>
      </w:pPr>
      <w:r w:rsidRPr="00BA56E8">
        <w:rPr>
          <w:rFonts w:ascii="Calibri" w:hAnsi="Calibri" w:cs="Calibri"/>
        </w:rPr>
        <w:t xml:space="preserve">Duplicate records identified during database collation were removed. </w:t>
      </w:r>
      <w:r w:rsidR="005B320C" w:rsidRPr="005B320C">
        <w:rPr>
          <w:rFonts w:ascii="Calibri" w:hAnsi="Calibri" w:cs="Calibri"/>
        </w:rPr>
        <w:t xml:space="preserve">We then filtered records based on the magnitude and direction of the experimental treatment relative to the control. Specifically, pH-only records were retained when 0 &lt; ΔCO₂ &lt; 5000 ppm, and temperature-only records were retained when 0 &lt; ΔT ≤ 10°C, where ΔCO₂ and ΔT were calculated as the treatment-minus-control difference in CO₂ concentration and </w:t>
      </w:r>
      <w:r w:rsidR="008D433C">
        <w:rPr>
          <w:rFonts w:ascii="Calibri" w:hAnsi="Calibri" w:cs="Calibri"/>
        </w:rPr>
        <w:t>T</w:t>
      </w:r>
      <w:r w:rsidR="005B320C" w:rsidRPr="005B320C">
        <w:rPr>
          <w:rFonts w:ascii="Calibri" w:hAnsi="Calibri" w:cs="Calibri"/>
        </w:rPr>
        <w:t>, respectively.</w:t>
      </w:r>
      <w:r w:rsidR="005B320C">
        <w:rPr>
          <w:rFonts w:ascii="Calibri" w:hAnsi="Calibri" w:cs="Calibri"/>
        </w:rPr>
        <w:t xml:space="preserve"> </w:t>
      </w:r>
      <w:r w:rsidRPr="00BA56E8">
        <w:rPr>
          <w:rFonts w:ascii="Calibri" w:hAnsi="Calibri" w:cs="Calibri"/>
        </w:rPr>
        <w:t xml:space="preserve">For combined temperature and acidification treatments, records were retained only when both criteria were met. These thresholds were used as conservative upper bounds to remove extreme treatment conditions, while </w:t>
      </w:r>
      <w:r w:rsidR="003D5B23">
        <w:rPr>
          <w:rFonts w:ascii="Calibri" w:hAnsi="Calibri" w:cs="Calibri"/>
        </w:rPr>
        <w:t xml:space="preserve">at the same time, </w:t>
      </w:r>
      <w:r w:rsidRPr="00BA56E8">
        <w:rPr>
          <w:rFonts w:ascii="Calibri" w:hAnsi="Calibri" w:cs="Calibri"/>
        </w:rPr>
        <w:t xml:space="preserve">retaining experiments that were broadly relevant to climate-change exposure </w:t>
      </w:r>
      <w:r w:rsidRPr="00BA56E8">
        <w:rPr>
          <w:rFonts w:ascii="Calibri" w:hAnsi="Calibri" w:cs="Calibri"/>
        </w:rPr>
        <w:t>scenarios</w:t>
      </w:r>
      <w:r>
        <w:rPr>
          <w:rFonts w:ascii="Calibri" w:hAnsi="Calibri" w:cs="Calibri"/>
        </w:rPr>
        <w:t xml:space="preserve"> </w:t>
      </w:r>
      <w:r w:rsidR="003D5B23">
        <w:rPr>
          <w:rFonts w:ascii="Calibri" w:hAnsi="Calibri" w:cs="Calibri"/>
        </w:rPr>
        <w:t xml:space="preserve">e.g. within the expected atm ppm and oceanic T for SSP5-8.5 </w:t>
      </w:r>
      <w:r>
        <w:rPr>
          <w:rFonts w:ascii="Calibri" w:hAnsi="Calibri" w:cs="Calibri"/>
        </w:rPr>
        <w:t>(ref)</w:t>
      </w:r>
      <w:r w:rsidRPr="00BA56E8">
        <w:rPr>
          <w:rFonts w:ascii="Calibri" w:hAnsi="Calibri" w:cs="Calibri"/>
        </w:rPr>
        <w:t>. This filtering resulted in 3,861 records.</w:t>
      </w:r>
    </w:p>
    <w:p w14:paraId="6789343D" w14:textId="77777777" w:rsidR="003D5B23" w:rsidRPr="003D5B23" w:rsidRDefault="003D5B23">
      <w:pPr>
        <w:rPr>
          <w:rFonts w:ascii="Calibri" w:hAnsi="Calibri" w:cs="Calibri"/>
        </w:rPr>
      </w:pPr>
    </w:p>
    <w:p w14:paraId="07652BAC" w14:textId="77777777" w:rsidR="00C60D96" w:rsidRPr="00C60D96" w:rsidRDefault="00C60D96" w:rsidP="00C60D96">
      <w:pPr>
        <w:rPr>
          <w:rFonts w:ascii="Calibri" w:hAnsi="Calibri" w:cs="Calibri"/>
        </w:rPr>
      </w:pPr>
      <w:r w:rsidRPr="00C60D96">
        <w:rPr>
          <w:rFonts w:ascii="Calibri" w:hAnsi="Calibri" w:cs="Calibri"/>
          <w:b/>
          <w:bCs/>
        </w:rPr>
        <w:t>Meta-analysis</w:t>
      </w:r>
    </w:p>
    <w:p w14:paraId="4F4918F6" w14:textId="77777777" w:rsidR="00C60D96" w:rsidRPr="00C60D96" w:rsidRDefault="00C60D96" w:rsidP="00C60D96">
      <w:pPr>
        <w:rPr>
          <w:rFonts w:ascii="Calibri" w:hAnsi="Calibri" w:cs="Calibri"/>
        </w:rPr>
      </w:pPr>
      <w:r w:rsidRPr="00C60D96">
        <w:rPr>
          <w:rFonts w:ascii="Calibri" w:hAnsi="Calibri" w:cs="Calibri"/>
        </w:rPr>
        <w:t>For each entry, we calculated the log response ratio (lnRR) as the effect-size metric:</w:t>
      </w:r>
    </w:p>
    <w:p w14:paraId="424F670A" w14:textId="77777777" w:rsidR="00C60D96" w:rsidRPr="00C60D96" w:rsidRDefault="00C60D96" w:rsidP="003D5B23">
      <w:pPr>
        <w:jc w:val="center"/>
        <w:rPr>
          <w:rFonts w:ascii="Calibri" w:hAnsi="Calibri" w:cs="Calibri"/>
        </w:rPr>
      </w:pPr>
      <w:r w:rsidRPr="00C60D96">
        <w:rPr>
          <w:rFonts w:ascii="Calibri" w:hAnsi="Calibri" w:cs="Calibri"/>
          <w:b/>
          <w:bCs/>
        </w:rPr>
        <w:t>lnRRᵢ = ln(X̄Tᵢ / X̄Cᵢ)</w:t>
      </w:r>
    </w:p>
    <w:p w14:paraId="7B30C405" w14:textId="77777777" w:rsidR="00C60D96" w:rsidRPr="00C60D96" w:rsidRDefault="00C60D96" w:rsidP="00C60D96">
      <w:pPr>
        <w:rPr>
          <w:rFonts w:ascii="Calibri" w:hAnsi="Calibri" w:cs="Calibri"/>
        </w:rPr>
      </w:pPr>
      <w:r w:rsidRPr="00C60D96">
        <w:rPr>
          <w:rFonts w:ascii="Calibri" w:hAnsi="Calibri" w:cs="Calibri"/>
        </w:rPr>
        <w:t>where X̄Tᵢ and X̄Cᵢ are the treatment and control means, respectively. The corresponding sampling variance was calculated as:</w:t>
      </w:r>
    </w:p>
    <w:p w14:paraId="18DCE868" w14:textId="77777777" w:rsidR="00C60D96" w:rsidRPr="00C60D96" w:rsidRDefault="00C60D96" w:rsidP="00DE51D9">
      <w:pPr>
        <w:jc w:val="center"/>
        <w:rPr>
          <w:rFonts w:ascii="Calibri" w:hAnsi="Calibri" w:cs="Calibri"/>
        </w:rPr>
      </w:pPr>
      <w:r w:rsidRPr="00C60D96">
        <w:rPr>
          <w:rFonts w:ascii="Calibri" w:hAnsi="Calibri" w:cs="Calibri"/>
          <w:b/>
          <w:bCs/>
        </w:rPr>
        <w:lastRenderedPageBreak/>
        <w:t>vᵢ = SDTᵢ² / (NTᵢ X̄Tᵢ²) + SDCᵢ² / (NCᵢ X̄Cᵢ²)</w:t>
      </w:r>
    </w:p>
    <w:p w14:paraId="6DCCA988" w14:textId="489D0F79" w:rsidR="00C60D96" w:rsidRPr="00C60D96" w:rsidRDefault="00C60D96" w:rsidP="00C60D96">
      <w:pPr>
        <w:rPr>
          <w:rFonts w:ascii="Calibri" w:hAnsi="Calibri" w:cs="Calibri"/>
        </w:rPr>
      </w:pPr>
      <w:r w:rsidRPr="00C60D96">
        <w:rPr>
          <w:rFonts w:ascii="Calibri" w:hAnsi="Calibri" w:cs="Calibri"/>
        </w:rPr>
        <w:t>where SDTᵢ and SDCᵢ are the treatment and control standard deviations, and NTᵢ and NCᵢ are the treatment and control sample sizes. For response variables where higher values represented poorer biological performance</w:t>
      </w:r>
      <w:r w:rsidR="00DE51D9">
        <w:rPr>
          <w:rFonts w:ascii="Calibri" w:hAnsi="Calibri" w:cs="Calibri"/>
        </w:rPr>
        <w:t xml:space="preserve"> (e.g. mortality, abnormalities, etc.) </w:t>
      </w:r>
      <w:r w:rsidRPr="00C60D96">
        <w:rPr>
          <w:rFonts w:ascii="Calibri" w:hAnsi="Calibri" w:cs="Calibri"/>
        </w:rPr>
        <w:t xml:space="preserve">effect sizes were multiplied by −1 so that negative lnRR values consistently indicated poorer performance under experimental treatment. </w:t>
      </w:r>
      <w:r w:rsidR="00957590">
        <w:rPr>
          <w:rFonts w:ascii="Calibri" w:hAnsi="Calibri" w:cs="Calibri"/>
        </w:rPr>
        <w:t xml:space="preserve">When the direction of a response metric was unclear or not explicitly stated (ambiguous) in the meta-analysis reference, the metric was treated as positive for the direction-adjustment step and the sign was not reversed. </w:t>
      </w:r>
      <w:r w:rsidRPr="00C60D96">
        <w:rPr>
          <w:rFonts w:ascii="Calibri" w:hAnsi="Calibri" w:cs="Calibri"/>
        </w:rPr>
        <w:t>Entries were retained only when both the effect size and sampling variance were finite and the sampling variance was greater than zero. This resulted in 3,784 entries included in the meta-analysis.</w:t>
      </w:r>
    </w:p>
    <w:p w14:paraId="6FD34465" w14:textId="35000423" w:rsidR="004F4E06" w:rsidRDefault="004F4E06" w:rsidP="004F4E06">
      <w:pPr>
        <w:rPr>
          <w:rFonts w:ascii="Calibri" w:hAnsi="Calibri" w:cs="Calibri"/>
        </w:rPr>
      </w:pPr>
      <w:r w:rsidRPr="004F4E06">
        <w:rPr>
          <w:rFonts w:ascii="Calibri" w:hAnsi="Calibri" w:cs="Calibri"/>
        </w:rPr>
        <w:t xml:space="preserve">We estimated model-predicted mean lnRR and associated uncertainty for each treatment type using multilevel meta-analytic models fitted with the rma.mv() function in the </w:t>
      </w:r>
      <w:r w:rsidRPr="00957590">
        <w:rPr>
          <w:rFonts w:ascii="Calibri" w:hAnsi="Calibri" w:cs="Calibri"/>
          <w:i/>
          <w:iCs/>
        </w:rPr>
        <w:t>metafor</w:t>
      </w:r>
      <w:r w:rsidRPr="004F4E06">
        <w:rPr>
          <w:rFonts w:ascii="Calibri" w:hAnsi="Calibri" w:cs="Calibri"/>
        </w:rPr>
        <w:t xml:space="preserve"> package in R</w:t>
      </w:r>
      <w:r w:rsidR="00FA3F6D">
        <w:rPr>
          <w:rFonts w:ascii="Calibri" w:hAnsi="Calibri" w:cs="Calibri"/>
        </w:rPr>
        <w:t xml:space="preserve"> (</w:t>
      </w:r>
      <w:commentRangeStart w:id="0"/>
      <w:r w:rsidR="00FA3F6D">
        <w:rPr>
          <w:rFonts w:ascii="Calibri" w:hAnsi="Calibri" w:cs="Calibri"/>
        </w:rPr>
        <w:t>Viechtbauer, 2010</w:t>
      </w:r>
      <w:commentRangeEnd w:id="0"/>
      <w:r w:rsidR="00FA3F6D">
        <w:rPr>
          <w:rStyle w:val="CommentReference"/>
          <w:rFonts w:ascii="Calibri" w:hAnsi="Calibri" w:cs="Calibri"/>
          <w:sz w:val="24"/>
          <w:szCs w:val="24"/>
        </w:rPr>
        <w:commentReference w:id="0"/>
      </w:r>
      <w:r w:rsidR="00FA3F6D">
        <w:rPr>
          <w:rFonts w:ascii="Calibri" w:hAnsi="Calibri" w:cs="Calibri"/>
        </w:rPr>
        <w:t>)</w:t>
      </w:r>
      <w:r w:rsidRPr="004F4E06">
        <w:rPr>
          <w:rFonts w:ascii="Calibri" w:hAnsi="Calibri" w:cs="Calibri"/>
        </w:rPr>
        <w:t xml:space="preserve">. </w:t>
      </w:r>
      <w:r w:rsidR="00C307ED" w:rsidRPr="00C307ED">
        <w:rPr>
          <w:rFonts w:ascii="Calibri" w:hAnsi="Calibri" w:cs="Calibri"/>
        </w:rPr>
        <w:t>To estimate the effects of acidification, warming, and their interaction in a single model, treatments were represented by pH, temperature, and pH:T terms. The model was fitted as:</w:t>
      </w:r>
    </w:p>
    <w:p w14:paraId="4CE78CB0" w14:textId="77777777" w:rsidR="00560337" w:rsidRPr="00560337" w:rsidRDefault="00560337" w:rsidP="00560337">
      <w:pPr>
        <w:jc w:val="center"/>
        <w:rPr>
          <w:rFonts w:ascii="Calibri" w:hAnsi="Calibri" w:cs="Calibri"/>
          <w:b/>
          <w:bCs/>
        </w:rPr>
      </w:pPr>
      <w:r w:rsidRPr="00560337">
        <w:rPr>
          <w:rFonts w:ascii="Calibri" w:hAnsi="Calibri" w:cs="Calibri"/>
          <w:b/>
          <w:bCs/>
        </w:rPr>
        <w:t>yᵢ = βpH pHᵢ + βT Tᵢ + βpH:T(pHᵢ × Tᵢ) + uStudy[i] + uES[i] + εᵢ</w:t>
      </w:r>
    </w:p>
    <w:p w14:paraId="19C8E6D2" w14:textId="72A19B12" w:rsidR="00D40C12" w:rsidRPr="00D40C12" w:rsidRDefault="00D40C12" w:rsidP="00D40C12">
      <w:pPr>
        <w:rPr>
          <w:rFonts w:ascii="Calibri" w:hAnsi="Calibri" w:cs="Calibri"/>
        </w:rPr>
      </w:pPr>
      <w:r w:rsidRPr="00D40C12">
        <w:rPr>
          <w:rFonts w:ascii="Calibri" w:hAnsi="Calibri" w:cs="Calibri"/>
        </w:rPr>
        <w:t>where yᵢ is the direction-adjusted lnRR, βpH and βT represent the main effects of acidification and warming, respectively, and βpH:T represents their interaction. Study[i] refers to the study from which effect size i was extracted, and ES[i] refers to the individual effect size nested within that study. The terms uStudy[i] and uES[i] represent random effects for study identity and effect-size identity, respectively,</w:t>
      </w:r>
      <w:r>
        <w:rPr>
          <w:rFonts w:ascii="Calibri" w:hAnsi="Calibri" w:cs="Calibri"/>
        </w:rPr>
        <w:t xml:space="preserve"> following Jian et al. (2025),</w:t>
      </w:r>
      <w:r w:rsidRPr="00D40C12">
        <w:rPr>
          <w:rFonts w:ascii="Calibri" w:hAnsi="Calibri" w:cs="Calibri"/>
        </w:rPr>
        <w:t xml:space="preserve"> while εᵢ represents the sampling error. Model-predicted treatment effects were then obtained from the fitted coefficients, with the combined pH:T effect estimated as:</w:t>
      </w:r>
    </w:p>
    <w:p w14:paraId="5357C858" w14:textId="77777777" w:rsidR="007A105F" w:rsidRPr="007A105F" w:rsidRDefault="007A105F" w:rsidP="007A105F">
      <w:pPr>
        <w:jc w:val="center"/>
        <w:rPr>
          <w:rFonts w:ascii="Calibri" w:hAnsi="Calibri" w:cs="Calibri"/>
          <w:b/>
          <w:bCs/>
        </w:rPr>
      </w:pPr>
      <w:r w:rsidRPr="007A105F">
        <w:rPr>
          <w:rFonts w:ascii="Calibri" w:hAnsi="Calibri" w:cs="Calibri"/>
          <w:b/>
          <w:bCs/>
        </w:rPr>
        <w:t>ŷpH:T = βpH + βT + βpH:T</w:t>
      </w:r>
    </w:p>
    <w:p w14:paraId="23FD6ACD" w14:textId="2E972F1F" w:rsidR="00184ABF" w:rsidRDefault="00E566BA">
      <w:pPr>
        <w:rPr>
          <w:rFonts w:ascii="Calibri" w:hAnsi="Calibri" w:cs="Calibri"/>
        </w:rPr>
      </w:pPr>
      <w:r w:rsidRPr="00E566BA">
        <w:rPr>
          <w:rFonts w:ascii="Calibri" w:hAnsi="Calibri" w:cs="Calibri"/>
        </w:rPr>
        <w:t>This model was fitted to the overall dataset and then repeated separately for each response category (growth, development, physiology, reproduction, and survival)</w:t>
      </w:r>
      <w:r w:rsidR="00851F6B">
        <w:rPr>
          <w:rFonts w:ascii="Calibri" w:hAnsi="Calibri" w:cs="Calibri"/>
        </w:rPr>
        <w:t xml:space="preserve">, </w:t>
      </w:r>
      <w:r w:rsidRPr="00E566BA">
        <w:rPr>
          <w:rFonts w:ascii="Calibri" w:hAnsi="Calibri" w:cs="Calibri"/>
        </w:rPr>
        <w:t>broad plankton group (holoplankton and meroplankton)</w:t>
      </w:r>
      <w:r w:rsidR="007A105F">
        <w:rPr>
          <w:rFonts w:ascii="Calibri" w:hAnsi="Calibri" w:cs="Calibri"/>
        </w:rPr>
        <w:t xml:space="preserve">. </w:t>
      </w:r>
      <w:r w:rsidRPr="00E566BA">
        <w:rPr>
          <w:rFonts w:ascii="Calibri" w:hAnsi="Calibri" w:cs="Calibri"/>
        </w:rPr>
        <w:t>Although not all studies used a complete factorial experimental design, the same single</w:t>
      </w:r>
      <w:r w:rsidR="005D6F58">
        <w:rPr>
          <w:rFonts w:ascii="Calibri" w:hAnsi="Calibri" w:cs="Calibri"/>
        </w:rPr>
        <w:t xml:space="preserve"> </w:t>
      </w:r>
      <w:r w:rsidRPr="00E566BA">
        <w:rPr>
          <w:rFonts w:ascii="Calibri" w:hAnsi="Calibri" w:cs="Calibri"/>
        </w:rPr>
        <w:t xml:space="preserve">model was applied to all valid effect sizes by </w:t>
      </w:r>
      <w:r w:rsidR="000C1E42">
        <w:rPr>
          <w:rFonts w:ascii="Calibri" w:hAnsi="Calibri" w:cs="Calibri"/>
        </w:rPr>
        <w:t>coding</w:t>
      </w:r>
      <w:r w:rsidRPr="00E566BA">
        <w:rPr>
          <w:rFonts w:ascii="Calibri" w:hAnsi="Calibri" w:cs="Calibri"/>
        </w:rPr>
        <w:t xml:space="preserve"> each treatment according to whether it included acidification, warming, and their interaction. Where multiple effect sizes shared the same control group, a sampling variance</w:t>
      </w:r>
      <w:r w:rsidR="005071AC">
        <w:rPr>
          <w:rFonts w:ascii="Calibri" w:hAnsi="Calibri" w:cs="Calibri"/>
        </w:rPr>
        <w:t>-</w:t>
      </w:r>
      <w:r w:rsidRPr="00E566BA">
        <w:rPr>
          <w:rFonts w:ascii="Calibri" w:hAnsi="Calibri" w:cs="Calibri"/>
        </w:rPr>
        <w:t>covariance matrix was used to account for non-independence among shared-control comparisons.</w:t>
      </w:r>
    </w:p>
    <w:p w14:paraId="3AC05C68" w14:textId="77777777" w:rsidR="0035403E" w:rsidRPr="00CF62F1" w:rsidRDefault="0035403E">
      <w:pPr>
        <w:rPr>
          <w:rFonts w:ascii="Calibri" w:hAnsi="Calibri" w:cs="Calibri"/>
        </w:rPr>
      </w:pPr>
    </w:p>
    <w:sectPr w:rsidR="0035403E" w:rsidRPr="00CF62F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 Esturas" w:date="2026-06-16T11:30:00Z" w:initials="KE">
    <w:p w14:paraId="7F681FCD" w14:textId="77777777" w:rsidR="00FA3F6D" w:rsidRDefault="00FA3F6D" w:rsidP="00FA3F6D">
      <w:pPr>
        <w:pStyle w:val="CommentText"/>
      </w:pPr>
      <w:r>
        <w:rPr>
          <w:rStyle w:val="CommentReference"/>
        </w:rPr>
        <w:annotationRef/>
      </w:r>
      <w:hyperlink r:id="rId1" w:history="1">
        <w:r w:rsidRPr="00AE26F3">
          <w:rPr>
            <w:rStyle w:val="Hyperlink"/>
          </w:rPr>
          <w:t>https://doi.org/10.18637/jss.v036.i03</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681F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6EF12E" w16cex:dateUtc="2026-06-16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681FCD" w16cid:durableId="686EF1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91B29"/>
    <w:multiLevelType w:val="hybridMultilevel"/>
    <w:tmpl w:val="C4301B54"/>
    <w:lvl w:ilvl="0" w:tplc="C5305C7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2161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 Esturas">
    <w15:presenceInfo w15:providerId="AD" w15:userId="S::kris.esturas@mq.edu.au::60c470c4-ff90-4860-a2e4-78e4ef4de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A0E"/>
    <w:rsid w:val="0005669F"/>
    <w:rsid w:val="00077AB8"/>
    <w:rsid w:val="000C1E42"/>
    <w:rsid w:val="00184ABF"/>
    <w:rsid w:val="00257824"/>
    <w:rsid w:val="002B10D4"/>
    <w:rsid w:val="0035403E"/>
    <w:rsid w:val="003D5B23"/>
    <w:rsid w:val="004F4E06"/>
    <w:rsid w:val="005071AC"/>
    <w:rsid w:val="00517379"/>
    <w:rsid w:val="00560337"/>
    <w:rsid w:val="005B320C"/>
    <w:rsid w:val="005D6F58"/>
    <w:rsid w:val="005F3A85"/>
    <w:rsid w:val="006210E1"/>
    <w:rsid w:val="00786873"/>
    <w:rsid w:val="007A105F"/>
    <w:rsid w:val="0081610C"/>
    <w:rsid w:val="00837FF3"/>
    <w:rsid w:val="00851F6B"/>
    <w:rsid w:val="008B4CDC"/>
    <w:rsid w:val="008D433C"/>
    <w:rsid w:val="008F3136"/>
    <w:rsid w:val="00905787"/>
    <w:rsid w:val="00957590"/>
    <w:rsid w:val="00B07A6B"/>
    <w:rsid w:val="00BA56E8"/>
    <w:rsid w:val="00BC6109"/>
    <w:rsid w:val="00C064EA"/>
    <w:rsid w:val="00C307ED"/>
    <w:rsid w:val="00C46A0E"/>
    <w:rsid w:val="00C60D96"/>
    <w:rsid w:val="00CE318F"/>
    <w:rsid w:val="00CF62F1"/>
    <w:rsid w:val="00D40C12"/>
    <w:rsid w:val="00D76DA2"/>
    <w:rsid w:val="00DE51D9"/>
    <w:rsid w:val="00E2728F"/>
    <w:rsid w:val="00E34DD7"/>
    <w:rsid w:val="00E539EA"/>
    <w:rsid w:val="00E566BA"/>
    <w:rsid w:val="00EA37EA"/>
    <w:rsid w:val="00F4120C"/>
    <w:rsid w:val="00F60219"/>
    <w:rsid w:val="00FA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30CA"/>
  <w15:chartTrackingRefBased/>
  <w15:docId w15:val="{46E3C36A-C7DE-4D92-A0E0-A6420876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A0E"/>
    <w:rPr>
      <w:rFonts w:eastAsiaTheme="majorEastAsia" w:cstheme="majorBidi"/>
      <w:color w:val="272727" w:themeColor="text1" w:themeTint="D8"/>
    </w:rPr>
  </w:style>
  <w:style w:type="paragraph" w:styleId="Title">
    <w:name w:val="Title"/>
    <w:basedOn w:val="Normal"/>
    <w:next w:val="Normal"/>
    <w:link w:val="TitleChar"/>
    <w:uiPriority w:val="10"/>
    <w:qFormat/>
    <w:rsid w:val="00C4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A0E"/>
    <w:pPr>
      <w:spacing w:before="160"/>
      <w:jc w:val="center"/>
    </w:pPr>
    <w:rPr>
      <w:i/>
      <w:iCs/>
      <w:color w:val="404040" w:themeColor="text1" w:themeTint="BF"/>
    </w:rPr>
  </w:style>
  <w:style w:type="character" w:customStyle="1" w:styleId="QuoteChar">
    <w:name w:val="Quote Char"/>
    <w:basedOn w:val="DefaultParagraphFont"/>
    <w:link w:val="Quote"/>
    <w:uiPriority w:val="29"/>
    <w:rsid w:val="00C46A0E"/>
    <w:rPr>
      <w:i/>
      <w:iCs/>
      <w:color w:val="404040" w:themeColor="text1" w:themeTint="BF"/>
    </w:rPr>
  </w:style>
  <w:style w:type="paragraph" w:styleId="ListParagraph">
    <w:name w:val="List Paragraph"/>
    <w:basedOn w:val="Normal"/>
    <w:uiPriority w:val="34"/>
    <w:qFormat/>
    <w:rsid w:val="00C46A0E"/>
    <w:pPr>
      <w:ind w:left="720"/>
      <w:contextualSpacing/>
    </w:pPr>
  </w:style>
  <w:style w:type="character" w:styleId="IntenseEmphasis">
    <w:name w:val="Intense Emphasis"/>
    <w:basedOn w:val="DefaultParagraphFont"/>
    <w:uiPriority w:val="21"/>
    <w:qFormat/>
    <w:rsid w:val="00C46A0E"/>
    <w:rPr>
      <w:i/>
      <w:iCs/>
      <w:color w:val="0F4761" w:themeColor="accent1" w:themeShade="BF"/>
    </w:rPr>
  </w:style>
  <w:style w:type="paragraph" w:styleId="IntenseQuote">
    <w:name w:val="Intense Quote"/>
    <w:basedOn w:val="Normal"/>
    <w:next w:val="Normal"/>
    <w:link w:val="IntenseQuoteChar"/>
    <w:uiPriority w:val="30"/>
    <w:qFormat/>
    <w:rsid w:val="00C4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A0E"/>
    <w:rPr>
      <w:i/>
      <w:iCs/>
      <w:color w:val="0F4761" w:themeColor="accent1" w:themeShade="BF"/>
    </w:rPr>
  </w:style>
  <w:style w:type="character" w:styleId="IntenseReference">
    <w:name w:val="Intense Reference"/>
    <w:basedOn w:val="DefaultParagraphFont"/>
    <w:uiPriority w:val="32"/>
    <w:qFormat/>
    <w:rsid w:val="00C46A0E"/>
    <w:rPr>
      <w:b/>
      <w:bCs/>
      <w:smallCaps/>
      <w:color w:val="0F4761" w:themeColor="accent1" w:themeShade="BF"/>
      <w:spacing w:val="5"/>
    </w:rPr>
  </w:style>
  <w:style w:type="paragraph" w:styleId="NormalWeb">
    <w:name w:val="Normal (Web)"/>
    <w:basedOn w:val="Normal"/>
    <w:uiPriority w:val="99"/>
    <w:semiHidden/>
    <w:unhideWhenUsed/>
    <w:rsid w:val="005B320C"/>
    <w:rPr>
      <w:rFonts w:ascii="Times New Roman" w:hAnsi="Times New Roman" w:cs="Times New Roman"/>
    </w:rPr>
  </w:style>
  <w:style w:type="character" w:styleId="CommentReference">
    <w:name w:val="annotation reference"/>
    <w:basedOn w:val="DefaultParagraphFont"/>
    <w:uiPriority w:val="99"/>
    <w:semiHidden/>
    <w:unhideWhenUsed/>
    <w:rsid w:val="00FA3F6D"/>
    <w:rPr>
      <w:sz w:val="16"/>
      <w:szCs w:val="16"/>
    </w:rPr>
  </w:style>
  <w:style w:type="paragraph" w:styleId="CommentText">
    <w:name w:val="annotation text"/>
    <w:basedOn w:val="Normal"/>
    <w:link w:val="CommentTextChar"/>
    <w:uiPriority w:val="99"/>
    <w:unhideWhenUsed/>
    <w:rsid w:val="00FA3F6D"/>
    <w:pPr>
      <w:spacing w:line="240" w:lineRule="auto"/>
    </w:pPr>
    <w:rPr>
      <w:sz w:val="20"/>
      <w:szCs w:val="20"/>
    </w:rPr>
  </w:style>
  <w:style w:type="character" w:customStyle="1" w:styleId="CommentTextChar">
    <w:name w:val="Comment Text Char"/>
    <w:basedOn w:val="DefaultParagraphFont"/>
    <w:link w:val="CommentText"/>
    <w:uiPriority w:val="99"/>
    <w:rsid w:val="00FA3F6D"/>
    <w:rPr>
      <w:sz w:val="20"/>
      <w:szCs w:val="20"/>
    </w:rPr>
  </w:style>
  <w:style w:type="paragraph" w:styleId="CommentSubject">
    <w:name w:val="annotation subject"/>
    <w:basedOn w:val="CommentText"/>
    <w:next w:val="CommentText"/>
    <w:link w:val="CommentSubjectChar"/>
    <w:uiPriority w:val="99"/>
    <w:semiHidden/>
    <w:unhideWhenUsed/>
    <w:rsid w:val="00FA3F6D"/>
    <w:rPr>
      <w:b/>
      <w:bCs/>
    </w:rPr>
  </w:style>
  <w:style w:type="character" w:customStyle="1" w:styleId="CommentSubjectChar">
    <w:name w:val="Comment Subject Char"/>
    <w:basedOn w:val="CommentTextChar"/>
    <w:link w:val="CommentSubject"/>
    <w:uiPriority w:val="99"/>
    <w:semiHidden/>
    <w:rsid w:val="00FA3F6D"/>
    <w:rPr>
      <w:b/>
      <w:bCs/>
      <w:sz w:val="20"/>
      <w:szCs w:val="20"/>
    </w:rPr>
  </w:style>
  <w:style w:type="character" w:styleId="Hyperlink">
    <w:name w:val="Hyperlink"/>
    <w:basedOn w:val="DefaultParagraphFont"/>
    <w:uiPriority w:val="99"/>
    <w:unhideWhenUsed/>
    <w:rsid w:val="00FA3F6D"/>
    <w:rPr>
      <w:color w:val="467886" w:themeColor="hyperlink"/>
      <w:u w:val="single"/>
    </w:rPr>
  </w:style>
  <w:style w:type="character" w:styleId="UnresolvedMention">
    <w:name w:val="Unresolved Mention"/>
    <w:basedOn w:val="DefaultParagraphFont"/>
    <w:uiPriority w:val="99"/>
    <w:semiHidden/>
    <w:unhideWhenUsed/>
    <w:rsid w:val="00FA3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8637/jss.v036.i03"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Template>
  <TotalTime>57</TotalTime>
  <Pages>2</Pages>
  <Words>735</Words>
  <Characters>4192</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Esturas</dc:creator>
  <cp:keywords/>
  <dc:description/>
  <cp:lastModifiedBy>Kris Esturas</cp:lastModifiedBy>
  <cp:revision>44</cp:revision>
  <dcterms:created xsi:type="dcterms:W3CDTF">2026-06-16T02:44:00Z</dcterms:created>
  <dcterms:modified xsi:type="dcterms:W3CDTF">2026-06-16T03:43:00Z</dcterms:modified>
</cp:coreProperties>
</file>