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8"/>
          <w:szCs w:val="48"/>
        </w:rPr>
        <w:t xml:space="preserve">Good AI Australia</w:t>
      </w:r>
    </w:p>
    <w:p>
      <w:pPr>
        <w:spacing w:after="120"/>
        <w:jc w:val="center"/>
      </w:pPr>
      <w:r>
        <w:rPr>
          <w:rFonts w:ascii="Arial" w:cs="Arial" w:eastAsia="Arial" w:hAnsi="Arial"/>
          <w:color w:val="333333"/>
          <w:sz w:val="36"/>
          <w:szCs w:val="36"/>
        </w:rPr>
        <w:t xml:space="preserve">Competitive Positioning Analysis</w:t>
      </w:r>
    </w:p>
    <w:p>
      <w:pPr>
        <w:spacing w:after="100"/>
        <w:jc w:val="center"/>
      </w:pPr>
      <w:r>
        <w:rPr>
          <w:rFonts w:ascii="Arial" w:cs="Arial" w:eastAsia="Arial" w:hAnsi="Arial"/>
          <w:color w:val="666666"/>
          <w:sz w:val="26"/>
          <w:szCs w:val="26"/>
        </w:rPr>
        <w:t xml:space="preserve">Perth SME AI Automation Market</w:t>
      </w:r>
    </w:p>
    <w:p>
      <w:pPr>
        <w:spacing w:after="600"/>
        <w:jc w:val="center"/>
      </w:pPr>
      <w:r>
        <w:rPr>
          <w:rFonts w:ascii="Arial" w:cs="Arial" w:eastAsia="Arial" w:hAnsi="Arial"/>
          <w:color w:val="666666"/>
          <w:sz w:val="22"/>
          <w:szCs w:val="22"/>
        </w:rPr>
        <w:t xml:space="preserve">April 2026  |  Prepared for Internal Use</w:t>
      </w:r>
    </w:p>
    <w:p>
      <w:pPr>
        <w:pBdr>
          <w:bottom w:val="single" w:color="1F4E79" w:sz="6" w:space="1"/>
        </w:pBdr>
        <w:spacing w:after="400"/>
      </w:pPr>
    </w:p>
    <w:p>
      <w:pPr>
        <w:spacing w:after="300" w:before="0"/>
      </w:pPr>
      <w:r>
        <w:rPr>
          <w:color w:val="333333"/>
          <w:sz w:val="22"/>
          <w:szCs w:val="22"/>
        </w:rPr>
        <w:t xml:space="preserve">This analysis benchmarks Good AI against verified competitors in the Perth and Australian SME automation market. All data sourced from public websites, pricing pages, and case studies as of April 2026. Competitors identified through NotebookLM deep research were independently verified via web search — two (Hrishi Digital, Congero Technology) were excluded as they are not Perth-based competitors.</w:t>
      </w:r>
    </w:p>
    <w:p>
      <w:r>
        <w:br w:type="page"/>
      </w:r>
    </w:p>
    <w:p>
      <w:pPr>
        <w:pStyle w:val="Heading1"/>
      </w:pPr>
      <w:r>
        <w:t xml:space="preserve">1. Key Competitive Metrics</w:t>
      </w:r>
    </w:p>
    <w:p>
      <w:pPr>
        <w:spacing w:after="160" w:before="0"/>
      </w:pPr>
      <w:r>
        <w:rPr>
          <w:color w:val="333333"/>
          <w:sz w:val="22"/>
          <w:szCs w:val="22"/>
        </w:rPr>
        <w:t xml:space="preserve">The Perth SME automation market is fragmented. Most competitors are either enterprise-focused firms reaching down-market, or freelance consultants without productised offerings. Good AI occupies a specific niche: </w:t>
      </w:r>
      <w:r>
        <w:rPr>
          <w:b/>
          <w:bCs/>
          <w:color w:val="333333"/>
          <w:sz w:val="22"/>
          <w:szCs w:val="22"/>
        </w:rPr>
        <w:t xml:space="preserve">productised AI automation for SMEs at sub-$5k entry points</w:t>
      </w:r>
      <w:r>
        <w:rPr>
          <w:color w:val="333333"/>
          <w:sz w:val="22"/>
          <w:szCs w:val="22"/>
        </w:rPr>
        <w:t xml:space="preserve">, with local infrastructure (Equinix PE2 Perth) and managed retainer models.</w:t>
      </w:r>
    </w:p>
    <w:p>
      <w:pPr>
        <w:spacing w:after="160" w:before="0"/>
      </w:pPr>
      <w:r>
        <w:rPr>
          <w:b/>
          <w:bCs/>
          <w:color w:val="333333"/>
          <w:sz w:val="22"/>
          <w:szCs w:val="22"/>
        </w:rPr>
        <w:t xml:space="preserve">Metrics that matter in this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Entry Price 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SMEs won't engage at $25k+. The gap between $1,500 and $25,000 is where Good AI lives — most competitors can't serve it profitably.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Ongoing Retainer Model</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One-off builds churn. Retainer revenue ($150-$800/mo) creates recurring income and client stickiness. Few competitors offer managed ongoing services at SME price points.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Local Infrastructure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 sovereignty matters for AU SMEs, especially trades/finance/health. Equinix PE2 Perth is a genuine differentiator vs cloud-only competitors.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Platform Breadth</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Integrating n8n + OpenClaw + MCP across 12 service lines vs single-point solutions (just chatbots, just CRM). Breadth = more wallet share per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Speed to Deploy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SMEs want results in days/weeks, not months. Good AI's pre-built workflows vs custom enterprise builds is a major advantage.</w:t>
            </w:r>
          </w:p>
        </w:tc>
      </w:tr>
    </w:tbl>
    <w:p>
      <w:pPr>
        <w:spacing w:after="300"/>
      </w:pPr>
    </w:p>
    <w:p>
      <w:r>
        <w:br w:type="page"/>
      </w:r>
    </w:p>
    <w:p>
      <w:pPr>
        <w:pStyle w:val="Heading1"/>
      </w:pPr>
      <w:r>
        <w:t xml:space="preserve">2. Peer Comparison</w:t>
      </w:r>
    </w:p>
    <w:p>
      <w:pPr>
        <w:spacing w:after="160" w:before="0"/>
      </w:pPr>
      <w:r>
        <w:rPr>
          <w:color w:val="333333"/>
          <w:sz w:val="22"/>
          <w:szCs w:val="22"/>
        </w:rPr>
        <w:t xml:space="preserve">Four verified competitors are compared below. Two additional competitors from NotebookLM research were excluded after web verification: </w:t>
      </w:r>
      <w:r>
        <w:rPr>
          <w:b/>
          <w:bCs/>
          <w:color w:val="333333"/>
          <w:sz w:val="22"/>
          <w:szCs w:val="22"/>
        </w:rPr>
        <w:t xml:space="preserve">Hrishi Digital</w:t>
      </w:r>
      <w:r>
        <w:rPr>
          <w:color w:val="333333"/>
          <w:sz w:val="22"/>
          <w:szCs w:val="22"/>
        </w:rPr>
        <w:t xml:space="preserve"> (based in Darwin, NT — not Perth) and </w:t>
      </w:r>
      <w:r>
        <w:rPr>
          <w:b/>
          <w:bCs/>
          <w:color w:val="333333"/>
          <w:sz w:val="22"/>
          <w:szCs w:val="22"/>
        </w:rPr>
        <w:t xml:space="preserve">Congero Technology</w:t>
      </w:r>
      <w:r>
        <w:rPr>
          <w:color w:val="333333"/>
          <w:sz w:val="22"/>
          <w:szCs w:val="22"/>
        </w:rPr>
        <w:t xml:space="preserve"> (headquartered in Reston, Virginia — global enterprise consultancy, not a local competitor).</w:t>
      </w:r>
    </w:p>
    <w:p>
      <w:pPr>
        <w:spacing w:before="300"/>
      </w:pPr>
    </w:p>
    <w:p>
      <w:pPr>
        <w:pStyle w:val="Heading2"/>
      </w:pPr>
      <w:r>
        <w:t xml:space="preserve">Good AI Australia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Location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Perth, WA (Equinix PE2 local infra)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Structure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Sole trader (Kevin PL Tan), ABN 14 885 784 590, trading as goodai.au</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Entry Price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$1,500 (Gateway tier)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Retainer Range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$150 - $800/mo across 12 service lines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Top Tier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$8,500 - $12,000+ build (Sovereign tier), $750+/mo retainer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Tech Stack</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n8n (automation), OpenClaw (managed agents), MCP integrations, Gemini/Claude, Equinix PE2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Target Market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Perth SMEs: trades, finance brokers, professional services, healthcare admin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Revenue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$10k earned (Kismet Finance, 1 milestone @ $10k). $30k pipeline (3 milestones remaining + extension likely). $40k total contract.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Service Lines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 productised offerings from AI Receptionist to Full Business Intelligence Suite</w:t>
            </w:r>
          </w:p>
        </w:tc>
      </w:tr>
    </w:tbl>
    <w:p>
      <w:pPr>
        <w:spacing w:after="200"/>
      </w:pPr>
    </w:p>
    <w:p>
      <w:pPr>
        <w:pStyle w:val="Heading2"/>
      </w:pPr>
      <w:r>
        <w:t xml:space="preserve">Team 400</w:t>
      </w:r>
    </w:p>
    <w:p>
      <w:pPr>
        <w:spacing w:after="160" w:before="0"/>
      </w:pPr>
      <w:r>
        <w:rPr>
          <w:color w:val="333333"/>
          <w:sz w:val="22"/>
          <w:szCs w:val="22"/>
        </w:rPr>
        <w:t xml:space="preserve">Enterprise-grade AI automation agency. 50+ deployed AI agents. Engineering-focused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Location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Sydney / Melbourne / Brisbane — no Perth presence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Entry Price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$25,000+ (10-17x Good AI's Gateway)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Top 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$250,000+ for enterprise deployments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Target</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Mid-market to enterprise ($5M+ revenue companies)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Positioning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Agent specialists" — custom engineering, multi-agent systems, enterprise integrations</w:t>
            </w:r>
          </w:p>
        </w:tc>
      </w:tr>
      <w:tr>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bCs/>
                <w:color w:val="333333"/>
                <w:sz w:val="20"/>
                <w:szCs w:val="20"/>
              </w:rPr>
              <w:t xml:space="preserve">Threat Level</w:t>
            </w:r>
          </w:p>
        </w:tc>
        <w:tc>
          <w:tcPr>
            <w:tcW w:type="dxa" w:w="6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 for Perth SME market. Price point 10-100x higher. No local presence. Would only compete if an SME client grows into mid-market.</w:t>
            </w:r>
          </w:p>
        </w:tc>
      </w:tr>
    </w:tbl>
    <w:p>
      <w:pPr>
        <w:spacing w:after="200"/>
      </w:pPr>
    </w:p>
    <w:p>
      <w:pPr>
        <w:pStyle w:val="Heading2"/>
      </w:pPr>
      <w:r>
        <w:t xml:space="preserve">Solution Minds</w:t>
      </w:r>
    </w:p>
    <w:p>
      <w:pPr>
        <w:spacing w:after="160" w:before="0"/>
      </w:pPr>
      <w:r>
        <w:rPr>
          <w:color w:val="333333"/>
          <w:sz w:val="22"/>
          <w:szCs w:val="22"/>
        </w:rPr>
        <w:t xml:space="preserve">IBM partner since 1999. Enterprise analytics and AI consulting. Perth office at WeWork, St Georges Terrace.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Location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Perth (WeWork, St Georges Tce) + national offices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Pricing</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Enterprise-grade (IBM watsonx/Cognos/Planning Analytics). Likely $20k+ engagements.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Target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Enterprise and government — mining, resources, large corporates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Stack</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IBM watsonx, Cognos Analytics, Planning Analytics — heavy vendor lock-in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Positioning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"Trusted IBM partner" — legacy enterprise analytics with AI bolt-on</w:t>
            </w:r>
          </w:p>
        </w:tc>
      </w:tr>
      <w:tr>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bCs/>
                <w:color w:val="333333"/>
                <w:sz w:val="20"/>
                <w:szCs w:val="20"/>
              </w:rPr>
              <w:t xml:space="preserve">Threat Level</w:t>
            </w:r>
          </w:p>
        </w:tc>
        <w:tc>
          <w:tcPr>
            <w:tcW w:type="dxa" w:w="6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LOW-MEDIUM. Perth presence is real, but they serve a completely different market segment. An SME looking at a $1,500 Gateway build is not cross-shopping IBM watsonx.</w:t>
            </w:r>
          </w:p>
        </w:tc>
      </w:tr>
    </w:tbl>
    <w:p>
      <w:pPr>
        <w:spacing w:after="200"/>
      </w:pPr>
    </w:p>
    <w:p>
      <w:pPr>
        <w:pStyle w:val="Heading2"/>
      </w:pPr>
      <w:r>
        <w:t xml:space="preserve">Lakestone.ai</w:t>
      </w:r>
    </w:p>
    <w:p>
      <w:pPr>
        <w:spacing w:after="160" w:before="0"/>
      </w:pPr>
      <w:r>
        <w:rPr>
          <w:color w:val="333333"/>
          <w:sz w:val="22"/>
          <w:szCs w:val="22"/>
        </w:rPr>
        <w:t xml:space="preserve">Perth-based, remote-first AI collective. This is the closest direct competitor to Good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Location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Perth, WA (remote-first collective)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Entry Price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~$5,000+ (approximately 3x Good AI's Gateway tier)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Track Record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 completed projects. Claims 60-90% efficiency gains.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Stack</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 AI workflows — Xero, SimPro, HubSpot integrations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Target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Perth SMEs — trades, services, professional services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Positioning</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collective" — flexible team, Perth-local, practical automation</w:t>
            </w:r>
          </w:p>
        </w:tc>
      </w:tr>
      <w:tr>
        <w:tc>
          <w:tcPr>
            <w:tcW w:type="dxa" w:w="2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b/>
                <w:bCs/>
                <w:color w:val="333333"/>
                <w:sz w:val="20"/>
                <w:szCs w:val="20"/>
              </w:rPr>
              <w:t xml:space="preserve">Threat Level</w:t>
            </w:r>
          </w:p>
        </w:tc>
        <w:tc>
          <w:tcPr>
            <w:tcW w:type="dxa" w:w="67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 Same market, same geography, similar services. Entry price is ~3x higher though, and they lack the productised retainer model. Key differentiator for Good AI: lower entry + recurring revenue structure.</w:t>
            </w:r>
          </w:p>
        </w:tc>
      </w:tr>
    </w:tbl>
    <w:p>
      <w:pPr>
        <w:spacing w:after="200"/>
      </w:pPr>
    </w:p>
    <w:p>
      <w:pPr>
        <w:pStyle w:val="Heading2"/>
      </w:pPr>
      <w:r>
        <w:t xml:space="preserve">SureClaw</w:t>
      </w:r>
    </w:p>
    <w:p>
      <w:pPr>
        <w:spacing w:after="160" w:before="0"/>
      </w:pPr>
      <w:r>
        <w:rPr>
          <w:color w:val="333333"/>
          <w:sz w:val="22"/>
          <w:szCs w:val="22"/>
        </w:rPr>
        <w:t xml:space="preserve">Australian AI automation firm targeting trades, real estate, and services. "No BS"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Location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Australia (exact city unconfirmed — likely East Coast)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Pricing</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Discovery-based — not publicly listed. Custom quotes after initial consultation.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Target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Trades, real estate, services — similar verticals to Good AI</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Stack</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Security-first AI automation. Specific tooling not publicly disclosed.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Positioning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BS AI" — direct, practical, anti-hype branding</w:t>
            </w:r>
          </w:p>
        </w:tc>
      </w:tr>
      <w:tr>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bCs/>
                <w:color w:val="333333"/>
                <w:sz w:val="20"/>
                <w:szCs w:val="20"/>
              </w:rPr>
              <w:t xml:space="preserve">Threat Level</w:t>
            </w:r>
          </w:p>
        </w:tc>
        <w:tc>
          <w:tcPr>
            <w:tcW w:type="dxa" w:w="6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 Similar target verticals but unclear pricing and no confirmed Perth presence. The "no BS" positioning is effective — Good AI should avoid corporate-speak in its own marketing.</w:t>
            </w:r>
          </w:p>
        </w:tc>
      </w:tr>
    </w:tbl>
    <w:p>
      <w:r>
        <w:br w:type="page"/>
      </w:r>
    </w:p>
    <w:p>
      <w:pPr>
        <w:pStyle w:val="Heading1"/>
      </w:pPr>
      <w:r>
        <w:t xml:space="preserve">3. Premium / Discount Analysis</w:t>
      </w:r>
    </w:p>
    <w:p>
      <w:pPr>
        <w:spacing w:after="160" w:before="0"/>
      </w:pPr>
      <w:r>
        <w:rPr>
          <w:color w:val="333333"/>
          <w:sz w:val="22"/>
          <w:szCs w:val="22"/>
        </w:rPr>
        <w:t xml:space="preserve">The table below compares entry-level pricing across competitors. Good AI's Gateway tier ($1,500) is used as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2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 Price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vs Good AI</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Multiple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Market Segment</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33333"/>
                <w:sz w:val="20"/>
                <w:szCs w:val="20"/>
              </w:rPr>
              <w:t xml:space="preserve">Good AI (Gateway)</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$1,500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Baseline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1.0x</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Perth SME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Lakestone.ai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+233%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3.3x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Perth SME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SureClaw</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Undisclosed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 SME (trades/RE)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Solution Minds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+1,233%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13x+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Enterprise / Gov</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Team 400</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$25,000+</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+1,567%</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17x+</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Enterprise</w:t>
            </w:r>
          </w:p>
        </w:tc>
      </w:tr>
    </w:tbl>
    <w:p>
      <w:pPr>
        <w:spacing w:after="200"/>
      </w:pPr>
    </w:p>
    <w:p>
      <w:pPr>
        <w:spacing w:after="160" w:before="0"/>
      </w:pPr>
      <w:r>
        <w:rPr>
          <w:b/>
          <w:bCs/>
          <w:color w:val="333333"/>
          <w:sz w:val="22"/>
          <w:szCs w:val="22"/>
        </w:rPr>
        <w:t xml:space="preserve">Reading this table: </w:t>
      </w:r>
      <w:r>
        <w:rPr>
          <w:color w:val="333333"/>
          <w:sz w:val="22"/>
          <w:szCs w:val="22"/>
        </w:rPr>
        <w:t xml:space="preserve">Good AI is not "cheap" — it's positioned in a gap that enterprise players structurally cannot fill. A plumber with 8 staff is not calling Team 400 for a $25k engagement. That plumber </w:t>
      </w:r>
      <w:r>
        <w:rPr>
          <w:b/>
          <w:bCs/>
          <w:color w:val="333333"/>
          <w:sz w:val="22"/>
          <w:szCs w:val="22"/>
        </w:rPr>
        <w:t xml:space="preserve">is</w:t>
      </w:r>
      <w:r>
        <w:rPr>
          <w:color w:val="333333"/>
          <w:sz w:val="22"/>
          <w:szCs w:val="22"/>
        </w:rPr>
        <w:t xml:space="preserve"> the person who'll pay $1,500 for an AI receptionist that stops missed calls.</w:t>
      </w:r>
    </w:p>
    <w:p>
      <w:pPr>
        <w:spacing w:after="160" w:before="0"/>
      </w:pPr>
      <w:r>
        <w:rPr>
          <w:b/>
          <w:bCs/>
          <w:color w:val="333333"/>
          <w:sz w:val="22"/>
          <w:szCs w:val="22"/>
        </w:rPr>
        <w:t xml:space="preserve">Retainer comparison: </w:t>
      </w:r>
      <w:r>
        <w:rPr>
          <w:color w:val="333333"/>
          <w:sz w:val="22"/>
          <w:szCs w:val="22"/>
        </w:rPr>
        <w:t xml:space="preserve">This is where Good AI's model diverges most sharply. At $150-$800/mo, Good AI creates recurring revenue from each client. Lakestone.ai and Team 400 do project-based work — once the build is done, the revenue stops unless there's a new project. SureClaw's model is unclear. Solution Minds likely has enterprise support contracts but at entirely different price points.</w:t>
      </w:r>
    </w:p>
    <w:p>
      <w:r>
        <w:br w:type="page"/>
      </w:r>
    </w:p>
    <w:p>
      <w:pPr>
        <w:pStyle w:val="Heading1"/>
      </w:pPr>
      <w:r>
        <w:t xml:space="preserve">4. Is Good AI's Positioning Justified?</w:t>
      </w:r>
    </w:p>
    <w:p>
      <w:pPr>
        <w:spacing w:after="160" w:before="0"/>
      </w:pPr>
      <w:r>
        <w:rPr>
          <w:b/>
          <w:bCs/>
          <w:color w:val="333333"/>
          <w:sz w:val="22"/>
          <w:szCs w:val="22"/>
        </w:rPr>
        <w:t xml:space="preserve">Short answer: Yes, with caveats.</w:t>
      </w:r>
    </w:p>
    <w:p>
      <w:pPr>
        <w:pStyle w:val="Heading2"/>
      </w:pPr>
      <w:r>
        <w:t xml:space="preserve">What's Strong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Advantage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Price gap ownership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The $1,500-$5,000 entry range is genuinely underserved. Enterprise players can't serve it profitably. Freelancers can't productise it. Good AI sits exactly in this gap.</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Recurring model</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$150-$800/mo retainers create predictable revenue and client lock-in. No verified competitor in Perth offers a comparable managed retainer at SME price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Local infrastructure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Equinix PE2 Perth is a real differentiator for data-sensitive verticals (finance, health, legal). Lakestone.ai doesn't advertise equivalent local hosting.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12 service lines</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Breadth of offering means higher wallet share per client. A client who starts with AI Receptionist ($1,500) can grow into CRM Automation ($3,200) and eventually Full BI ($8,000+).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Proven delivery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Kismet Finance ($10k earned, $40k contract, extension likely) validates the milestone model works. This is real revenue, not projections.</w:t>
            </w:r>
          </w:p>
        </w:tc>
      </w:tr>
    </w:tbl>
    <w:p>
      <w:pPr>
        <w:spacing w:after="200"/>
      </w:pPr>
    </w:p>
    <w:p>
      <w:pPr>
        <w:pStyle w:val="Heading2"/>
      </w:pPr>
      <w:r>
        <w:t xml:space="preserve">What's Vulnerable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Vulnerability</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Single client risk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 of revenue from Kismet. If they pause, Good AI has zero income. This is the single biggest strategic risk — not competition.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Sole operator</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Kevin is the only person delivering. Capacity is capped. Lakestone.ai's "collective" model can theoretically scale faster for multi-project delivery.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No brand visibility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Lakestone.ai has 15 published case studies. SureClaw has clear brand positioning. Good AI has a service catalogue but limited public proof points.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BizNova pricing risk</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The formula (monthly labor savings x 25-50% = fee) depends on SMEs understanding their own labor costs. Many don't. Simpler "here's what you get for $1,500" messaging may convert better.</w:t>
            </w:r>
          </w:p>
        </w:tc>
      </w:tr>
    </w:tbl>
    <w:p>
      <w:r>
        <w:br w:type="page"/>
      </w:r>
    </w:p>
    <w:p>
      <w:pPr>
        <w:pStyle w:val="Heading1"/>
      </w:pPr>
      <w:r>
        <w:t xml:space="preserve">5. Comparison Limitations</w:t>
      </w:r>
    </w:p>
    <w:p>
      <w:pPr>
        <w:spacing w:after="160" w:before="0"/>
      </w:pPr>
      <w:r>
        <w:rPr>
          <w:color w:val="333333"/>
          <w:sz w:val="22"/>
          <w:szCs w:val="22"/>
        </w:rPr>
        <w:t xml:space="preserve">This analysis should be read with the following constraints in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Pricing opacity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SureClaw doesn't publish pricing. Solution Minds and Team 400 pricing is estimated from public case studies and industry norms — not confirmed quotes. Direct comparison is approximate.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Scope differences</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Team 400's $25k+ builds are fundamentally different products (multi-agent enterprise systems) vs Good AI's $1,500 workflow automations. Comparing entry prices alone understates the scope gap.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NotebookLM bias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Initial competitor list came from NotebookLM deep research, which consistently over-indexes on mining/resources framing for Perth and included non-Perth companies (Hrishi Digital, Congero). All entries were web-verified but the original list may have missed competitors.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Emerging entrants</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Perth-based Genghis Digital, Ripper IT, Inovarca AI, Limitless Devs, and Tectalic appeared in secondary web searches. These were not deeply profiled but represent potential emerging competition.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Revenue comparison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Good AI's $10k actual revenue (with $40k contracted) is disclosed. No competitor publishes revenue. This makes financial comparison one-sided — competitors may be earning significantly more or less.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Point-in-time data</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data as of April 2026. This market is moving fast — AI pricing and capabilities change quarterly. This document will need refreshing by Q3 2026.</w:t>
            </w:r>
          </w:p>
        </w:tc>
      </w:tr>
    </w:tbl>
    <w:p>
      <w:pPr>
        <w:spacing w:after="300"/>
      </w:pPr>
    </w:p>
    <w:p>
      <w:pPr>
        <w:pBdr>
          <w:bottom w:val="single" w:color="1F4E79" w:sz="6" w:space="1"/>
        </w:pBdr>
        <w:spacing w:after="200"/>
      </w:pPr>
    </w:p>
    <w:p>
      <w:pPr>
        <w:spacing w:after="400" w:before="0"/>
      </w:pPr>
      <w:r>
        <w:rPr>
          <w:b/>
          <w:bCs/>
          <w:color w:val="333333"/>
          <w:sz w:val="22"/>
          <w:szCs w:val="22"/>
        </w:rPr>
        <w:t xml:space="preserve">Bottom line: </w:t>
      </w:r>
      <w:r>
        <w:rPr>
          <w:color w:val="333333"/>
          <w:sz w:val="22"/>
          <w:szCs w:val="22"/>
        </w:rPr>
        <w:t xml:space="preserve">Good AI's competitive position is strong on price, recurring revenue model, and local infrastructure. The biggest risks are not competitive — they're operational: single client dependency and sole operator capacity. Lakestone.ai is the only competitor that overlaps directly, and even they charge 3x more at entry. The strategic priority isn't beating competitors — it's landing client #2 and #3 before Kismet becomes a concentration risk.</w:t>
      </w:r>
    </w:p>
    <w:p>
      <w:pPr>
        <w:spacing w:after="160" w:before="0"/>
      </w:pPr>
      <w:r>
        <w:rPr>
          <w:color w:val="666666"/>
          <w:sz w:val="22"/>
          <w:szCs w:val="22"/>
        </w:rPr>
        <w:t xml:space="preserve">Prepared by Good AI Strategic Analysis  |  April 2026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Good AI  |  Competitive Positioning Analysis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2026-04-17T09:57:14.842Z</dcterms:created>
  <dcterms:modified xsi:type="dcterms:W3CDTF">2026-04-17T09:57:14.843Z</dcterms:modified>
</cp:coreProperties>
</file>

<file path=docProps/custom.xml><?xml version="1.0" encoding="utf-8"?>
<Properties xmlns="http://schemas.openxmlformats.org/officeDocument/2006/custom-properties" xmlns:vt="http://schemas.openxmlformats.org/officeDocument/2006/docPropsVTypes"/>
</file>