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56"/>
          <w:szCs w:val="56"/>
        </w:rPr>
        <w:t xml:space="preserve">KISMET FINANCE GROUP</w:t>
      </w:r>
    </w:p>
    <w:p>
      <w:pPr>
        <w:spacing w:after="120"/>
        <w:jc w:val="center"/>
      </w:pPr>
      <w:r>
        <w:rPr>
          <w:rFonts w:ascii="Arial" w:cs="Arial" w:eastAsia="Arial" w:hAnsi="Arial"/>
          <w:color w:val="555555"/>
          <w:sz w:val="28"/>
          <w:szCs w:val="28"/>
        </w:rPr>
        <w:t xml:space="preserve">Strategic Analysis, Planning Brief &amp; Recommendation Memo</w:t>
      </w:r>
    </w:p>
    <w:p>
      <w:pPr>
        <w:spacing w:after="120"/>
        <w:jc w:val="center"/>
      </w:pPr>
      <w:r>
        <w:rPr>
          <w:rFonts w:ascii="Arial" w:cs="Arial" w:eastAsia="Arial" w:hAnsi="Arial"/>
          <w:i/>
          <w:iCs/>
          <w:color w:val="777777"/>
          <w:sz w:val="22"/>
          <w:szCs w:val="22"/>
        </w:rPr>
        <w:t xml:space="preserve">Version 3.0 2014 Corrected for Cumulative Data — Including DQ Performance Data from Gemini Exports</w:t>
      </w:r>
    </w:p>
    <w:p>
      <w:pPr>
        <w:spacing w:after="600"/>
        <w:jc w:val="center"/>
      </w:pPr>
      <w:r>
        <w:rPr>
          <w:rFonts w:ascii="Arial" w:cs="Arial" w:eastAsia="Arial" w:hAnsi="Arial"/>
          <w:color w:val="777777"/>
          <w:sz w:val="24"/>
          <w:szCs w:val="24"/>
        </w:rPr>
        <w:t xml:space="preserve">April 7, 2026</w:t>
      </w:r>
    </w:p>
    <w:p>
      <w:pPr>
        <w:jc w:val="center"/>
      </w:pPr>
      <w:r>
        <w:rPr>
          <w:rFonts w:ascii="Arial" w:cs="Arial" w:eastAsia="Arial" w:hAnsi="Arial"/>
          <w:sz w:val="22"/>
          <w:szCs w:val="22"/>
        </w:rPr>
        <w:t xml:space="preserve">Prepared for: Shane Hewson, Kismet Finance Group</w:t>
      </w:r>
    </w:p>
    <w:p>
      <w:pPr>
        <w:jc w:val="center"/>
      </w:pPr>
      <w:r>
        <w:rPr>
          <w:rFonts w:ascii="Arial" w:cs="Arial" w:eastAsia="Arial" w:hAnsi="Arial"/>
          <w:sz w:val="22"/>
          <w:szCs w:val="22"/>
        </w:rPr>
        <w:t xml:space="preserve">Prepared by: Kevin PL Tan, Good AI Australia</w:t>
      </w:r>
    </w:p>
    <w:p>
      <w:pPr>
        <w:spacing w:after="200"/>
        <w:jc w:val="center"/>
      </w:pPr>
      <w:r>
        <w:rPr>
          <w:rFonts w:ascii="Arial" w:cs="Arial" w:eastAsia="Arial" w:hAnsi="Arial"/>
          <w:color w:val="777777"/>
          <w:sz w:val="20"/>
          <w:szCs w:val="20"/>
        </w:rPr>
        <w:t xml:space="preserve">ABN 14 885 784 590  |  Perth, Western Australia</w:t>
      </w:r>
    </w:p>
    <w:p>
      <w:r>
        <w:br w:type="page"/>
      </w:r>
    </w:p>
    <w:p>
      <w:pPr>
        <w:pStyle w:val="Heading1"/>
      </w:pPr>
      <w:r>
        <w:rPr>
          <w:b/>
          <w:bCs/>
        </w:rPr>
        <w:t xml:space="preserve">PART 1: DATA ANALYSIS — Evidence &amp; Significance</w:t>
      </w:r>
    </w:p>
    <w:p>
      <w:pPr>
        <w:pBdr>
          <w:bottom w:val="single" w:color="1B4F72" w:sz="4" w:space="1"/>
        </w:pBdr>
        <w:spacing w:after="200" w:before="200"/>
      </w:pPr>
    </w:p>
    <w:p>
      <w:pPr>
        <w:pStyle w:val="Heading2"/>
      </w:pPr>
      <w:r>
        <w:rPr>
          <w:b/>
          <w:bCs/>
        </w:rPr>
        <w:t xml:space="preserve">1. Key Numbers</w:t>
      </w:r>
    </w:p>
    <w:p>
      <w:pPr>
        <w:spacing w:after="100" w:before="200"/>
      </w:pPr>
      <w:r>
        <w:rPr>
          <w:rFonts w:ascii="Arial" w:cs="Arial" w:eastAsia="Arial" w:hAnsi="Arial"/>
          <w:b/>
          <w:bCs/>
          <w:sz w:val="24"/>
          <w:szCs w:val="24"/>
        </w:rPr>
        <w:t xml:space="preserve">A. DQ Status Tally — Field Operations Performance (Feb 20 – Apr 2, 2026)</w:t>
      </w:r>
    </w:p>
    <w:p>
      <w:pPr>
        <w:spacing w:after="120"/>
      </w:pPr>
      <w:r>
        <w:rPr>
          <w:rFonts w:ascii="Arial" w:cs="Arial" w:eastAsia="Arial" w:hAnsi="Arial"/>
          <w:sz w:val="22"/>
          <w:szCs w:val="22"/>
        </w:rPr>
        <w:t xml:space="preserve">This is the most significant dataset in the source material. It contains 170 rows of daily consultant-level performance data tracking the full lead lifecycle from door-knock to sale.</w:t>
      </w:r>
    </w:p>
    <w:p>
      <w:pPr>
        <w:spacing w:before="160"/>
      </w:pPr>
    </w:p>
    <w:p>
      <w:pPr>
        <w:spacing w:after="120"/>
      </w:pPr>
      <w:r>
        <w:rPr>
          <w:rFonts w:ascii="Arial" w:cs="Arial" w:eastAsia="Arial" w:hAnsi="Arial"/>
          <w:b/>
          <w:bCs/>
          <w:sz w:val="22"/>
          <w:szCs w:val="22"/>
        </w:rPr>
        <w:t xml:space="preserve">Consultant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050"/>
        <w:gridCol w:w="900"/>
        <w:gridCol w:w="1100"/>
        <w:gridCol w:w="1000"/>
        <w:gridCol w:w="1100"/>
        <w:gridCol w:w="111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Consultant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Leads</w:t>
            </w:r>
          </w:p>
        </w:tc>
        <w:tc>
          <w:tcPr>
            <w:tcW w:type="dxa" w:w="10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Discovery</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Sale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Successful</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Conv. Rate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Rejections</w:t>
            </w:r>
          </w:p>
        </w:tc>
        <w:tc>
          <w:tcPr>
            <w:tcW w:type="dxa" w:w="11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Rej. Rate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Josh</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2,180</w:t>
            </w:r>
          </w:p>
        </w:tc>
        <w:tc>
          <w:tcPr>
            <w:tcW w:type="dxa" w:w="10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166</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215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794</w:t>
            </w:r>
          </w:p>
        </w:tc>
        <w:tc>
          <w:tcPr>
            <w:tcW w:type="dxa" w:w="11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36.4%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1,080</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430</w:t>
            </w:r>
          </w:p>
        </w:tc>
        <w:tc>
          <w:tcPr>
            <w:tcW w:type="dxa" w:w="1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39.8%</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Shane</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277</w:t>
            </w:r>
          </w:p>
        </w:tc>
        <w:tc>
          <w:tcPr>
            <w:tcW w:type="dxa" w:w="10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19.5%</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117</w:t>
            </w:r>
          </w:p>
        </w:tc>
        <w:tc>
          <w:tcPr>
            <w:tcW w:type="dxa" w:w="11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42.2%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DJ</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31.6%</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3,594</w:t>
            </w:r>
          </w:p>
        </w:tc>
        <w:tc>
          <w:tcPr>
            <w:tcW w:type="dxa" w:w="10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286</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335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9.3%</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1,359</w:t>
            </w:r>
          </w:p>
        </w:tc>
        <w:tc>
          <w:tcPr>
            <w:tcW w:type="dxa" w:w="11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37.8%</w:t>
            </w:r>
          </w:p>
        </w:tc>
      </w:tr>
    </w:tbl>
    <w:p>
      <w:pPr>
        <w:spacing w:before="160"/>
      </w:pPr>
    </w:p>
    <w:p>
      <w:pPr>
        <w:spacing w:after="120"/>
      </w:pPr>
      <w:r>
        <w:rPr>
          <w:rFonts w:ascii="Arial" w:cs="Arial" w:eastAsia="Arial" w:hAnsi="Arial"/>
          <w:b/>
          <w:bCs/>
          <w:sz w:val="22"/>
          <w:szCs w:val="22"/>
        </w:rPr>
        <w:t xml:space="preserve">Pipeline Status (as of Apr 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60"/>
        <w:gridCol w:w="4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Consultant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Pipeline Size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Warm Leads</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Josh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58 leads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Active — warm-to-OTM cooling noted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DJ</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 leads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Surging — tied with Josh; strongest growth trajectory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28 leads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Frozen — preparing to leave; leads not reallocated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leads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 volume, highest conversion efficiency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157 leads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51</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171 cumulative pipeline</w:t>
            </w:r>
          </w:p>
        </w:tc>
      </w:tr>
    </w:tbl>
    <w:p>
      <w:pPr>
        <w:spacing w:before="160"/>
      </w:pPr>
    </w:p>
    <w:p>
      <w:pPr>
        <w:spacing w:after="120"/>
      </w:pPr>
      <w:r>
        <w:rPr>
          <w:rFonts w:ascii="Arial" w:cs="Arial" w:eastAsia="Arial" w:hAnsi="Arial"/>
          <w:b/>
          <w:bCs/>
          <w:sz w:val="22"/>
          <w:szCs w:val="22"/>
        </w:rPr>
        <w:t xml:space="preserve">Rejection Trend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Rejection Rate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Trend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Late February (Feb 20–23)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~15.2%</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Baseline — stable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Early March (Feb 24 – Mar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Sharp increase — lead quality or categorization shift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Late March (Mar 20–31)</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~44.6%</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Peak rejection — warm leads cooling across 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Early April (Apr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Slight improvement — but still elevated</w:t>
            </w:r>
          </w:p>
        </w:tc>
      </w:tr>
    </w:tbl>
    <w:p>
      <w:pPr>
        <w:spacing w:before="160"/>
      </w:pPr>
    </w:p>
    <w:p>
      <w:pPr>
        <w:spacing w:after="120"/>
      </w:pPr>
      <w:r>
        <w:rPr>
          <w:rFonts w:ascii="Arial" w:cs="Arial" w:eastAsia="Arial" w:hAnsi="Arial"/>
          <w:b/>
          <w:bCs/>
          <w:sz w:val="22"/>
          <w:szCs w:val="22"/>
        </w:rPr>
        <w:t xml:space="preserve">Personnel Dynamics:</w:t>
      </w:r>
    </w:p>
    <w:p>
      <w:pPr>
        <w:pStyle w:val="ListParagraph"/>
        <w:numPr>
          <w:ilvl w:val="0"/>
          <w:numId w:val="2"/>
        </w:numPr>
        <w:spacing w:after="80"/>
      </w:pPr>
      <w:r>
        <w:rPr>
          <w:rFonts w:ascii="Arial" w:cs="Arial" w:eastAsia="Arial" w:hAnsi="Arial"/>
          <w:sz w:val="22"/>
          <w:szCs w:val="22"/>
        </w:rPr>
        <w:t xml:space="preserve">Josh is the only consultant recording Sales (49 total). He is also the primary coach/manager, writing daily analytical notes on all consultants.</w:t>
      </w:r>
    </w:p>
    <w:p>
      <w:pPr>
        <w:pStyle w:val="ListParagraph"/>
        <w:numPr>
          <w:ilvl w:val="0"/>
          <w:numId w:val="2"/>
        </w:numPr>
        <w:spacing w:after="80"/>
      </w:pPr>
      <w:r>
        <w:rPr>
          <w:rFonts w:ascii="Arial" w:cs="Arial" w:eastAsia="Arial" w:hAnsi="Arial"/>
          <w:sz w:val="22"/>
          <w:szCs w:val="22"/>
        </w:rPr>
        <w:t xml:space="preserve">DJ (new) is highly responsive to coaching. Grew from 43 to 58 leads in 2 weeks. On Mar 27 recorded the biggest single-day warm lead gain (+9). On Apr 2, converted 2 Discovery leads to FA stage — 'standout positive movement.'</w:t>
      </w:r>
    </w:p>
    <w:p>
      <w:pPr>
        <w:pStyle w:val="ListParagraph"/>
        <w:numPr>
          <w:ilvl w:val="0"/>
          <w:numId w:val="2"/>
        </w:numPr>
        <w:spacing w:after="80"/>
      </w:pPr>
      <w:r>
        <w:rPr>
          <w:rFonts w:ascii="Arial" w:cs="Arial" w:eastAsia="Arial" w:hAnsi="Arial"/>
          <w:sz w:val="22"/>
          <w:szCs w:val="22"/>
        </w:rPr>
        <w:t xml:space="preserve">Lea is preparing to leave. Her pipeline has been static at 29 leads for 15 consecutive days (dropped to 28 on Apr 2). No systematic lead reallocation has occurred.</w:t>
      </w:r>
    </w:p>
    <w:p>
      <w:pPr>
        <w:pStyle w:val="ListParagraph"/>
        <w:numPr>
          <w:ilvl w:val="0"/>
          <w:numId w:val="2"/>
        </w:numPr>
        <w:spacing w:after="80"/>
      </w:pPr>
      <w:r>
        <w:rPr>
          <w:rFonts w:ascii="Arial" w:cs="Arial" w:eastAsia="Arial" w:hAnsi="Arial"/>
          <w:sz w:val="22"/>
          <w:szCs w:val="22"/>
        </w:rPr>
        <w:t xml:space="preserve">Shane has the highest conversion efficiency (19.5%) but operates on the smallest lead base (277 total, 13 active). High volatility — daily rejection rates hit 100% on several low-volume days.</w:t>
      </w:r>
    </w:p>
    <w:p>
      <w:r>
        <w:br w:type="page"/>
      </w:r>
    </w:p>
    <w:p>
      <w:pPr>
        <w:spacing w:after="100" w:before="200"/>
      </w:pPr>
      <w:r>
        <w:rPr>
          <w:rFonts w:ascii="Arial" w:cs="Arial" w:eastAsia="Arial" w:hAnsi="Arial"/>
          <w:b/>
          <w:bCs/>
          <w:sz w:val="24"/>
          <w:szCs w:val="24"/>
        </w:rPr>
        <w:t xml:space="preserve">B. Investment &amp; Financial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Phase I Setup (Foundation)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$3,900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Invoice GAI-KIS-2025-FINAL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II Setup (Voice 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$799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Invoice GAI-KIS-2025-FINAL</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Total Setup (inc GST)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$5,169</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Recurring (inc GST)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$275/month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Year 1 Total Investment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$8,194</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Value Equivalent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$27,380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Invoice Value Comparison</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Savings vs Market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$19,186 (70%)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Invoice Value Comparison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Breakeven Period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Projected ROI</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3.3x / 230% profit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Consulting 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Summary</w:t>
            </w:r>
          </w:p>
        </w:tc>
      </w:tr>
    </w:tbl>
    <w:p>
      <w:pPr>
        <w:spacing w:before="160"/>
      </w:pPr>
    </w:p>
    <w:p>
      <w:pPr>
        <w:spacing w:after="100" w:before="200"/>
      </w:pPr>
      <w:r>
        <w:rPr>
          <w:rFonts w:ascii="Arial" w:cs="Arial" w:eastAsia="Arial" w:hAnsi="Arial"/>
          <w:b/>
          <w:bCs/>
          <w:sz w:val="24"/>
          <w:szCs w:val="24"/>
        </w:rPr>
        <w:t xml:space="preserve">C. Resale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Setup Fee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Fee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Annual Margin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Stuart (SMSF admin)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$1,332/yr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Property Developers (3x)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 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ea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$3,996/yr combined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5 Mortgage Brokers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$1,500 ea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$150 ea</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$6,660/yr combined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Year 1 Conservative (5–10 resales)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$12k–$35k gross</w:t>
            </w:r>
          </w:p>
        </w:tc>
      </w:tr>
    </w:tbl>
    <w:p>
      <w:pPr>
        <w:spacing w:before="160"/>
      </w:pPr>
    </w:p>
    <w:p>
      <w:pPr>
        <w:spacing w:after="100" w:before="200"/>
      </w:pPr>
      <w:r>
        <w:rPr>
          <w:rFonts w:ascii="Arial" w:cs="Arial" w:eastAsia="Arial" w:hAnsi="Arial"/>
          <w:b/>
          <w:bCs/>
          <w:sz w:val="24"/>
          <w:szCs w:val="24"/>
        </w:rPr>
        <w:t xml:space="preserve">D. Grant Landscape (WA)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Co-contribution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LCF Digital Transformation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Up to $50,000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50% match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Round 2 TBD (annual)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SBDC Growth Grants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$20,000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stated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CLOSED (Oct 2025)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R&amp;D Tax Incentive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43.5% offset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Spend first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Ongoing (ATO)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Adopt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$20,000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Unknown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Announced, not open</w:t>
            </w:r>
          </w:p>
        </w:tc>
      </w:tr>
    </w:tbl>
    <w:p>
      <w:pPr>
        <w:spacing w:before="160"/>
      </w:pPr>
    </w:p>
    <w:p>
      <w:pPr>
        <w:spacing w:after="100" w:before="200"/>
      </w:pPr>
      <w:r>
        <w:rPr>
          <w:rFonts w:ascii="Arial" w:cs="Arial" w:eastAsia="Arial" w:hAnsi="Arial"/>
          <w:b/>
          <w:bCs/>
          <w:sz w:val="24"/>
          <w:szCs w:val="24"/>
        </w:rPr>
        <w:t xml:space="preserve">E. Financial Templates</w:t>
      </w:r>
    </w:p>
    <w:p>
      <w:pPr>
        <w:spacing w:after="120"/>
      </w:pPr>
      <w:r>
        <w:rPr>
          <w:rFonts w:ascii="Arial" w:cs="Arial" w:eastAsia="Arial" w:hAnsi="Arial"/>
          <w:i/>
          <w:iCs/>
          <w:sz w:val="22"/>
          <w:szCs w:val="22"/>
        </w:rPr>
        <w:t xml:space="preserve">All four CSV financial templates (Balance Sheet, P&amp;L, Cash Flow, Break-Even) remain unpopulated with $0 across every field. Sign-up date shows June 1, 2020. No actual revenue, cost, or cash position data is available in these templates.</w:t>
      </w:r>
    </w:p>
    <w:p>
      <w:r>
        <w:br w:type="page"/>
      </w:r>
    </w:p>
    <w:p>
      <w:pPr>
        <w:pStyle w:val="Heading2"/>
      </w:pPr>
      <w:r>
        <w:rPr>
          <w:b/>
          <w:bCs/>
        </w:rPr>
        <w:t xml:space="preserve">2. Most Meaningful Comparisons</w:t>
      </w:r>
    </w:p>
    <w:p>
      <w:pPr>
        <w:spacing w:after="100" w:before="200"/>
      </w:pPr>
      <w:r>
        <w:rPr>
          <w:rFonts w:ascii="Arial" w:cs="Arial" w:eastAsia="Arial" w:hAnsi="Arial"/>
          <w:b/>
          <w:bCs/>
          <w:sz w:val="24"/>
          <w:szCs w:val="24"/>
        </w:rPr>
        <w:t xml:space="preserve">Conversion Rate: Shane vs. Josh</w:t>
      </w:r>
    </w:p>
    <w:p>
      <w:pPr>
        <w:spacing w:after="120"/>
      </w:pPr>
      <w:r>
        <w:rPr>
          <w:rFonts w:ascii="Arial" w:cs="Arial" w:eastAsia="Arial" w:hAnsi="Arial"/>
          <w:sz w:val="22"/>
          <w:szCs w:val="22"/>
        </w:rPr>
        <w:t xml:space="preserve">Shane converts 19.5% of leads to Discovery/Sale on 277 leads. Josh converts 9.9% on 2,180 leads. Shane is 2x more efficient per lead, but Josh generates 4x more absolute outcomes (215 vs 54). This suggests Shane could benefit from increased lead volume, while Josh may benefit from conversion coaching — though as coach/manager, his lower rate may reflect split focus.</w:t>
      </w:r>
    </w:p>
    <w:p>
      <w:pPr>
        <w:spacing w:after="100" w:before="200"/>
      </w:pPr>
      <w:r>
        <w:rPr>
          <w:rFonts w:ascii="Arial" w:cs="Arial" w:eastAsia="Arial" w:hAnsi="Arial"/>
          <w:b/>
          <w:bCs/>
          <w:sz w:val="24"/>
          <w:szCs w:val="24"/>
        </w:rPr>
        <w:t xml:space="preserve">Rejection Trend: Feb vs. Apr</w:t>
      </w:r>
    </w:p>
    <w:p>
      <w:pPr>
        <w:spacing w:after="120"/>
      </w:pPr>
      <w:r>
        <w:rPr>
          <w:rFonts w:ascii="Arial" w:cs="Arial" w:eastAsia="Arial" w:hAnsi="Arial"/>
          <w:sz w:val="22"/>
          <w:szCs w:val="22"/>
        </w:rPr>
        <w:t xml:space="preserve">Rejection rate nearly tripled from 15.2% to 44.6% in 6 weeks. This is the most concerning operational trend. Possible causes: lead territory exhaustion (same suburbs being re-canvassed), seasonal effects, categorization drift, or declining door-knock quality. Josh's notes confirm 'warm leads cooling across the board' by late March.</w:t>
      </w:r>
    </w:p>
    <w:p>
      <w:pPr>
        <w:spacing w:after="100" w:before="200"/>
      </w:pPr>
      <w:r>
        <w:rPr>
          <w:rFonts w:ascii="Arial" w:cs="Arial" w:eastAsia="Arial" w:hAnsi="Arial"/>
          <w:b/>
          <w:bCs/>
          <w:sz w:val="24"/>
          <w:szCs w:val="24"/>
        </w:rPr>
        <w:t xml:space="preserve">DJ Trajectory vs. Team</w:t>
      </w:r>
    </w:p>
    <w:p>
      <w:pPr>
        <w:spacing w:after="120"/>
      </w:pPr>
      <w:r>
        <w:rPr>
          <w:rFonts w:ascii="Arial" w:cs="Arial" w:eastAsia="Arial" w:hAnsi="Arial"/>
          <w:sz w:val="22"/>
          <w:szCs w:val="22"/>
        </w:rPr>
        <w:t xml:space="preserve">DJ went from 43 leads to 58 in 2 weeks (35% growth), matching Josh's pipeline size. His conversion to FA stage on Apr 2 shows he's learning to progress leads, not just collect them. However, 0 Sales means the closing stage is the critical gap. If DJ can be coached to Josh's 23% discovery-to-sale conversion rate, his pipeline alone could generate significant revenue.</w:t>
      </w:r>
    </w:p>
    <w:p>
      <w:pPr>
        <w:spacing w:after="100" w:before="200"/>
      </w:pPr>
      <w:r>
        <w:rPr>
          <w:rFonts w:ascii="Arial" w:cs="Arial" w:eastAsia="Arial" w:hAnsi="Arial"/>
          <w:b/>
          <w:bCs/>
          <w:sz w:val="24"/>
          <w:szCs w:val="24"/>
        </w:rPr>
        <w:t xml:space="preserve">Lea's Frozen Pipeline</w:t>
      </w:r>
    </w:p>
    <w:p>
      <w:pPr>
        <w:spacing w:after="120"/>
      </w:pPr>
      <w:r>
        <w:rPr>
          <w:rFonts w:ascii="Arial" w:cs="Arial" w:eastAsia="Arial" w:hAnsi="Arial"/>
          <w:sz w:val="22"/>
          <w:szCs w:val="22"/>
        </w:rPr>
        <w:t xml:space="preserve">28–29 leads have been static for 15 days. These leads are decaying. If Lea leaves without reallocation, ~28 leads worth of pipeline investment are lost. At the team's average $30 investment per lead (estimated from consulting hours), that's roughly $840 of sunk pipeline cost at risk.</w:t>
      </w:r>
    </w:p>
    <w:p>
      <w:pPr>
        <w:spacing w:after="100" w:before="200"/>
      </w:pPr>
      <w:r>
        <w:rPr>
          <w:rFonts w:ascii="Arial" w:cs="Arial" w:eastAsia="Arial" w:hAnsi="Arial"/>
          <w:b/>
          <w:bCs/>
          <w:sz w:val="24"/>
          <w:szCs w:val="24"/>
        </w:rPr>
        <w:t xml:space="preserve">Investment vs. Operational Reality</w:t>
      </w:r>
    </w:p>
    <w:p>
      <w:pPr>
        <w:spacing w:after="120"/>
      </w:pPr>
      <w:r>
        <w:rPr>
          <w:rFonts w:ascii="Arial" w:cs="Arial" w:eastAsia="Arial" w:hAnsi="Arial"/>
          <w:sz w:val="22"/>
          <w:szCs w:val="22"/>
        </w:rPr>
        <w:t xml:space="preserve">The system cost ($8,194 Year 1) is generating real operational output: 3,594 tracked leads, 335 successful outcomes, 49 sales, across 4 consultants over 6 weeks. However, the financial templates are empty — none of this field activity has been translated into revenue accounting. The disconnect between operational data (rich) and financial data (zero) is the core issue.</w:t>
      </w:r>
    </w:p>
    <w:p>
      <w:r>
        <w:br w:type="page"/>
      </w:r>
    </w:p>
    <w:p>
      <w:pPr>
        <w:pStyle w:val="Heading2"/>
      </w:pPr>
      <w:r>
        <w:rPr>
          <w:b/>
          <w:bCs/>
        </w:rPr>
        <w:t xml:space="preserve">3. Why These Numbers Matter</w:t>
      </w:r>
    </w:p>
    <w:p>
      <w:pPr>
        <w:spacing w:after="100"/>
      </w:pPr>
      <w:r>
        <w:rPr>
          <w:rFonts w:ascii="Arial" w:cs="Arial" w:eastAsia="Arial" w:hAnsi="Arial"/>
          <w:b/>
          <w:bCs/>
          <w:sz w:val="22"/>
          <w:szCs w:val="22"/>
        </w:rPr>
        <w:t xml:space="preserve">3,594 total leads tracked: </w:t>
      </w:r>
      <w:r>
        <w:rPr>
          <w:rFonts w:ascii="Arial" w:cs="Arial" w:eastAsia="Arial" w:hAnsi="Arial"/>
          <w:sz w:val="22"/>
          <w:szCs w:val="22"/>
        </w:rPr>
        <w:t xml:space="preserve">This proves the CRM system is operational and generating real data. The DQ Status Tally is not a demo — it's 6 weeks of actual field operations with daily consultant-level tracking. The system works.</w:t>
      </w:r>
    </w:p>
    <w:p>
      <w:pPr>
        <w:spacing w:before="160"/>
      </w:pPr>
    </w:p>
    <w:p>
      <w:pPr>
        <w:spacing w:after="100"/>
      </w:pPr>
      <w:r>
        <w:rPr>
          <w:rFonts w:ascii="Arial" w:cs="Arial" w:eastAsia="Arial" w:hAnsi="Arial"/>
          <w:b/>
          <w:bCs/>
          <w:sz w:val="22"/>
          <w:szCs w:val="22"/>
        </w:rPr>
        <w:t xml:space="preserve">9.3% overall conversion rate: </w:t>
      </w:r>
      <w:r>
        <w:rPr>
          <w:rFonts w:ascii="Arial" w:cs="Arial" w:eastAsia="Arial" w:hAnsi="Arial"/>
          <w:sz w:val="22"/>
          <w:szCs w:val="22"/>
        </w:rPr>
        <w:t xml:space="preserve">Only 335 of 3,594 leads reached Discovery or Sale. This is the yield on the door-knock model. Every percentage point improvement on 3,594 leads = ~36 additional qualified prospects. If the voice agent or website bot can improve top-of-funnel quality (reducing the 37.8% rejection rate), the compounding effect on revenue is substantial.</w:t>
      </w:r>
    </w:p>
    <w:p>
      <w:pPr>
        <w:spacing w:before="160"/>
      </w:pPr>
    </w:p>
    <w:p>
      <w:pPr>
        <w:spacing w:after="100"/>
      </w:pPr>
      <w:r>
        <w:rPr>
          <w:rFonts w:ascii="Arial" w:cs="Arial" w:eastAsia="Arial" w:hAnsi="Arial"/>
          <w:b/>
          <w:bCs/>
          <w:sz w:val="22"/>
          <w:szCs w:val="22"/>
        </w:rPr>
        <w:t xml:space="preserve">49 Sales (Josh only): </w:t>
      </w:r>
      <w:r>
        <w:rPr>
          <w:rFonts w:ascii="Arial" w:cs="Arial" w:eastAsia="Arial" w:hAnsi="Arial"/>
          <w:sz w:val="22"/>
          <w:szCs w:val="22"/>
        </w:rPr>
        <w:t xml:space="preserve">Josh is the sole closer. No other consultant has recorded a single Sale. This is a critical concentration risk. If Josh is unavailable, sales drop to zero. Training DJ to close is the single highest-leverage action in the business.</w:t>
      </w:r>
    </w:p>
    <w:p>
      <w:pPr>
        <w:spacing w:before="160"/>
      </w:pPr>
    </w:p>
    <w:p>
      <w:pPr>
        <w:spacing w:after="100"/>
      </w:pPr>
      <w:r>
        <w:rPr>
          <w:rFonts w:ascii="Arial" w:cs="Arial" w:eastAsia="Arial" w:hAnsi="Arial"/>
          <w:b/>
          <w:bCs/>
          <w:sz w:val="22"/>
          <w:szCs w:val="22"/>
        </w:rPr>
        <w:t xml:space="preserve">44.6% peak rejection rate: </w:t>
      </w:r>
      <w:r>
        <w:rPr>
          <w:rFonts w:ascii="Arial" w:cs="Arial" w:eastAsia="Arial" w:hAnsi="Arial"/>
          <w:sz w:val="22"/>
          <w:szCs w:val="22"/>
        </w:rPr>
        <w:t xml:space="preserve">Nearly half of all leads in late March were rejected (Fake Number + Not Interested + Future Prospects). This erosion, if not reversed, makes the door-knock model unsustainable. The voice agent and website bot offer an alternative acquisition channel with potentially lower rejection rates.</w:t>
      </w:r>
    </w:p>
    <w:p>
      <w:pPr>
        <w:spacing w:before="160"/>
      </w:pPr>
    </w:p>
    <w:p>
      <w:pPr>
        <w:spacing w:after="100"/>
      </w:pPr>
      <w:r>
        <w:rPr>
          <w:rFonts w:ascii="Arial" w:cs="Arial" w:eastAsia="Arial" w:hAnsi="Arial"/>
          <w:b/>
          <w:bCs/>
          <w:sz w:val="22"/>
          <w:szCs w:val="22"/>
        </w:rPr>
        <w:t xml:space="preserve">28 leads frozen (Lea): </w:t>
      </w:r>
      <w:r>
        <w:rPr>
          <w:rFonts w:ascii="Arial" w:cs="Arial" w:eastAsia="Arial" w:hAnsi="Arial"/>
          <w:sz w:val="22"/>
          <w:szCs w:val="22"/>
        </w:rPr>
        <w:t xml:space="preserve">A pending departure with no lead transition plan. This is an immediate operational risk that doesn't appear in any dashboard or alert. The 'Ghost Detector' escalation engine (Phase 3) would catch this — but Phase 3 hasn't started.</w:t>
      </w:r>
    </w:p>
    <w:p>
      <w:r>
        <w:br w:type="page"/>
      </w:r>
    </w:p>
    <w:p>
      <w:pPr>
        <w:pStyle w:val="Heading2"/>
      </w:pPr>
      <w:r>
        <w:rPr>
          <w:b/>
          <w:bCs/>
        </w:rPr>
        <w:t xml:space="preserve">4. Link Between Data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Challenge / Gap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3.3x ROI in Year 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Low cost ($8,194/yr); real operational output (3,594 leads tracked)</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Zero financial data; P&amp;L blank; ROI projected not measured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 agent: $30k/mo qualified leads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live; call routing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qual rate unverified; no pre/post comparison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6x website lead volume increase</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Bot deployed on WordPress; 24/7 operation confirmed</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No pre/post traffic data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60% onboarding time reduction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knowledge bot live; team access 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time-tracking baseline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$12k–$35k resale margin</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Pricing tiers defined; partners named</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No signed agreements; unvalidated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70% discount vs market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$8,194 vs $27,380 self-assessed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value not independently benchmarked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Door-knock model works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3,594 leads; 335 successful; 49 Sales in 6 weeks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SUPPORTED — but rejection rate trending up sharply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system operational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 rows of daily data; 11 n8n workflows in production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SUPPORTED — verified from multiple sources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Compliance enforced</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AFSL guardrails; Privacy Act handling documented</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SUPPORTED — data handling doc references legislation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scaling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 growing rapidly under Josh's coaching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PARTIALLY — DJ shows promise but 0 Sales; Lea exit risk</w:t>
            </w:r>
          </w:p>
        </w:tc>
      </w:tr>
    </w:tbl>
    <w:p>
      <w:pPr>
        <w:spacing w:before="160"/>
      </w:pPr>
    </w:p>
    <w:p>
      <w:pPr>
        <w:spacing w:after="120"/>
      </w:pPr>
      <w:r>
        <w:rPr>
          <w:rFonts w:ascii="Arial" w:cs="Arial" w:eastAsia="Arial" w:hAnsi="Arial"/>
          <w:b/>
          <w:bCs/>
          <w:i/>
          <w:iCs/>
          <w:sz w:val="22"/>
          <w:szCs w:val="22"/>
        </w:rPr>
        <w:t xml:space="preserve">Summary: Infrastructure claims are well-supported. Revenue projections remain ungrounded. The DQ data provides the first real evidence of operational performance but has not yet been translated into financial metrics.</w:t>
      </w:r>
    </w:p>
    <w:p>
      <w:r>
        <w:br w:type="page"/>
      </w:r>
    </w:p>
    <w:p>
      <w:pPr>
        <w:pStyle w:val="Heading1"/>
      </w:pPr>
      <w:r>
        <w:rPr>
          <w:b/>
          <w:bCs/>
        </w:rPr>
        <w:t xml:space="preserve">PART 2: STRATEGIC PLANNING BRIEF</w:t>
      </w:r>
    </w:p>
    <w:p>
      <w:pPr>
        <w:pBdr>
          <w:bottom w:val="single" w:color="1B4F72" w:sz="4" w:space="1"/>
        </w:pBdr>
        <w:spacing w:after="200" w:before="200"/>
      </w:pPr>
    </w:p>
    <w:p>
      <w:pPr>
        <w:pStyle w:val="Heading2"/>
      </w:pPr>
      <w:r>
        <w:rPr>
          <w:b/>
          <w:bCs/>
        </w:rPr>
        <w:t xml:space="preserve">1. Strategic Issue</w:t>
      </w:r>
    </w:p>
    <w:p>
      <w:pPr>
        <w:spacing w:after="120"/>
      </w:pPr>
      <w:r>
        <w:rPr>
          <w:rFonts w:ascii="Arial" w:cs="Arial" w:eastAsia="Arial" w:hAnsi="Arial"/>
          <w:sz w:val="22"/>
          <w:szCs w:val="22"/>
        </w:rPr>
        <w:t xml:space="preserve">Kismet Finance Group has deployed an AI-powered business operating system that is generating real operational data — 3,594 leads tracked, 335 successful outcomes, 49 sales across 4 consultants in 6 weeks. However, the business faces three converging pressures: (1) rejection rates have nearly tripled to 44.6%, threatening the door-knock model's sustainability; (2) revenue is concentrated in a single closer (Josh has 100% of Sales); and (3) Phase 3 (the field operations automation layer) remains at 0% completion while personnel changes are imminent. The strategic question is: Where should Kismet concentrate its next 90 days of effort to convert real operational traction into sustainable revenue?</w:t>
      </w:r>
    </w:p>
    <w:p>
      <w:pPr>
        <w:pStyle w:val="Heading2"/>
      </w:pPr>
      <w:r>
        <w:rPr>
          <w:b/>
          <w:bCs/>
        </w:rPr>
        <w:t xml:space="preserve">2. Evidence and Constraints</w:t>
      </w:r>
    </w:p>
    <w:p>
      <w:pPr>
        <w:spacing w:after="100" w:before="200"/>
      </w:pPr>
      <w:r>
        <w:rPr>
          <w:rFonts w:ascii="Arial" w:cs="Arial" w:eastAsia="Arial" w:hAnsi="Arial"/>
          <w:b/>
          <w:bCs/>
          <w:sz w:val="24"/>
          <w:szCs w:val="24"/>
        </w:rPr>
        <w:t xml:space="preserve">Evidence</w:t>
      </w:r>
    </w:p>
    <w:p>
      <w:pPr>
        <w:pStyle w:val="ListParagraph"/>
        <w:numPr>
          <w:ilvl w:val="0"/>
          <w:numId w:val="2"/>
        </w:numPr>
        <w:spacing w:after="80"/>
      </w:pPr>
      <w:r>
        <w:rPr>
          <w:rFonts w:ascii="Arial" w:cs="Arial" w:eastAsia="Arial" w:hAnsi="Arial"/>
          <w:sz w:val="22"/>
          <w:szCs w:val="22"/>
        </w:rPr>
        <w:t xml:space="preserve">CRM system is live and generating daily data (170 rows, 11 n8n workflows, 6 Notion databases).</w:t>
      </w:r>
    </w:p>
    <w:p>
      <w:pPr>
        <w:pStyle w:val="ListParagraph"/>
        <w:numPr>
          <w:ilvl w:val="0"/>
          <w:numId w:val="2"/>
        </w:numPr>
        <w:spacing w:after="80"/>
      </w:pPr>
      <w:r>
        <w:rPr>
          <w:rFonts w:ascii="Arial" w:cs="Arial" w:eastAsia="Arial" w:hAnsi="Arial"/>
          <w:sz w:val="22"/>
          <w:szCs w:val="22"/>
        </w:rPr>
        <w:t xml:space="preserve">3,594 total leads processed; 9.3% conversion to Discovery/Sale; 37.8% rejection rate.</w:t>
      </w:r>
    </w:p>
    <w:p>
      <w:pPr>
        <w:pStyle w:val="ListParagraph"/>
        <w:numPr>
          <w:ilvl w:val="0"/>
          <w:numId w:val="2"/>
        </w:numPr>
        <w:spacing w:after="80"/>
      </w:pPr>
      <w:r>
        <w:rPr>
          <w:rFonts w:ascii="Arial" w:cs="Arial" w:eastAsia="Arial" w:hAnsi="Arial"/>
          <w:sz w:val="22"/>
          <w:szCs w:val="22"/>
        </w:rPr>
        <w:t xml:space="preserve">Josh is the only consultant with Sales (49). DJ is growing rapidly but has 0 Sales. Shane converts at 2x Josh's rate but on 1/8th the volume.</w:t>
      </w:r>
    </w:p>
    <w:p>
      <w:pPr>
        <w:pStyle w:val="ListParagraph"/>
        <w:numPr>
          <w:ilvl w:val="0"/>
          <w:numId w:val="2"/>
        </w:numPr>
        <w:spacing w:after="80"/>
      </w:pPr>
      <w:r>
        <w:rPr>
          <w:rFonts w:ascii="Arial" w:cs="Arial" w:eastAsia="Arial" w:hAnsi="Arial"/>
          <w:sz w:val="22"/>
          <w:szCs w:val="22"/>
        </w:rPr>
        <w:t xml:space="preserve">Total investment to date: $5,169 setup + $275/month = defensible cost base.</w:t>
      </w:r>
    </w:p>
    <w:p>
      <w:pPr>
        <w:pStyle w:val="ListParagraph"/>
        <w:numPr>
          <w:ilvl w:val="0"/>
          <w:numId w:val="2"/>
        </w:numPr>
        <w:spacing w:after="80"/>
      </w:pPr>
      <w:r>
        <w:rPr>
          <w:rFonts w:ascii="Arial" w:cs="Arial" w:eastAsia="Arial" w:hAnsi="Arial"/>
          <w:sz w:val="22"/>
          <w:szCs w:val="22"/>
        </w:rPr>
        <w:t xml:space="preserve">LCF grant opportunity: up to $50k at 50% co-contribution (next round TBD).</w:t>
      </w:r>
    </w:p>
    <w:p>
      <w:pPr>
        <w:pStyle w:val="ListParagraph"/>
        <w:numPr>
          <w:ilvl w:val="0"/>
          <w:numId w:val="2"/>
        </w:numPr>
        <w:spacing w:after="80"/>
      </w:pPr>
      <w:r>
        <w:rPr>
          <w:rFonts w:ascii="Arial" w:cs="Arial" w:eastAsia="Arial" w:hAnsi="Arial"/>
          <w:sz w:val="22"/>
          <w:szCs w:val="22"/>
        </w:rPr>
        <w:t xml:space="preserve">Service catalogue and grant-ready documentation prepared (Layer 3 Synthesis).</w:t>
      </w:r>
    </w:p>
    <w:p>
      <w:pPr>
        <w:spacing w:after="100" w:before="200"/>
      </w:pPr>
      <w:r>
        <w:rPr>
          <w:rFonts w:ascii="Arial" w:cs="Arial" w:eastAsia="Arial" w:hAnsi="Arial"/>
          <w:b/>
          <w:bCs/>
          <w:sz w:val="24"/>
          <w:szCs w:val="24"/>
        </w:rPr>
        <w:t xml:space="preserve">Constraints</w:t>
      </w:r>
    </w:p>
    <w:p>
      <w:pPr>
        <w:pStyle w:val="ListParagraph"/>
        <w:numPr>
          <w:ilvl w:val="0"/>
          <w:numId w:val="2"/>
        </w:numPr>
        <w:spacing w:after="80"/>
      </w:pPr>
      <w:r>
        <w:rPr>
          <w:rFonts w:ascii="Arial" w:cs="Arial" w:eastAsia="Arial" w:hAnsi="Arial"/>
          <w:sz w:val="22"/>
          <w:szCs w:val="22"/>
        </w:rPr>
        <w:t xml:space="preserve">Financial templates completely empty — operational data not translated to revenue accounting.</w:t>
      </w:r>
    </w:p>
    <w:p>
      <w:pPr>
        <w:pStyle w:val="ListParagraph"/>
        <w:numPr>
          <w:ilvl w:val="0"/>
          <w:numId w:val="2"/>
        </w:numPr>
        <w:spacing w:after="80"/>
      </w:pPr>
      <w:r>
        <w:rPr>
          <w:rFonts w:ascii="Arial" w:cs="Arial" w:eastAsia="Arial" w:hAnsi="Arial"/>
          <w:sz w:val="22"/>
          <w:szCs w:val="22"/>
        </w:rPr>
        <w:t xml:space="preserve">Lea departing — 28 leads frozen, no reallocation plan.</w:t>
      </w:r>
    </w:p>
    <w:p>
      <w:pPr>
        <w:pStyle w:val="ListParagraph"/>
        <w:numPr>
          <w:ilvl w:val="0"/>
          <w:numId w:val="2"/>
        </w:numPr>
        <w:spacing w:after="80"/>
      </w:pPr>
      <w:r>
        <w:rPr>
          <w:rFonts w:ascii="Arial" w:cs="Arial" w:eastAsia="Arial" w:hAnsi="Arial"/>
          <w:sz w:val="22"/>
          <w:szCs w:val="22"/>
        </w:rPr>
        <w:t xml:space="preserve">Phase 3 at 0% — 50+ tasks including territory management, DocuSign, Vertex AI, mobile field forms.</w:t>
      </w:r>
    </w:p>
    <w:p>
      <w:pPr>
        <w:pStyle w:val="ListParagraph"/>
        <w:numPr>
          <w:ilvl w:val="0"/>
          <w:numId w:val="2"/>
        </w:numPr>
        <w:spacing w:after="80"/>
      </w:pPr>
      <w:r>
        <w:rPr>
          <w:rFonts w:ascii="Arial" w:cs="Arial" w:eastAsia="Arial" w:hAnsi="Arial"/>
          <w:sz w:val="22"/>
          <w:szCs w:val="22"/>
        </w:rPr>
        <w:t xml:space="preserve">Phase 1 end date (Jan 2026) passed with AI Foundation tasks still open (GCP, Vertex AI).</w:t>
      </w:r>
    </w:p>
    <w:p>
      <w:pPr>
        <w:pStyle w:val="ListParagraph"/>
        <w:numPr>
          <w:ilvl w:val="0"/>
          <w:numId w:val="2"/>
        </w:numPr>
        <w:spacing w:after="80"/>
      </w:pPr>
      <w:r>
        <w:rPr>
          <w:rFonts w:ascii="Arial" w:cs="Arial" w:eastAsia="Arial" w:hAnsi="Arial"/>
          <w:sz w:val="22"/>
          <w:szCs w:val="22"/>
        </w:rPr>
        <w:t xml:space="preserve">Rejection rate accelerating — if door-knock yields continue declining, acquisition cost per lead rises unsustainably.</w:t>
      </w:r>
    </w:p>
    <w:p>
      <w:pPr>
        <w:pStyle w:val="ListParagraph"/>
        <w:numPr>
          <w:ilvl w:val="0"/>
          <w:numId w:val="2"/>
        </w:numPr>
        <w:spacing w:after="80"/>
      </w:pPr>
      <w:r>
        <w:rPr>
          <w:rFonts w:ascii="Arial" w:cs="Arial" w:eastAsia="Arial" w:hAnsi="Arial"/>
          <w:sz w:val="22"/>
          <w:szCs w:val="22"/>
        </w:rPr>
        <w:t xml:space="preserve">Single-closer risk — Josh handles 100% of Sales.</w:t>
      </w:r>
    </w:p>
    <w:p>
      <w:pPr>
        <w:pStyle w:val="Heading2"/>
      </w:pPr>
      <w:r>
        <w:rPr>
          <w:b/>
          <w:bCs/>
        </w:rPr>
        <w:t xml:space="preserve">3. Strategic Options</w:t>
      </w:r>
    </w:p>
    <w:p>
      <w:pPr>
        <w:spacing w:after="100" w:before="200"/>
      </w:pPr>
      <w:r>
        <w:rPr>
          <w:rFonts w:ascii="Arial" w:cs="Arial" w:eastAsia="Arial" w:hAnsi="Arial"/>
          <w:b/>
          <w:bCs/>
          <w:sz w:val="24"/>
          <w:szCs w:val="24"/>
        </w:rPr>
        <w:t xml:space="preserve">Option A: Close the Revenue Gap</w:t>
      </w:r>
    </w:p>
    <w:p>
      <w:pPr>
        <w:spacing w:after="120"/>
      </w:pPr>
      <w:r>
        <w:rPr>
          <w:rFonts w:ascii="Arial" w:cs="Arial" w:eastAsia="Arial" w:hAnsi="Arial"/>
          <w:sz w:val="22"/>
          <w:szCs w:val="22"/>
        </w:rPr>
        <w:t xml:space="preserve">Focus the next 90 days on three actions: (1) Train DJ to close — he has the pipeline (58 leads) and the coaching relationship with Josh; (2) Redistribute Lea's 28 leads before they decay; (3) Populate financial templates with actual revenue from Josh's 49 Sales to build a real P&amp;L. This is the highest-urgency option because it addresses the immediate revenue concentration risk and data gap.</w:t>
      </w:r>
    </w:p>
    <w:p>
      <w:pPr>
        <w:spacing w:after="100" w:before="200"/>
      </w:pPr>
      <w:r>
        <w:rPr>
          <w:rFonts w:ascii="Arial" w:cs="Arial" w:eastAsia="Arial" w:hAnsi="Arial"/>
          <w:b/>
          <w:bCs/>
          <w:sz w:val="24"/>
          <w:szCs w:val="24"/>
        </w:rPr>
        <w:t xml:space="preserve">Option B: Fix the Funnel</w:t>
      </w:r>
    </w:p>
    <w:p>
      <w:pPr>
        <w:spacing w:after="120"/>
      </w:pPr>
      <w:r>
        <w:rPr>
          <w:rFonts w:ascii="Arial" w:cs="Arial" w:eastAsia="Arial" w:hAnsi="Arial"/>
          <w:sz w:val="22"/>
          <w:szCs w:val="22"/>
        </w:rPr>
        <w:t xml:space="preserve">Attack the rising rejection rate. Analyze the DQ data to identify which suburbs, days, and lead sources produce the highest rejection. Deploy the voice agent and website bot as alternative top-of-funnel channels. Prioritize Phase 3 tasks that directly reduce rejection: territory management system, mobile field forms, Ghost Detector logic. Timeline: 6–8 weeks. This addresses the structural sustainability risk.</w:t>
      </w:r>
    </w:p>
    <w:p>
      <w:pPr>
        <w:spacing w:after="100" w:before="200"/>
      </w:pPr>
      <w:r>
        <w:rPr>
          <w:rFonts w:ascii="Arial" w:cs="Arial" w:eastAsia="Arial" w:hAnsi="Arial"/>
          <w:b/>
          <w:bCs/>
          <w:sz w:val="24"/>
          <w:szCs w:val="24"/>
        </w:rPr>
        <w:t xml:space="preserve">Option C: Grant-Funded Acceleration</w:t>
      </w:r>
    </w:p>
    <w:p>
      <w:pPr>
        <w:spacing w:after="120"/>
      </w:pPr>
      <w:r>
        <w:rPr>
          <w:rFonts w:ascii="Arial" w:cs="Arial" w:eastAsia="Arial" w:hAnsi="Arial"/>
          <w:sz w:val="22"/>
          <w:szCs w:val="22"/>
        </w:rPr>
        <w:t xml:space="preserve">Use the real DQ data as baseline KPIs for a LCF grant application ($25k–$50k at 50% match). The 3,594 leads, 9.3% conversion rate, and $275/month operating cost create a compelling before-state. Phase 3 becomes the funded after-state. Timeline: 8–10 weeks prep + 12–18 month delivery. Risk: grant timing uncertain.</w:t>
      </w:r>
    </w:p>
    <w:p>
      <w:pPr>
        <w:spacing w:after="100" w:before="200"/>
      </w:pPr>
      <w:r>
        <w:rPr>
          <w:rFonts w:ascii="Arial" w:cs="Arial" w:eastAsia="Arial" w:hAnsi="Arial"/>
          <w:b/>
          <w:bCs/>
          <w:sz w:val="24"/>
          <w:szCs w:val="24"/>
        </w:rPr>
        <w:t xml:space="preserve">Option D: Resale-First Revenue</w:t>
      </w:r>
    </w:p>
    <w:p>
      <w:pPr>
        <w:spacing w:after="120"/>
      </w:pPr>
      <w:r>
        <w:rPr>
          <w:rFonts w:ascii="Arial" w:cs="Arial" w:eastAsia="Arial" w:hAnsi="Arial"/>
          <w:sz w:val="22"/>
          <w:szCs w:val="22"/>
        </w:rPr>
        <w:t xml:space="preserve">Shift focus to selling voice agent capabilities to named partners (Stuart, property developers, brokers) while internal operations continue. Generate external revenue from proven technology. Timeline: outreach starts immediately; first resale 4–8 weeks. Risk: support burden on a system not yet fully stress-tested internally.</w:t>
      </w:r>
    </w:p>
    <w:p>
      <w:pPr>
        <w:pStyle w:val="Heading2"/>
      </w:pPr>
      <w:r>
        <w:rPr>
          <w:b/>
          <w:bCs/>
        </w:rPr>
        <w:t xml:space="preserve">4. Recommended Path</w:t>
      </w:r>
    </w:p>
    <w:p>
      <w:pPr>
        <w:spacing w:after="120"/>
      </w:pPr>
      <w:r>
        <w:rPr>
          <w:rFonts w:ascii="Arial" w:cs="Arial" w:eastAsia="Arial" w:hAnsi="Arial"/>
          <w:b/>
          <w:bCs/>
          <w:sz w:val="24"/>
          <w:szCs w:val="24"/>
        </w:rPr>
        <w:t xml:space="preserve">Option A + B (hybrid): Close the Revenue Gap AND Fix the Funnel simultaneously.</w:t>
      </w:r>
    </w:p>
    <w:p>
      <w:pPr>
        <w:pStyle w:val="Heading2"/>
      </w:pPr>
      <w:r>
        <w:rPr>
          <w:b/>
          <w:bCs/>
        </w:rPr>
        <w:t xml:space="preserve">5. Rationale</w:t>
      </w:r>
    </w:p>
    <w:p>
      <w:pPr>
        <w:spacing w:after="120"/>
      </w:pPr>
      <w:r>
        <w:rPr>
          <w:rFonts w:ascii="Arial" w:cs="Arial" w:eastAsia="Arial" w:hAnsi="Arial"/>
          <w:sz w:val="22"/>
          <w:szCs w:val="22"/>
        </w:rPr>
        <w:t xml:space="preserve">The DQ data reveals that Kismet has real traction (3,594 leads, 49 Sales) but faces two urgent threats: single-closer risk (Josh = 100% of revenue) and accelerating rejection (15% to 44% in 6 weeks). Both must be addressed in the next 90 days before they become crises. Training DJ to close (Option A) is the single highest-leverage action — he already has the pipeline, the coaching relationship, and demonstrated responsiveness. Redistributing Lea's leads is a 1-day administrative task with immediate value preservation. Populating financial templates converts existing operational data into the business case needed for grant applications (Option C) and investor conversations. Meanwhile, analyzing the rejection trend data (Option B) to identify territory exhaustion and deploying the voice agent as an alternative channel addresses the structural risk to the door-knock model. These are not competing priorities — they reinforce each other, and all can be executed within the existing $275/month cost base.</w:t>
      </w:r>
    </w:p>
    <w:p>
      <w:r>
        <w:br w:type="page"/>
      </w:r>
    </w:p>
    <w:p>
      <w:pPr>
        <w:pStyle w:val="Heading1"/>
      </w:pPr>
      <w:r>
        <w:rPr>
          <w:b/>
          <w:bCs/>
        </w:rPr>
        <w:t xml:space="preserve">PART 3: RECOMMENDATION MEMO</w:t>
      </w:r>
    </w:p>
    <w:p>
      <w:pPr>
        <w:pBdr>
          <w:bottom w:val="single" w:color="1B4F72" w:sz="4" w:space="1"/>
        </w:pBdr>
        <w:spacing w:after="200" w:before="200"/>
      </w:pPr>
    </w:p>
    <w:p>
      <w:pPr>
        <w:spacing w:after="100"/>
      </w:pPr>
      <w:r>
        <w:rPr>
          <w:rFonts w:ascii="Arial" w:cs="Arial" w:eastAsia="Arial" w:hAnsi="Arial"/>
          <w:b/>
          <w:bCs/>
          <w:sz w:val="22"/>
          <w:szCs w:val="22"/>
        </w:rPr>
        <w:t xml:space="preserve">TO: </w:t>
      </w:r>
      <w:r>
        <w:rPr>
          <w:rFonts w:ascii="Arial" w:cs="Arial" w:eastAsia="Arial" w:hAnsi="Arial"/>
          <w:sz w:val="22"/>
          <w:szCs w:val="22"/>
        </w:rPr>
        <w:t xml:space="preserve">Shane Hewson, Kismet Finance Group</w:t>
      </w:r>
    </w:p>
    <w:p>
      <w:pPr>
        <w:spacing w:after="100"/>
      </w:pPr>
      <w:r>
        <w:rPr>
          <w:rFonts w:ascii="Arial" w:cs="Arial" w:eastAsia="Arial" w:hAnsi="Arial"/>
          <w:b/>
          <w:bCs/>
          <w:sz w:val="22"/>
          <w:szCs w:val="22"/>
        </w:rPr>
        <w:t xml:space="preserve">FROM: </w:t>
      </w:r>
      <w:r>
        <w:rPr>
          <w:rFonts w:ascii="Arial" w:cs="Arial" w:eastAsia="Arial" w:hAnsi="Arial"/>
          <w:sz w:val="22"/>
          <w:szCs w:val="22"/>
        </w:rPr>
        <w:t xml:space="preserve">Kevin PL Tan, Good AI Australia</w:t>
      </w:r>
    </w:p>
    <w:p>
      <w:pPr>
        <w:spacing w:after="100"/>
      </w:pPr>
      <w:r>
        <w:rPr>
          <w:rFonts w:ascii="Arial" w:cs="Arial" w:eastAsia="Arial" w:hAnsi="Arial"/>
          <w:b/>
          <w:bCs/>
          <w:sz w:val="22"/>
          <w:szCs w:val="22"/>
        </w:rPr>
        <w:t xml:space="preserve">DATE: </w:t>
      </w:r>
      <w:r>
        <w:rPr>
          <w:rFonts w:ascii="Arial" w:cs="Arial" w:eastAsia="Arial" w:hAnsi="Arial"/>
          <w:sz w:val="22"/>
          <w:szCs w:val="22"/>
        </w:rPr>
        <w:t xml:space="preserve">April 7, 2026</w:t>
      </w:r>
    </w:p>
    <w:p>
      <w:pPr>
        <w:spacing w:after="100"/>
      </w:pPr>
      <w:r>
        <w:rPr>
          <w:rFonts w:ascii="Arial" w:cs="Arial" w:eastAsia="Arial" w:hAnsi="Arial"/>
          <w:b/>
          <w:bCs/>
          <w:sz w:val="22"/>
          <w:szCs w:val="22"/>
        </w:rPr>
        <w:t xml:space="preserve">RE: </w:t>
      </w:r>
      <w:r>
        <w:rPr>
          <w:rFonts w:ascii="Arial" w:cs="Arial" w:eastAsia="Arial" w:hAnsi="Arial"/>
          <w:sz w:val="22"/>
          <w:szCs w:val="22"/>
        </w:rPr>
        <w:t xml:space="preserve">Critical Actions for the Next 90 Days</w:t>
      </w:r>
    </w:p>
    <w:p>
      <w:pPr>
        <w:pBdr>
          <w:bottom w:val="single" w:color="1B4F72" w:sz="4" w:space="1"/>
        </w:pBdr>
        <w:spacing w:after="200" w:before="200"/>
      </w:pPr>
    </w:p>
    <w:p>
      <w:pPr>
        <w:pStyle w:val="Heading2"/>
      </w:pPr>
      <w:r>
        <w:rPr>
          <w:b/>
          <w:bCs/>
        </w:rPr>
        <w:t xml:space="preserve">1. Issue</w:t>
      </w:r>
    </w:p>
    <w:p>
      <w:pPr>
        <w:spacing w:after="120"/>
      </w:pPr>
      <w:r>
        <w:rPr>
          <w:rFonts w:ascii="Arial" w:cs="Arial" w:eastAsia="Arial" w:hAnsi="Arial"/>
          <w:sz w:val="22"/>
          <w:szCs w:val="22"/>
        </w:rPr>
        <w:t xml:space="preserve">Kismet's CRM system has tracked 3,594 leads and 49 sales in its first 6 weeks of operation — proving the technology works. However, three risks require immediate action: Josh accounts for 100% of all Sales; rejection rates have tripled from 15% to 44%; and Lea's departure will leave 28 leads unmanaged. A decision is needed on how to allocate the team's effort over the next 90 days to convert operational traction into sustainable revenue.</w:t>
      </w:r>
    </w:p>
    <w:p>
      <w:pPr>
        <w:pStyle w:val="Heading2"/>
      </w:pPr>
      <w:r>
        <w:rPr>
          <w:b/>
          <w:bCs/>
        </w:rPr>
        <w:t xml:space="preserve">2. Key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Field Performance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3,594 leads tracked; 335 successful outcomes; 49 Sales (all Josh)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Conversion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9.3% overall; Shane at 19.5% (highest); Lea at 5.6% (lowest)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Rejection Trend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Tripled from 15.2% to 44.6% in 6 weeks; still at 39.4%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DJ Trajectory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grew 35% in 2 weeks (43 to 58); Discovery-to-FA conversion confirmed; 0 Sales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Lea Exit Risk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28 leads frozen for 15 days; no reallocation plan in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System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n8n workflows active; 6 Notion databases; voice agent live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Financial Data</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 CSV templates blank; no P&amp;L, cash flow, or revenue accounting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Progress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of 50+ tasks (field ops, AI deployment, territory management)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Cost Structure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$275/month recurring — sustainable operational floor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Grant Opportunity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LCF: up to $50k at 50% match; DQ data provides baseline KPIs</w:t>
            </w:r>
          </w:p>
        </w:tc>
      </w:tr>
    </w:tbl>
    <w:p>
      <w:pPr>
        <w:pStyle w:val="Heading2"/>
      </w:pPr>
      <w:r>
        <w:rPr>
          <w:b/>
          <w:bCs/>
        </w:rPr>
        <w:t xml:space="preserve">3. Recommendation</w:t>
      </w:r>
    </w:p>
    <w:p>
      <w:pPr>
        <w:spacing w:after="120"/>
      </w:pPr>
      <w:r>
        <w:rPr>
          <w:rFonts w:ascii="Arial" w:cs="Arial" w:eastAsia="Arial" w:hAnsi="Arial"/>
          <w:b/>
          <w:bCs/>
          <w:sz w:val="22"/>
          <w:szCs w:val="22"/>
        </w:rPr>
        <w:t xml:space="preserve">Execute a 90-day Revenue &amp; Resilience sprint across four parallel tracks:</w:t>
      </w:r>
    </w:p>
    <w:p>
      <w:pPr>
        <w:pStyle w:val="ListParagraph"/>
        <w:numPr>
          <w:ilvl w:val="0"/>
          <w:numId w:val="3"/>
        </w:numPr>
        <w:spacing w:after="80"/>
      </w:pPr>
      <w:r>
        <w:rPr>
          <w:rFonts w:ascii="Arial" w:cs="Arial" w:eastAsia="Arial" w:hAnsi="Arial"/>
          <w:sz w:val="22"/>
          <w:szCs w:val="22"/>
        </w:rPr>
        <w:t xml:space="preserve">WEEK 1 (Immediate): Redistribute Lea's 28 leads to DJ and Shane based on territory. This is a 1-day task that preserves ~$840 in pipeline value. Simultaneously, begin populating financial templates with actual data from Josh's 49 Sales.</w:t>
      </w:r>
    </w:p>
    <w:p>
      <w:pPr>
        <w:pStyle w:val="ListParagraph"/>
        <w:numPr>
          <w:ilvl w:val="0"/>
          <w:numId w:val="3"/>
        </w:numPr>
        <w:spacing w:after="80"/>
      </w:pPr>
      <w:r>
        <w:rPr>
          <w:rFonts w:ascii="Arial" w:cs="Arial" w:eastAsia="Arial" w:hAnsi="Arial"/>
          <w:sz w:val="22"/>
          <w:szCs w:val="22"/>
        </w:rPr>
        <w:t xml:space="preserve">WEEKS 2–4 (Revenue): Pair DJ with Josh for 3 dedicated closing sessions. DJ has the pipeline (58 leads, 20 warm) and the coaching relationship. Target: DJ's first Sale by Week 4. If DJ converts at even half Josh's rate, that's 5–10 additional Sales per month.</w:t>
      </w:r>
    </w:p>
    <w:p>
      <w:pPr>
        <w:pStyle w:val="ListParagraph"/>
        <w:numPr>
          <w:ilvl w:val="0"/>
          <w:numId w:val="3"/>
        </w:numPr>
        <w:spacing w:after="80"/>
      </w:pPr>
      <w:r>
        <w:rPr>
          <w:rFonts w:ascii="Arial" w:cs="Arial" w:eastAsia="Arial" w:hAnsi="Arial"/>
          <w:sz w:val="22"/>
          <w:szCs w:val="22"/>
        </w:rPr>
        <w:t xml:space="preserve">WEEKS 3–6 (Funnel): Analyze the DQ rejection data to identify territory exhaustion patterns. Begin 3 highest-impact Phase 3 tasks: territory management system, mobile field forms, Ghost Detector logic. These directly attack the 44% rejection rate.</w:t>
      </w:r>
    </w:p>
    <w:p>
      <w:pPr>
        <w:pStyle w:val="ListParagraph"/>
        <w:numPr>
          <w:ilvl w:val="0"/>
          <w:numId w:val="3"/>
        </w:numPr>
        <w:spacing w:after="80"/>
      </w:pPr>
      <w:r>
        <w:rPr>
          <w:rFonts w:ascii="Arial" w:cs="Arial" w:eastAsia="Arial" w:hAnsi="Arial"/>
          <w:sz w:val="22"/>
          <w:szCs w:val="22"/>
        </w:rPr>
        <w:t xml:space="preserve">WEEKS 6–12 (Scale): With 2–3 months of financial data populated, begin LCF grant application. Use the DQ baseline (9.3% conversion, 37.8% rejection) as the before-state. Phase 3 completion becomes the funded after-state. Parallel track: approach Stuart for a pilot voice agent resale.</w:t>
      </w:r>
    </w:p>
    <w:p>
      <w:pPr>
        <w:pStyle w:val="Heading2"/>
      </w:pPr>
      <w:r>
        <w:rPr>
          <w:b/>
          <w:bCs/>
        </w:rPr>
        <w:t xml:space="preserve">4. Implementation Implications</w:t>
      </w:r>
    </w:p>
    <w:p>
      <w:pPr>
        <w:spacing w:after="120"/>
      </w:pPr>
      <w:r>
        <w:rPr>
          <w:rFonts w:ascii="Arial" w:cs="Arial" w:eastAsia="Arial" w:hAnsi="Arial"/>
          <w:sz w:val="22"/>
          <w:szCs w:val="22"/>
        </w:rPr>
        <w:t xml:space="preserve">This plan requires no additional capital. Kevin's time shifts from new feature development to data instrumentation (financial templates, Looker Studio dashboards) and selective Phase 3 delivery. Shane and Josh allocate 2–3 hours/week to DJ coaching. The grant application (8–10 weeks prep) produces a structured project plan that doubles as the Phase 3 execution roadmap. The most critical resource is Josh's time — he is simultaneously the lead closer, the team coach, and the daily analyst. His bandwidth is the binding constraint.</w:t>
      </w:r>
    </w:p>
    <w:p>
      <w:pPr>
        <w:pStyle w:val="Heading2"/>
      </w:pPr>
      <w:r>
        <w:rPr>
          <w:b/>
          <w:bCs/>
        </w:rPr>
        <w:t xml:space="preserve">5. Risks and Cautions</w:t>
      </w:r>
    </w:p>
    <w:p>
      <w:pPr>
        <w:pStyle w:val="ListParagraph"/>
        <w:numPr>
          <w:ilvl w:val="0"/>
          <w:numId w:val="2"/>
        </w:numPr>
        <w:spacing w:after="80"/>
      </w:pPr>
      <w:r>
        <w:rPr>
          <w:rFonts w:ascii="Arial" w:cs="Arial" w:eastAsia="Arial" w:hAnsi="Arial"/>
          <w:sz w:val="22"/>
          <w:szCs w:val="22"/>
        </w:rPr>
        <w:t xml:space="preserve">Single-closer risk remains until DJ converts: If DJ doesn't close by Week 4, consider reassigning some of Josh's warm leads to Shane (highest conversion rate) as a hedge.</w:t>
      </w:r>
    </w:p>
    <w:p>
      <w:pPr>
        <w:pStyle w:val="ListParagraph"/>
        <w:numPr>
          <w:ilvl w:val="0"/>
          <w:numId w:val="2"/>
        </w:numPr>
        <w:spacing w:after="80"/>
      </w:pPr>
      <w:r>
        <w:rPr>
          <w:rFonts w:ascii="Arial" w:cs="Arial" w:eastAsia="Arial" w:hAnsi="Arial"/>
          <w:sz w:val="22"/>
          <w:szCs w:val="22"/>
        </w:rPr>
        <w:t xml:space="preserve">Rejection trend may be structural: If territory exhaustion is the root cause, no amount of coaching fixes it. The voice agent and website bot become the critical alternative channel.</w:t>
      </w:r>
    </w:p>
    <w:p>
      <w:pPr>
        <w:pStyle w:val="ListParagraph"/>
        <w:numPr>
          <w:ilvl w:val="0"/>
          <w:numId w:val="2"/>
        </w:numPr>
        <w:spacing w:after="80"/>
      </w:pPr>
      <w:r>
        <w:rPr>
          <w:rFonts w:ascii="Arial" w:cs="Arial" w:eastAsia="Arial" w:hAnsi="Arial"/>
          <w:sz w:val="22"/>
          <w:szCs w:val="22"/>
        </w:rPr>
        <w:t xml:space="preserve">Grant timing uncertain: LCF Round 2 may not open until H2 2026. Phase 3 execution should not be gated on grant approval — start the highest-impact tasks regardless.</w:t>
      </w:r>
    </w:p>
    <w:p>
      <w:pPr>
        <w:pStyle w:val="ListParagraph"/>
        <w:numPr>
          <w:ilvl w:val="0"/>
          <w:numId w:val="2"/>
        </w:numPr>
        <w:spacing w:after="80"/>
      </w:pPr>
      <w:r>
        <w:rPr>
          <w:rFonts w:ascii="Arial" w:cs="Arial" w:eastAsia="Arial" w:hAnsi="Arial"/>
          <w:sz w:val="22"/>
          <w:szCs w:val="22"/>
        </w:rPr>
        <w:t xml:space="preserve">Financial data discipline required: If the team doesn't consistently populate revenue and cost data, the grant application will be weak and the business case will remain unverifiable.</w:t>
      </w:r>
    </w:p>
    <w:p>
      <w:pPr>
        <w:pStyle w:val="ListParagraph"/>
        <w:numPr>
          <w:ilvl w:val="0"/>
          <w:numId w:val="2"/>
        </w:numPr>
        <w:spacing w:after="80"/>
      </w:pPr>
      <w:r>
        <w:rPr>
          <w:rFonts w:ascii="Arial" w:cs="Arial" w:eastAsia="Arial" w:hAnsi="Arial"/>
          <w:sz w:val="22"/>
          <w:szCs w:val="22"/>
        </w:rPr>
        <w:t xml:space="preserve">Lea transition is time-sensitive: Every day her leads sit unmanaged, they cool further. This is a Day 1 action item, not a Week 2 task.</w:t>
      </w:r>
    </w:p>
    <w:p>
      <w:pPr>
        <w:pBdr>
          <w:bottom w:val="single" w:color="1B4F72" w:sz="4" w:space="1"/>
        </w:pBdr>
        <w:spacing w:after="200" w:before="200"/>
      </w:pPr>
    </w:p>
    <w:p>
      <w:pPr>
        <w:spacing w:after="120"/>
      </w:pPr>
      <w:r>
        <w:rPr>
          <w:rFonts w:ascii="Arial" w:cs="Arial" w:eastAsia="Arial" w:hAnsi="Arial"/>
          <w:i/>
          <w:iCs/>
          <w:color w:val="777777"/>
          <w:sz w:val="18"/>
          <w:szCs w:val="18"/>
        </w:rPr>
        <w:t xml:space="preserve">This analysis is grounded in 21 source documents including the DQ Status Tally (170 rows, Feb 20 – Apr 2, 2026), 6 Gemini Export files, the Delivery Summary, Invoice, Phase 1–3 documentation, SYSTEMS overview, Kismet knowledge base files, Layer 3 Synthesis, and financial templates. All quantitative claims are traceable to specific sources. Market value estimates ($27,380) are self-assessed and not independently benchmarked.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Good AI Australia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KISMET FINANCE GROUP  |  Strategic Analysis  |  April 2026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2026-04-07T05:15:58.266Z</dcterms:created>
  <dcterms:modified xsi:type="dcterms:W3CDTF">2026-04-07T05:15:58.267Z</dcterms:modified>
</cp:coreProperties>
</file>

<file path=docProps/custom.xml><?xml version="1.0" encoding="utf-8"?>
<Properties xmlns="http://schemas.openxmlformats.org/officeDocument/2006/custom-properties" xmlns:vt="http://schemas.openxmlformats.org/officeDocument/2006/docPropsVTypes"/>
</file>