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Deep Research Validation and Partnership Blueprint for Kismet Finance Group's Low-Code Operational Stack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Executive Summary: Findings, Strategic Risks, and Core Recommendations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assessment confirms that the proposed low-code technical stack—comprising </w:t>
      </w:r>
      <w:r w:rsidDel="00000000" w:rsidR="00000000" w:rsidRPr="00000000">
        <w:rPr>
          <w:rFonts w:ascii="Google Sans Text" w:cs="Google Sans Text" w:eastAsia="Google Sans Text" w:hAnsi="Google Sans Text"/>
          <w:b w:val="1"/>
          <w:bCs w:val="1"/>
          <w:rtl w:val="0"/>
        </w:rPr>
        <w:t xml:space="preserve">Airtable, Google Workspace, and an advanced Integrator (Make.com)</w:t>
      </w:r>
      <w:r w:rsidDel="00000000" w:rsidR="00000000" w:rsidRPr="00000000">
        <w:rPr>
          <w:rFonts w:ascii="Google Sans Text" w:cs="Google Sans Text" w:eastAsia="Google Sans Text" w:hAnsi="Google Sans Text"/>
          <w:rtl w:val="0"/>
        </w:rPr>
        <w:t xml:space="preserve">—is a fundamentally viable foundation for Kismet Finance Group (KFG) to achieve rapid operational agility and market speed.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architecture is well-suited for a growing enterprise prioritizing fast iteration and customized workflow management, allowing KFG to bypass the lengthy, high-capital implementation phases associated with monolithic enterprise CRM systems.</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However, viability is strictly conditional upon proactive architectural decisions and the securing of expert governance talent.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Strategic Thesis: Justification for the Low-Code Approach and Long-Term Value Proposition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Low-code platforms enable rapid development cycles, reducing the reliance on a large, expensive team of professional developers and allowing business teams to build and test products with greater speed.</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Companies adopting this model often achieve a 90% faster deployment rate and up to 75% lower Total Cost of Ownership (TCO) in early stages compared to traditional code-first CRMs.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This efficiency is particularly critical in the highly competitive financial sector where maximizing business value for every dollar spent is paramount.</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strategic finding of this validation is that while Airtable provides an exceptional flexible data layer and front-end interface, it cannot function as the long-term, unified Database of Record (DoR) for a financial entity expecting significant growth.</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successful deployment of this stack hinges on mitigating inherent architectural scaling limitations through specialized custom scripting and continuous governance. This dependency on highly specific technical expertise forms the basis of the necessary strategic partnership with Kevin Tan.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High-Level Technical Risk Assessment: Scaling, Compliance, and Reliability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detailed review identified three primary risks that must be addressed immediately to ensure the stack’s long-term stability and regulatory adherence: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Risk 1: Architectural Scaling Choke Point.</w:t>
      </w:r>
      <w:r w:rsidDel="00000000" w:rsidR="00000000" w:rsidRPr="00000000">
        <w:rPr>
          <w:rFonts w:ascii="Google Sans Text" w:cs="Google Sans Text" w:eastAsia="Google Sans Text" w:hAnsi="Google Sans Text"/>
          <w:rtl w:val="0"/>
        </w:rPr>
        <w:t xml:space="preserve"> Airtable’s Enterprise record limit of 500,000 records per base poses an unacceptable threat to data integrity and performance at scale.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If KFG grows into a mid-market enterprise, tracking millions of transactions, customer interactions, and historical data points, the system will encounter performance drops, slow API calls, and instability.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architecture must immediately pivot to treat Airtable as a flexible </w:t>
      </w:r>
      <w:r w:rsidDel="00000000" w:rsidR="00000000" w:rsidRPr="00000000">
        <w:rPr>
          <w:rFonts w:ascii="Google Sans Text" w:cs="Google Sans Text" w:eastAsia="Google Sans Text" w:hAnsi="Google Sans Text"/>
          <w:b w:val="1"/>
          <w:bCs w:val="1"/>
          <w:rtl w:val="0"/>
        </w:rPr>
        <w:t xml:space="preserve">Workflow Layer/Interface</w:t>
      </w:r>
      <w:r w:rsidDel="00000000" w:rsidR="00000000" w:rsidRPr="00000000">
        <w:rPr>
          <w:rFonts w:ascii="Google Sans Text" w:cs="Google Sans Text" w:eastAsia="Google Sans Text" w:hAnsi="Google Sans Text"/>
          <w:rtl w:val="0"/>
        </w:rPr>
        <w:t xml:space="preserve"> for active records, with the bulk of historical and high-volume data archived or externalized.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Risk 2: Governance and Compliance Dependency.</w:t>
      </w:r>
      <w:r w:rsidDel="00000000" w:rsidR="00000000" w:rsidRPr="00000000">
        <w:rPr>
          <w:rFonts w:ascii="Google Sans Text" w:cs="Google Sans Text" w:eastAsia="Google Sans Text" w:hAnsi="Google Sans Text"/>
          <w:rtl w:val="0"/>
        </w:rPr>
        <w:t xml:space="preserve"> For a financial services group, governance features such as Audit logs, Data Loss Prevention (DLP), and SAML-based Single Sign-On (SSO) are non-negotiable regulatory mandates, not optional features.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The necessity of these controls immediately elevates KFG to the Airtable </w:t>
      </w:r>
      <w:r w:rsidDel="00000000" w:rsidR="00000000" w:rsidRPr="00000000">
        <w:rPr>
          <w:rFonts w:ascii="Google Sans Text" w:cs="Google Sans Text" w:eastAsia="Google Sans Text" w:hAnsi="Google Sans Text"/>
          <w:b w:val="1"/>
          <w:bCs w:val="1"/>
          <w:rtl w:val="0"/>
        </w:rPr>
        <w:t xml:space="preserve">Enterprise Scale</w:t>
      </w:r>
      <w:r w:rsidDel="00000000" w:rsidR="00000000" w:rsidRPr="00000000">
        <w:rPr>
          <w:rFonts w:ascii="Google Sans Text" w:cs="Google Sans Text" w:eastAsia="Google Sans Text" w:hAnsi="Google Sans Text"/>
          <w:rtl w:val="0"/>
        </w:rPr>
        <w:t xml:space="preserve"> tier, overriding the lower-cost plans and significantly impacting initial TCO calculations.</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Risk 3: Automation Reliability.</w:t>
      </w:r>
      <w:r w:rsidDel="00000000" w:rsidR="00000000" w:rsidRPr="00000000">
        <w:rPr>
          <w:rFonts w:ascii="Google Sans Text" w:cs="Google Sans Text" w:eastAsia="Google Sans Text" w:hAnsi="Google Sans Text"/>
          <w:rtl w:val="0"/>
        </w:rPr>
        <w:t xml:space="preserve"> Mission-critical sales processes, such as the "Rep-Proof" Lead Velocity Engine, rely entirely on the integrator (Make.com).</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Failure to implement robust error-handling, conditional logic, and parallel processing could lead to lost leads, compliance breaches, and inconsistent customer service, resulting in high customer retention risk.</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Core Technical and Commercial Recommendations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Area</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Core Recommendation</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Technical Stack</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Mandate Airtable Enterprise Scale and Make.com as the exclusive integrator.</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Required for compliance (DLP/Audit Logs) and architectural stability (superior error handling).</w:t>
            </w:r>
            <w:r w:rsidDel="00000000" w:rsidR="00000000" w:rsidRPr="00000000">
              <w:rPr>
                <w:rFonts w:ascii="Google Sans Text" w:cs="Google Sans Text" w:eastAsia="Google Sans Text" w:hAnsi="Google Sans Text"/>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Scaling Strategy</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Implement immediate architectural separation: Treat Airtable as a Front-End Interface, not the Database of Record (DoR).</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Proactive mitigation against the 500k record limit and performance choke points.</w:t>
            </w:r>
            <w:r w:rsidDel="00000000" w:rsidR="00000000" w:rsidRPr="00000000">
              <w:rPr>
                <w:rFonts w:ascii="Google Sans Text" w:cs="Google Sans Text" w:eastAsia="Google Sans Text" w:hAnsi="Google Sans Text"/>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Partnership Model</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Adopt a </w:t>
            </w:r>
            <w:r w:rsidDel="00000000" w:rsidR="00000000" w:rsidRPr="00000000">
              <w:rPr>
                <w:rFonts w:ascii="Google Sans Text" w:cs="Google Sans Text" w:eastAsia="Google Sans Text" w:hAnsi="Google Sans Text"/>
                <w:b w:val="1"/>
                <w:bCs w:val="1"/>
                <w:rtl w:val="0"/>
              </w:rPr>
              <w:t xml:space="preserve">Hybrid Equity + Retainer</w:t>
            </w:r>
            <w:r w:rsidDel="00000000" w:rsidR="00000000" w:rsidRPr="00000000">
              <w:rPr>
                <w:rFonts w:ascii="Google Sans Text" w:cs="Google Sans Text" w:eastAsia="Google Sans Text" w:hAnsi="Google Sans Text"/>
                <w:rtl w:val="0"/>
              </w:rPr>
              <w:t xml:space="preserve"> commercial structure for Kevin Tan.</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Retainer covers predictable governance (TCO stability). The Equity aligns incentives and rewards the measurable value of the proprietary automation IP.</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Legal Foundation</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Execute a Master Services Agreement defining all proprietary automation (the Lead Velocity Engine) as </w:t>
            </w:r>
            <w:r w:rsidDel="00000000" w:rsidR="00000000" w:rsidRPr="00000000">
              <w:rPr>
                <w:rFonts w:ascii="Google Sans Text" w:cs="Google Sans Text" w:eastAsia="Google Sans Text" w:hAnsi="Google Sans Text"/>
                <w:b w:val="1"/>
                <w:bCs w:val="1"/>
                <w:rtl w:val="0"/>
              </w:rPr>
              <w:t xml:space="preserve">Work-for-Hire</w:t>
            </w:r>
            <w:r w:rsidDel="00000000" w:rsidR="00000000" w:rsidRPr="00000000">
              <w:rPr>
                <w:rFonts w:ascii="Google Sans Text" w:cs="Google Sans Text" w:eastAsia="Google Sans Text" w:hAnsi="Google Sans Text"/>
                <w:rtl w:val="0"/>
              </w:rPr>
              <w:t xml:space="preserve"> Intellectual Property (IP) assigned entirely to KFG.</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Secures KFG’s competitive advantage and maximizes long-term company valuation.</w:t>
            </w:r>
            <w:r w:rsidDel="00000000" w:rsidR="00000000" w:rsidRPr="00000000">
              <w:rPr>
                <w:rFonts w:ascii="Google Sans Text" w:cs="Google Sans Text" w:eastAsia="Google Sans Text" w:hAnsi="Google Sans Text"/>
                <w:sz w:val="24"/>
                <w:szCs w:val="24"/>
                <w:vertAlign w:val="superscript"/>
                <w:rtl w:val="0"/>
              </w:rPr>
              <w:t xml:space="preserve">14</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Technical Stack Validation: Feasibility and Governance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Current State Architecture Review: Mapping the Low-Code Data Triad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Kismet technical stack relies on the synchronized operation of three distinct components, each fulfilling a specific architectural function. The efficacy of the system is based on the integrity of the integrations connecting these layers.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Airtable (The Workflow Layer):</w:t>
      </w:r>
      <w:r w:rsidDel="00000000" w:rsidR="00000000" w:rsidRPr="00000000">
        <w:rPr>
          <w:rFonts w:ascii="Google Sans Text" w:cs="Google Sans Text" w:eastAsia="Google Sans Text" w:hAnsi="Google Sans Text"/>
          <w:rtl w:val="0"/>
        </w:rPr>
        <w:t xml:space="preserve"> Airtable functions as the flexible data layer and front-end interface, serving primarily as the customizable application builder for managing sales workflows, tracking contact records, and opportunity staging.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Its inherent flexibility allows citizen developers to quickly construct databases, filter data, and set up simple automation.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For KFG, it provides the low-code environment necessary for business agility, allowing workflows and UI to change rapidly in response to market needs.</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Google Workspace (The Security and Collaboration Backbone):</w:t>
      </w:r>
      <w:r w:rsidDel="00000000" w:rsidR="00000000" w:rsidRPr="00000000">
        <w:rPr>
          <w:rFonts w:ascii="Google Sans Text" w:cs="Google Sans Text" w:eastAsia="Google Sans Text" w:hAnsi="Google Sans Text"/>
          <w:rtl w:val="0"/>
        </w:rPr>
        <w:t xml:space="preserve"> Google Workspace provides the critical foundational infrastructure. This includes user identity management (via SAML SSO), secure communication channels (Google Chat/Mail), and robust document management. Critically, Google Cloud’s underlying infrastructure has been issued a FedRAMP High Provisional Authority to Operate (P-ATO).</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This governmental compliance standard, typically required for unclassified federal data, provides KFG with a powerful assurance regarding data security, incident response, and continuous monitoring, establishing a high-compliance foundation for the entire stack.</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hyperlink r:id="rId6">
        <w:r w:rsidDel="00000000" w:rsidR="00000000" w:rsidRPr="00000000">
          <w:rPr>
            <w:rFonts w:ascii="Google Sans Text" w:cs="Google Sans Text" w:eastAsia="Google Sans Text" w:hAnsi="Google Sans Text"/>
            <w:b w:val="1"/>
            <w:bCs w:val="1"/>
            <w:u w:val="single"/>
            <w:rtl w:val="0"/>
          </w:rPr>
          <w:t xml:space="preserve">Make.com/Integrator</w:t>
        </w:r>
      </w:hyperlink>
      <w:r w:rsidDel="00000000" w:rsidR="00000000" w:rsidRPr="00000000">
        <w:rPr>
          <w:rFonts w:ascii="Google Sans Text" w:cs="Google Sans Text" w:eastAsia="Google Sans Text" w:hAnsi="Google Sans Text"/>
          <w:b w:val="1"/>
          <w:bCs w:val="1"/>
          <w:rtl w:val="0"/>
        </w:rPr>
        <w:t xml:space="preserve"> (The Central Nervous System):</w:t>
      </w:r>
      <w:r w:rsidDel="00000000" w:rsidR="00000000" w:rsidRPr="00000000">
        <w:rPr>
          <w:rFonts w:ascii="Google Sans Text" w:cs="Google Sans Text" w:eastAsia="Google Sans Text" w:hAnsi="Google Sans Text"/>
          <w:rtl w:val="0"/>
        </w:rPr>
        <w:t xml:space="preserve"> The integrator is responsible for all complex, cross-platform interactions. It acts as the </w:t>
      </w:r>
      <w:r w:rsidDel="00000000" w:rsidR="00000000" w:rsidRPr="00000000">
        <w:rPr>
          <w:rFonts w:ascii="Google Sans Text" w:cs="Google Sans Text" w:eastAsia="Google Sans Text" w:hAnsi="Google Sans Text"/>
          <w:b w:val="1"/>
          <w:bCs w:val="1"/>
          <w:rtl w:val="0"/>
        </w:rPr>
        <w:t xml:space="preserve">Central Nervous System</w:t>
      </w:r>
      <w:r w:rsidDel="00000000" w:rsidR="00000000" w:rsidRPr="00000000">
        <w:rPr>
          <w:rFonts w:ascii="Google Sans Text" w:cs="Google Sans Text" w:eastAsia="Google Sans Text" w:hAnsi="Google Sans Text"/>
          <w:rtl w:val="0"/>
        </w:rPr>
        <w:t xml:space="preserve">, handling conditional logic, data transformation, API calls, and ensuring data consistency across Airtable and Google Workspace. The integrator performs the vital task of translating business requirements into automated processes, moving data from input sources (e.g., missed calls) into the Airtable CRM and synchronizing follow-up actions.</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Financial Services Compliance and Security Requirements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financial services context elevates regulatory adherence from an IT priority to a foundational necessity. This mandates the immediate adoption of premium features in both Google Workspace and Airtable.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Google Workspace Security Posture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Cloud’s strong security posture, including its FedRAMP High P-ATO, is a significant asset.</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The FedRAMP High designation implies that the platform meets standardized, government-wide requirements for security assessment, authorization, and continuous monitoring for cloud products processing sensitive, unclassified information.</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This robust compliance profile, combined with the security features of Google Workspace (e.g., threat protection, data loss prevention, and compliance capabilities for the generative AI era) </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establishes a highly secure and auditable collaboration and communication environment for KFG.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Airtable Enterprise Requirements for Governance and Control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Airtable is lauded for its ease of use and rapid deployment for small teams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KFG’s status as a financial group necessitates the use of the highest tier, </w:t>
      </w:r>
      <w:r w:rsidDel="00000000" w:rsidR="00000000" w:rsidRPr="00000000">
        <w:rPr>
          <w:rFonts w:ascii="Google Sans Text" w:cs="Google Sans Text" w:eastAsia="Google Sans Text" w:hAnsi="Google Sans Text"/>
          <w:b w:val="1"/>
          <w:bCs w:val="1"/>
          <w:rtl w:val="0"/>
        </w:rPr>
        <w:t xml:space="preserve">Enterprise Scale</w:t>
      </w:r>
      <w:r w:rsidDel="00000000" w:rsidR="00000000" w:rsidRPr="00000000">
        <w:rPr>
          <w:rFonts w:ascii="Google Sans Text" w:cs="Google Sans Text" w:eastAsia="Google Sans Text" w:hAnsi="Google Sans Text"/>
          <w:rtl w:val="0"/>
        </w:rPr>
        <w:t xml:space="preserve">, regardless of the initial user count.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The Non-Negotiable Features:</w:t>
      </w:r>
      <w:r w:rsidDel="00000000" w:rsidR="00000000" w:rsidRPr="00000000">
        <w:rPr>
          <w:rFonts w:ascii="Google Sans Text" w:cs="Google Sans Text" w:eastAsia="Google Sans Text" w:hAnsi="Google Sans Text"/>
          <w:rtl w:val="0"/>
        </w:rPr>
        <w:t xml:space="preserve"> Enterprise features such as </w:t>
      </w:r>
      <w:r w:rsidDel="00000000" w:rsidR="00000000" w:rsidRPr="00000000">
        <w:rPr>
          <w:rFonts w:ascii="Google Sans Text" w:cs="Google Sans Text" w:eastAsia="Google Sans Text" w:hAnsi="Google Sans Text"/>
          <w:b w:val="1"/>
          <w:bCs w:val="1"/>
          <w:rtl w:val="0"/>
        </w:rPr>
        <w:t xml:space="preserve">Audit logs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Data Loss Prevention (DLP)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SAML-based single sign-on (SSO)</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Enterprise Key Management</w:t>
      </w:r>
      <w:r w:rsidDel="00000000" w:rsidR="00000000" w:rsidRPr="00000000">
        <w:rPr>
          <w:rFonts w:ascii="Google Sans Text" w:cs="Google Sans Text" w:eastAsia="Google Sans Text" w:hAnsi="Google Sans Text"/>
          <w:rtl w:val="0"/>
        </w:rPr>
        <w:t xml:space="preserve"> are required for regulatory governance in the financial sector.</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These features provide the necessary administrative oversight and security controls to manage sensitive customer data and meet internal and external compliance obligations. The standard Business plan offers basic administration and a $45 per user/month price point, but it lacks the specialized governance and security features inherent to the Enterprise tier.</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Critical TCO Implication:</w:t>
      </w:r>
      <w:r w:rsidDel="00000000" w:rsidR="00000000" w:rsidRPr="00000000">
        <w:rPr>
          <w:rFonts w:ascii="Google Sans Text" w:cs="Google Sans Text" w:eastAsia="Google Sans Text" w:hAnsi="Google Sans Text"/>
          <w:rtl w:val="0"/>
        </w:rPr>
        <w:t xml:space="preserve"> The necessity of these Enterprise governance features fundamentally negates the cost advantage associated with the lower Airtable plans (Free, Team: $20/user/month, or Business: $45/user/month billed annually).</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Although the low-code approach optimizes for agility, KFG must budget for the custom pricing of the Enterprise Scale plan and its associated add-ons, such as Portals.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This structural requirement ensures that TCO analysis looks beyond the initial sticker price and includes compliance expenditure over the product’s lifecycle.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System Scalability Analysis and Mitigation Strategy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significant technical challenge facing the proposed stack is the inherent limitation of Airtable’s underlying database architecture at enterprise scale.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Critical Constraint: Airtable’s Record and Automation Limits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Airtable’s scalability is capped: the Enterprise Scale plan is limited to </w:t>
      </w:r>
      <w:r w:rsidDel="00000000" w:rsidR="00000000" w:rsidRPr="00000000">
        <w:rPr>
          <w:rFonts w:ascii="Google Sans Text" w:cs="Google Sans Text" w:eastAsia="Google Sans Text" w:hAnsi="Google Sans Text"/>
          <w:b w:val="1"/>
          <w:bCs w:val="1"/>
          <w:rtl w:val="0"/>
        </w:rPr>
        <w:t xml:space="preserve">500,000 records per base</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500,000 automation runs per base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For a small to mid-sized organization, Airtable is efficient, but for a financial services firm dedicated to persistent record keeping—logging customer interactions, historical transactions, compliance documentation, and opportunities—the 500,000 record ceiling is easily reached during periods of rapid growth.</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constraint dictates that Airtable is fundamentally unsuitable to serve as the long-term, unified Database of Record (DoR) for all historical financial operations.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Attempts to exceed this limit or force a large dataset into a single base will inevitably lead to performance degradation, slow API calls, and system instability.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This scaling choke point is a primary source of architectural risk.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 Mitigation Strategy A: Data Archiving and Base Splitting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widely used workaround for the record limit is the physical separation of data across multiple Airtable bases.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approach mandates the implementation of automated synchronization scripts—most efficiently managed via Make.com—to execute a data lifecycle policy.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Mechanism:</w:t>
      </w:r>
      <w:r w:rsidDel="00000000" w:rsidR="00000000" w:rsidRPr="00000000">
        <w:rPr>
          <w:rFonts w:ascii="Google Sans Text" w:cs="Google Sans Text" w:eastAsia="Google Sans Text" w:hAnsi="Google Sans Text"/>
          <w:rtl w:val="0"/>
        </w:rPr>
        <w:t xml:space="preserve"> Active records (e.g., current opportunities, clients with active portfolios, or deals in the primary Sales Cycle </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reside in a "Live Base." Once a deal is closed, lost, or archived, the synchronization script automatically moves the completed record to a separate, "Historical Archive Base" or "Audit Log Base." This technique ensures that the primary Live Base remains below the 500,000 record threshold, preventing performance issues and preserving the functional efficiency of the low-code workflow layer.</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 Mitigation Strategy B: External DoR Integration (HyperDB/GCP)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truly complex and high-volume scaling, the ultimate solution involves leveraging the Enterprise API and HyperDB capabilities to offload the core, high-volume data to an external, optimized database system, specifically on Google Cloud Platform (GCP).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Mechanism:</w:t>
      </w:r>
      <w:r w:rsidDel="00000000" w:rsidR="00000000" w:rsidRPr="00000000">
        <w:rPr>
          <w:rFonts w:ascii="Google Sans Text" w:cs="Google Sans Text" w:eastAsia="Google Sans Text" w:hAnsi="Google Sans Text"/>
          <w:rtl w:val="0"/>
        </w:rPr>
        <w:t xml:space="preserve"> Airtable should only retain the minimum necessary fields required for workflow execution and user interface visualization. The extensive raw data—such as deep historical logs, unstructured documents, or large attachment volumes—must be managed by an external database layer that is optimized for querying large datasets and indexed appropriately.</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HyperDB functionality, included in the Enterprise plan, facilitates this architectural separation by enabling external syncing mechanisms. This strategic pivot transforms Airtable from the central database into an application layer that sits atop a scalable, secure GCP-backed infrastructure.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Consequence for Partnership:</w:t>
      </w:r>
      <w:r w:rsidDel="00000000" w:rsidR="00000000" w:rsidRPr="00000000">
        <w:rPr>
          <w:rFonts w:ascii="Google Sans Text" w:cs="Google Sans Text" w:eastAsia="Google Sans Text" w:hAnsi="Google Sans Text"/>
          <w:rtl w:val="0"/>
        </w:rPr>
        <w:t xml:space="preserve"> Both Mitigation Strategies A and B are inherently technical, relying on custom API scripting, database normalization, implementation of proper indexing, and continuous monitoring of integration logs.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This complexity confirms that KFG requires a long-term </w:t>
      </w:r>
      <w:r w:rsidDel="00000000" w:rsidR="00000000" w:rsidRPr="00000000">
        <w:rPr>
          <w:rFonts w:ascii="Google Sans Text" w:cs="Google Sans Text" w:eastAsia="Google Sans Text" w:hAnsi="Google Sans Text"/>
          <w:b w:val="1"/>
          <w:bCs w:val="1"/>
          <w:rtl w:val="0"/>
        </w:rPr>
        <w:t xml:space="preserve">governance architect</w:t>
      </w:r>
      <w:r w:rsidDel="00000000" w:rsidR="00000000" w:rsidRPr="00000000">
        <w:rPr>
          <w:rFonts w:ascii="Google Sans Text" w:cs="Google Sans Text" w:eastAsia="Google Sans Text" w:hAnsi="Google Sans Text"/>
          <w:rtl w:val="0"/>
        </w:rPr>
        <w:t xml:space="preserve"> whose primary proprietary value lies in the creation and maintenance of these specific scaling scripts, reinforcing the necessity of Kevin Tan’s sustained involvement.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Automation Reliability and Operational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Reliable automation is critical to capturing competitive advantage in financial services. The system must eliminate human error (become "rep-proof") and ensure rapid engagement with new prospects.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Integrator Selection Justification: Make.com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choice of the integration platform is paramount for system reliability. A comparative analysis confirms that Make.com offers superior capabilities for the complex, mission-critical workflows required by KFG compared to alternatives like Zapier.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3.1.1 Comparative Analysis: Architectural Superiority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Cost-Effectiveness for Complexity:</w:t>
      </w:r>
      <w:r w:rsidDel="00000000" w:rsidR="00000000" w:rsidRPr="00000000">
        <w:rPr>
          <w:rFonts w:ascii="Google Sans Text" w:cs="Google Sans Text" w:eastAsia="Google Sans Text" w:hAnsi="Google Sans Text"/>
          <w:rtl w:val="0"/>
        </w:rPr>
        <w:t xml:space="preserve"> Make.com utilizes an operations-based pricing structure, where usage is calculated based on data transformations or conditional checks (operations), rather than charging for every individual action or step, as Zapier does.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For complex scenarios involving multiple sequential steps, conditional routing, and advanced data manipulation—which are common in financial services workflows—Make.com is demonstrably more cost-effective.</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Enhanced Reliability and Control:</w:t>
      </w:r>
      <w:r w:rsidDel="00000000" w:rsidR="00000000" w:rsidRPr="00000000">
        <w:rPr>
          <w:rFonts w:ascii="Google Sans Text" w:cs="Google Sans Text" w:eastAsia="Google Sans Text" w:hAnsi="Google Sans Text"/>
          <w:rtl w:val="0"/>
        </w:rPr>
        <w:t xml:space="preserve"> Make.com provides greater architectural robustness through two key features: the ability to run steps in parallel and more detailed, dedicated error-handling tools.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architectural distinction is vital for the "rep-proof" mandate; it ensures that if a single external API connection fails temporarily, the core workflow does not halt entirely, and administrators are immediately alerted to the failure.</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Deeper Integration Capabilities:</w:t>
      </w:r>
      <w:r w:rsidDel="00000000" w:rsidR="00000000" w:rsidRPr="00000000">
        <w:rPr>
          <w:rFonts w:ascii="Google Sans Text" w:cs="Google Sans Text" w:eastAsia="Google Sans Text" w:hAnsi="Google Sans Text"/>
          <w:rtl w:val="0"/>
        </w:rPr>
        <w:t xml:space="preserve"> Make.com generally offers deeper support and a wider range of native triggers and actions for popular applications.</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Furthermore, Make provides a specialized "Make An API Call" module that is pre-authorized for apps, offering superior flexibility for constructing custom API calls necessary for the advanced scaling strategies discussed in Section 2.3.</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3.1.2 Recommendation Rationale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strategic imperative for KFG is to prioritize </w:t>
      </w:r>
      <w:r w:rsidDel="00000000" w:rsidR="00000000" w:rsidRPr="00000000">
        <w:rPr>
          <w:rFonts w:ascii="Google Sans Text" w:cs="Google Sans Text" w:eastAsia="Google Sans Text" w:hAnsi="Google Sans Text"/>
          <w:b w:val="1"/>
          <w:bCs w:val="1"/>
          <w:rtl w:val="0"/>
        </w:rPr>
        <w:t xml:space="preserve">reliability and architectural control</w:t>
      </w:r>
      <w:r w:rsidDel="00000000" w:rsidR="00000000" w:rsidRPr="00000000">
        <w:rPr>
          <w:rFonts w:ascii="Google Sans Text" w:cs="Google Sans Text" w:eastAsia="Google Sans Text" w:hAnsi="Google Sans Text"/>
          <w:rtl w:val="0"/>
        </w:rPr>
        <w:t xml:space="preserve"> over initial setup simplicity. Make.com’s advanced logic, superior error tolerance, and API depth make it the mandatory choice for managing sensitive financial data flows, complex architectural scripting, and ensuring system uptime, particularly when leveraging low-code integration options like the Scripting extension in Airtable.</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Mission-Critical Automation Blueprint: The "Rep-Proof" Lead System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system's core function must be the instantaneous capture and engagement of leads, whether generated by traditional "Door Knock" outreach or modern digital channels.</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3.2.1 Lead Velocity Imperative (The 5-Minute Rule)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Studies show that businesses responding to inquiries within five minutes are 9 times more likely to engage with the lead compared to those who delay.</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This speed cannot be consistently achieved through human monitoring. Missed calls, in particular, represent a high-risk scenario; up to 62% of calls to small businesses go unanswered, and 85% of customers who fail to connect will not call back.</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solution is an automated, high-reliability Missed Call Text-Back System. Text messages boast an SMS open rate as high as 98%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making automated SMS the most reliable mechanism to bridge the communication gap until a sales representative can follow up.</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3.2.2 Detailed Flow Diagram: Missed Call Text-Back Automation (Conditional Logic)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system must be engineered to be "rep-proof," meaning its execution relies on clean, automated design with minimal moving parts, ensuring that the necessary behaviors are launched without reliance on manual initiation.</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Flow Logic (Implemented via Make.com):</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Trigger:</w:t>
      </w:r>
      <w:r w:rsidDel="00000000" w:rsidR="00000000" w:rsidRPr="00000000">
        <w:rPr>
          <w:rFonts w:ascii="Google Sans Text" w:cs="Google Sans Text" w:eastAsia="Google Sans Text" w:hAnsi="Google Sans Text"/>
          <w:rtl w:val="0"/>
        </w:rPr>
        <w:t xml:space="preserve"> A missed call is detected by the telephony provider, triggering a webhook notification to Make.com.</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Filter/Conditional Check (Rep-Proofing):</w:t>
      </w:r>
      <w:r w:rsidDel="00000000" w:rsidR="00000000" w:rsidRPr="00000000">
        <w:rPr>
          <w:rFonts w:ascii="Google Sans Text" w:cs="Google Sans Text" w:eastAsia="Google Sans Text" w:hAnsi="Google Sans Text"/>
          <w:rtl w:val="0"/>
        </w:rPr>
        <w:t xml:space="preserve"> Make.com immediately applies conditional logic (the "if/then" checkpoints </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i w:val="1"/>
          <w:iCs w:val="1"/>
          <w:rtl w:val="0"/>
        </w:rPr>
        <w:t xml:space="preserve">IF</w:t>
      </w:r>
      <w:r w:rsidDel="00000000" w:rsidR="00000000" w:rsidRPr="00000000">
        <w:rPr>
          <w:rFonts w:ascii="Google Sans Text" w:cs="Google Sans Text" w:eastAsia="Google Sans Text" w:hAnsi="Google Sans Text"/>
          <w:rtl w:val="0"/>
        </w:rPr>
        <w:t xml:space="preserve"> the caller ID is valid and recognizable </w:t>
      </w:r>
      <w:r w:rsidDel="00000000" w:rsidR="00000000" w:rsidRPr="00000000">
        <w:rPr>
          <w:rFonts w:ascii="Google Sans Text" w:cs="Google Sans Text" w:eastAsia="Google Sans Text" w:hAnsi="Google Sans Text"/>
          <w:i w:val="1"/>
          <w:iCs w:val="1"/>
          <w:rtl w:val="0"/>
        </w:rPr>
        <w:t xml:space="preserve">AND</w:t>
      </w:r>
      <w:r w:rsidDel="00000000" w:rsidR="00000000" w:rsidRPr="00000000">
        <w:rPr>
          <w:rFonts w:ascii="Google Sans Text" w:cs="Google Sans Text" w:eastAsia="Google Sans Text" w:hAnsi="Google Sans Text"/>
          <w:rtl w:val="0"/>
        </w:rPr>
        <w:t xml:space="preserve"> the call occurred within the defined business hours </w:t>
      </w:r>
      <w:r w:rsidDel="00000000" w:rsidR="00000000" w:rsidRPr="00000000">
        <w:rPr>
          <w:rFonts w:ascii="Google Sans Text" w:cs="Google Sans Text" w:eastAsia="Google Sans Text" w:hAnsi="Google Sans Text"/>
          <w:i w:val="1"/>
          <w:iCs w:val="1"/>
          <w:rtl w:val="0"/>
        </w:rPr>
        <w:t xml:space="preserve">AND</w:t>
      </w:r>
      <w:r w:rsidDel="00000000" w:rsidR="00000000" w:rsidRPr="00000000">
        <w:rPr>
          <w:rFonts w:ascii="Google Sans Text" w:cs="Google Sans Text" w:eastAsia="Google Sans Text" w:hAnsi="Google Sans Text"/>
          <w:rtl w:val="0"/>
        </w:rPr>
        <w:t xml:space="preserve"> the caller is not flagged as an existing customer or vendor.</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Action 1 (Instant SMS):</w:t>
      </w:r>
      <w:r w:rsidDel="00000000" w:rsidR="00000000" w:rsidRPr="00000000">
        <w:rPr>
          <w:rFonts w:ascii="Google Sans Text" w:cs="Google Sans Text" w:eastAsia="Google Sans Text" w:hAnsi="Google Sans Text"/>
          <w:rtl w:val="0"/>
        </w:rPr>
        <w:t xml:space="preserve"> Send a personalized SMS response automatically to the caller: “Sorry we missed your call! How can we help? We’ll call back in X minutes.” This action provides immediate acknowledgment, maintaining customer interest and trust.</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Action 2 (Airtable Write &amp; Attribution):</w:t>
      </w:r>
      <w:r w:rsidDel="00000000" w:rsidR="00000000" w:rsidRPr="00000000">
        <w:rPr>
          <w:rFonts w:ascii="Google Sans Text" w:cs="Google Sans Text" w:eastAsia="Google Sans Text" w:hAnsi="Google Sans Text"/>
          <w:rtl w:val="0"/>
        </w:rPr>
        <w:t xml:space="preserve"> Make.com creates or updates the contact record in Airtable, logging the interaction as "Missed Call," marking it as "SMS Acknowledged," and setting the lead source (Instant Attribution).</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This consistent logging eliminates manual data entry and ensures a complete, searchable call history.</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Action 3 (Rep Alert &amp; Escalation):</w:t>
      </w:r>
      <w:r w:rsidDel="00000000" w:rsidR="00000000" w:rsidRPr="00000000">
        <w:rPr>
          <w:rFonts w:ascii="Google Sans Text" w:cs="Google Sans Text" w:eastAsia="Google Sans Text" w:hAnsi="Google Sans Text"/>
          <w:rtl w:val="0"/>
        </w:rPr>
        <w:t xml:space="preserve"> Trigger a prioritized notification (P1 alert) to the assigned sales representative via Google Chat, minimizing delay and establishing accountability for the human follow-up.</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The system may use conditional responses based on the time of day or department called.</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3.2.3 Technical Reliability Checkpoints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guarantee the reliability of this mission-critical system, the Make.com scenario must incorporate dedicated </w:t>
      </w:r>
      <w:r w:rsidDel="00000000" w:rsidR="00000000" w:rsidRPr="00000000">
        <w:rPr>
          <w:rFonts w:ascii="Google Sans Text" w:cs="Google Sans Text" w:eastAsia="Google Sans Text" w:hAnsi="Google Sans Text"/>
          <w:b w:val="1"/>
          <w:bCs w:val="1"/>
          <w:rtl w:val="0"/>
        </w:rPr>
        <w:t xml:space="preserve">Error Handling Modules</w:t>
      </w:r>
      <w:r w:rsidDel="00000000" w:rsidR="00000000" w:rsidRPr="00000000">
        <w:rPr>
          <w:rFonts w:ascii="Google Sans Text" w:cs="Google Sans Text" w:eastAsia="Google Sans Text" w:hAnsi="Google Sans Text"/>
          <w:rtl w:val="0"/>
        </w:rPr>
        <w:t xml:space="preserve">. In the event of an API timeout, data transformation failure, or any connection error, the automation must not fail silently. Instead, the logic must automatically log the failed operation in a separate "Automation Failure Log" base within Airtable and trigger an immediate high-priority alert to the technical administrator (Kevin Tan). This transparent audit mechanism is essential for maintaining trust and operational integrity.</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Sales Pipeline Visibility and KPI Tracking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component of the operational architecture is to ensure that the agility of the low-code CRM translates into measurable financial results.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Airtable schema must be designed to track key performance indicators (KPIs) that measure the health and efficiency of the sales cycle, providing clarity to leadership regarding where deals are succeeding or stalling.</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Required KPIs include: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Pipeline Stage Conversion Rate:</w:t>
      </w:r>
      <w:r w:rsidDel="00000000" w:rsidR="00000000" w:rsidRPr="00000000">
        <w:rPr>
          <w:rFonts w:ascii="Google Sans Text" w:cs="Google Sans Text" w:eastAsia="Google Sans Text" w:hAnsi="Google Sans Text"/>
          <w:rtl w:val="0"/>
        </w:rPr>
        <w:t xml:space="preserve"> The percentage of leads that successfully move through each stage of the sales process.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Opportunity Win Rate:</w:t>
      </w:r>
      <w:r w:rsidDel="00000000" w:rsidR="00000000" w:rsidRPr="00000000">
        <w:rPr>
          <w:rFonts w:ascii="Google Sans Text" w:cs="Google Sans Text" w:eastAsia="Google Sans Text" w:hAnsi="Google Sans Text"/>
          <w:rtl w:val="0"/>
        </w:rPr>
        <w:t xml:space="preserve"> Measures the frequency of converting qualified opportunities into closed deals.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Sales Cycle Length:</w:t>
      </w:r>
      <w:r w:rsidDel="00000000" w:rsidR="00000000" w:rsidRPr="00000000">
        <w:rPr>
          <w:rFonts w:ascii="Google Sans Text" w:cs="Google Sans Text" w:eastAsia="Google Sans Text" w:hAnsi="Google Sans Text"/>
          <w:rtl w:val="0"/>
        </w:rPr>
        <w:t xml:space="preserve"> The average time taken to move a deal from initial contact (e.g., missed call) to closing.</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Causal Relationship to IP Valuation:</w:t>
      </w:r>
      <w:r w:rsidDel="00000000" w:rsidR="00000000" w:rsidRPr="00000000">
        <w:rPr>
          <w:rFonts w:ascii="Google Sans Text" w:cs="Google Sans Text" w:eastAsia="Google Sans Text" w:hAnsi="Google Sans Text"/>
          <w:rtl w:val="0"/>
        </w:rPr>
        <w:t xml:space="preserve"> The success of the "Rep-Proof" automation system, designed by Kevin Tan, must be measured by a quantifiable improvement in these metrics. A reliable Lead Velocity Engine should correlate directly with an increase in the ratio of Leads to Sales-Qualified Leads (SQLs) and a reduction in the Sales Cycle length, providing the measurable efficiency gains that justify the valuation of the proprietary IP.</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Financial Validation: Total Cost of Ownership (TCO) Modeling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Total Cost of Ownership (TCO) analysis is mandatory for any significant technology investment, especially in financial services.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TCO encompasses not just the subscription price, but all expenses incurred over the system’s lifecycle, including implementation, customization, training, maintenance, and potential future migration costs.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Defining TCO for Low-Code Systems in Finance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KFG’s low-code stack, TCO must be defined in strategic terms, accounting for the unique risks associated with non-traditional architectures.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Hidden Costs (Technical Debt and Maintenance):</w:t>
      </w:r>
      <w:r w:rsidDel="00000000" w:rsidR="00000000" w:rsidRPr="00000000">
        <w:rPr>
          <w:rFonts w:ascii="Google Sans Text" w:cs="Google Sans Text" w:eastAsia="Google Sans Text" w:hAnsi="Google Sans Text"/>
          <w:rtl w:val="0"/>
        </w:rPr>
        <w:t xml:space="preserve"> While low-code systems reduce initial implementation costs, they introduce higher hidden costs related to complexity management.</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The TCO for KFG must explicitly include:</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Maintenance of Custom Scripts:</w:t>
      </w:r>
      <w:r w:rsidDel="00000000" w:rsidR="00000000" w:rsidRPr="00000000">
        <w:rPr>
          <w:rFonts w:ascii="Google Sans Text" w:cs="Google Sans Text" w:eastAsia="Google Sans Text" w:hAnsi="Google Sans Text"/>
          <w:rtl w:val="0"/>
        </w:rPr>
        <w:t xml:space="preserve"> The cost associated with Kevin Tan’s ongoing effort to monitor and update the complex API scripts necessary for database synchronization and scaling (Strategies 2.3.2 and 2.3.3).</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Compliance Drift Mitigation:</w:t>
      </w:r>
      <w:r w:rsidDel="00000000" w:rsidR="00000000" w:rsidRPr="00000000">
        <w:rPr>
          <w:rFonts w:ascii="Google Sans Text" w:cs="Google Sans Text" w:eastAsia="Google Sans Text" w:hAnsi="Google Sans Text"/>
          <w:rtl w:val="0"/>
        </w:rPr>
        <w:t xml:space="preserve"> The continuous cost of monitoring and managing governance features (Audit Logs, DLP), which prevents potentially catastrophic regulatory fines resulting from compliance gaps.</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Training and Adoption:</w:t>
      </w:r>
      <w:r w:rsidDel="00000000" w:rsidR="00000000" w:rsidRPr="00000000">
        <w:rPr>
          <w:rFonts w:ascii="Google Sans Text" w:cs="Google Sans Text" w:eastAsia="Google Sans Text" w:hAnsi="Google Sans Text"/>
          <w:rtl w:val="0"/>
        </w:rPr>
        <w:t xml:space="preserve"> Costs associated with training business users and citizen developers to utilize the customized, complex systems efficiently.</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ultimate goal of TCO analysis is to maximize business value over the product’s life.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question is whether the low-code system’s superior agility outweighs the escalating TCO driven by mandatory Enterprise features and the high cost of the technical expert required to prevent architectural failure at scale.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TCO Calculation for Kismet (20-User Baseline)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provides an estimated annual licensing TCO for Kismet based on a 20-user baseline, assuming the mandatory adoption of compliance-driven Enterprise features.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Title: Estimated Annual Software Licensing TCO for Kismet (20 Users)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Plan Tier Required</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Price Per User (Annual Bill)</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Total Annual Licensing (20 Users)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Airtable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(Minimum Compliance)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$45/user/month </w:t>
            </w:r>
            <w:r w:rsidDel="00000000" w:rsidR="00000000" w:rsidRPr="00000000">
              <w:rPr>
                <w:rFonts w:ascii="Google Sans Text" w:cs="Google Sans Text" w:eastAsia="Google Sans Text" w:hAnsi="Google Sans Text"/>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$10,800</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Necessary for advanced features like SSO, Admin Panel, and 125,000+ record capacity per base.</w:t>
            </w:r>
            <w:r w:rsidDel="00000000" w:rsidR="00000000" w:rsidRPr="00000000">
              <w:rPr>
                <w:rFonts w:ascii="Google Sans Text" w:cs="Google Sans Text" w:eastAsia="Google Sans Text" w:hAnsi="Google Sans Text"/>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Workspace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Enterprise (Security/Compliance)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Estimated $30/user/month</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$7,200</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Required for FedRAMP confidence, eDiscovery, and advanced DLP functionality.</w:t>
            </w:r>
            <w:r w:rsidDel="00000000" w:rsidR="00000000" w:rsidRPr="00000000">
              <w:rPr>
                <w:rFonts w:ascii="Google Sans Text" w:cs="Google Sans Text" w:eastAsia="Google Sans Text" w:hAnsi="Google Sans Text"/>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Make.com</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Pro/Team (High Credit Usage)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Estimated $16/user/month </w:t>
            </w:r>
            <w:r w:rsidDel="00000000" w:rsidR="00000000" w:rsidRPr="00000000">
              <w:rPr>
                <w:rFonts w:ascii="Google Sans Text" w:cs="Google Sans Text" w:eastAsia="Google Sans Text" w:hAnsi="Google Sans Text"/>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$3,840</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Budget necessary for high automation volume, complex multi-step scenarios, and advanced error handling.</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Subtotal Annual Licensing</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$21,840</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Represents the annualized subscription cost, excluding external technical partnership costs.</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licensing subtotal of approximately $21,840 per year represents the cost floor. This figure confirms that the financial viability of the low-code stack is not derived from inexpensive licensing but from the operational speed and the avoidance of high, upfront implementation fees associated with legacy CRMs.</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Strategic TCO Modeling: Low-Code vs. Enterprise Alternatives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strategic TCO assessment must weigh the agility of the low-code stack against the stability of a traditional Enterprise CRM (e.g., Salesforce).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Kismet model optimizes for low initial investment and high flexibility, accepting a higher ongoing maintenance burden and architectural scaling risk. Traditional Enterprise CRMs, while requiring significant initial implementation capital (often requiring large consultant teams </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offer a lower scaling risk because the vendor manages the infrastructure.</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low-code solution accelerates the Time-to-Value (TTV) in Years 1-3, which is critical for a high-growth firm. However, the costs associated with the technical partner (Kevin Tan) are necessary risk insurance against low-code failure at scale.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If the business scales rapidly and complexity spirals, the TCO model could flip, making the low-code stack more expensive in Years 4-5 compared to a traditionally built system. The strategic decision rests entirely on whether the early operational efficiency gains generated by the agility and proprietary automation outweigh the potential maintenance and migration costs down the line.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Strategic Partnership Blueprint with Kevin Tan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Securing Kevin Tan's expertise is a non-negotiable strategic requirement for the long-term viability of the proposed technical stack, especially given the technical complexity of the scaling mitigation strategies and the need for continuous governance.</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relationship must be structured as a strategic partnership, not a mere contractual consultancy.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Definition of Role and Contribution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Kevin Tan’s role transcends traditional consulting. Given his responsibility for developing the core operational IP and managing the architectural pivot necessary for scaling, his title should reflect long-term, executive-level commitment, such as </w:t>
      </w:r>
      <w:r w:rsidDel="00000000" w:rsidR="00000000" w:rsidRPr="00000000">
        <w:rPr>
          <w:rFonts w:ascii="Google Sans Text" w:cs="Google Sans Text" w:eastAsia="Google Sans Text" w:hAnsi="Google Sans Text"/>
          <w:b w:val="1"/>
          <w:bCs w:val="1"/>
          <w:rtl w:val="0"/>
        </w:rPr>
        <w:t xml:space="preserve">Founding Architect</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bCs w:val="1"/>
          <w:rtl w:val="0"/>
        </w:rPr>
        <w:t xml:space="preserve">VP of Operational Technology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 value is concentrated in two areas:</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Intellectual Property (IP) Creation:</w:t>
      </w:r>
      <w:r w:rsidDel="00000000" w:rsidR="00000000" w:rsidRPr="00000000">
        <w:rPr>
          <w:rFonts w:ascii="Google Sans Text" w:cs="Google Sans Text" w:eastAsia="Google Sans Text" w:hAnsi="Google Sans Text"/>
          <w:rtl w:val="0"/>
        </w:rPr>
        <w:t xml:space="preserve"> The proprietary automation system (the "Lead Velocity Engine") built within Make.com and the custom Airtable scaling scripts.</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System Governance and Risk Mitigation:</w:t>
      </w:r>
      <w:r w:rsidDel="00000000" w:rsidR="00000000" w:rsidRPr="00000000">
        <w:rPr>
          <w:rFonts w:ascii="Google Sans Text" w:cs="Google Sans Text" w:eastAsia="Google Sans Text" w:hAnsi="Google Sans Text"/>
          <w:rtl w:val="0"/>
        </w:rPr>
        <w:t xml:space="preserve"> Ensuring compliance, maintaining system uptime (SLA), and proactively managing the technical debt inherent in low-code architecture.</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Commercial Structure Recommendation (Hybrid Equity + Retainer)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optimal commercial framework is a </w:t>
      </w:r>
      <w:r w:rsidDel="00000000" w:rsidR="00000000" w:rsidRPr="00000000">
        <w:rPr>
          <w:rFonts w:ascii="Google Sans Text" w:cs="Google Sans Text" w:eastAsia="Google Sans Text" w:hAnsi="Google Sans Text"/>
          <w:b w:val="1"/>
          <w:bCs w:val="1"/>
          <w:rtl w:val="0"/>
        </w:rPr>
        <w:t xml:space="preserve">Hybrid Model</w:t>
      </w:r>
      <w:r w:rsidDel="00000000" w:rsidR="00000000" w:rsidRPr="00000000">
        <w:rPr>
          <w:rFonts w:ascii="Google Sans Text" w:cs="Google Sans Text" w:eastAsia="Google Sans Text" w:hAnsi="Google Sans Text"/>
          <w:rtl w:val="0"/>
        </w:rPr>
        <w:t xml:space="preserve">, blending predictable financial stability with long-term incentives tied to KFG's valuation increase.</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5.2.1 Justification for Hybrid Model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Retainer (Pay for Access/Work):</w:t>
      </w:r>
      <w:r w:rsidDel="00000000" w:rsidR="00000000" w:rsidRPr="00000000">
        <w:rPr>
          <w:rFonts w:ascii="Google Sans Text" w:cs="Google Sans Text" w:eastAsia="Google Sans Text" w:hAnsi="Google Sans Text"/>
          <w:rtl w:val="0"/>
        </w:rPr>
        <w:t xml:space="preserve"> A monthly retainer fee should be established for predictable, ongoing services (Pay for Access), covering essential system governance, maintenance, error resolution, and compliance oversight. This provides KFG with predictable TCO for maintenance and offers Kevin Tan stable revenue.</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Equity (Value Creation):</w:t>
      </w:r>
      <w:r w:rsidDel="00000000" w:rsidR="00000000" w:rsidRPr="00000000">
        <w:rPr>
          <w:rFonts w:ascii="Google Sans Text" w:cs="Google Sans Text" w:eastAsia="Google Sans Text" w:hAnsi="Google Sans Text"/>
          <w:rtl w:val="0"/>
        </w:rPr>
        <w:t xml:space="preserve"> Equity ensures alignment with KFG's long-term growth. The valuation of private companies is increasingly driven by the presence of proprietary AI or automation assets, which command valuation premiums by creating competitive barriers to entry.</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Granting equity based on the value of the custom automation IP incentivizes Kevin Tan to design for maximum scale and efficiency, directly contributing to KFG's EBITDA margins.</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5.2.2 Equity Allocation Framework</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allocation of equity must be formalized based on measurable contribution, mirroring industry standards for assigning value to IP and specialized time commitment.</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The proprietary automation system constitutes a significant competitive moat and measurable efficiency gain.</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Title: Recommended Equity Allocation Framework for Technical IP &amp; Time Commitment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Contribution Type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Kevin Tan Contribution Description</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Weight Range (Industry Standard)</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Allocation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Intellectual Property (Proprietary Automation System)</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 Make.com Logic, Airtable Scaling Architecture, Operational Blueprint</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15%–35% </w:t>
            </w:r>
            <w:r w:rsidDel="00000000" w:rsidR="00000000" w:rsidRPr="00000000">
              <w:rPr>
                <w:rFonts w:ascii="Google Sans Text" w:cs="Google Sans Text" w:eastAsia="Google Sans Text" w:hAnsi="Google Sans Text"/>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High. Directly impacts efficiency gains and company valuation multiples.</w:t>
            </w:r>
            <w:r w:rsidDel="00000000" w:rsidR="00000000" w:rsidRPr="00000000">
              <w:rPr>
                <w:rFonts w:ascii="Google Sans Text" w:cs="Google Sans Text" w:eastAsia="Google Sans Text" w:hAnsi="Google Sans Text"/>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Time Commitment (Full-time Development &amp; Maintenance)</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build, continuous governance, SLA management, bug fixes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15%–30% </w:t>
            </w:r>
            <w:r w:rsidDel="00000000" w:rsidR="00000000" w:rsidRPr="00000000">
              <w:rPr>
                <w:rFonts w:ascii="Google Sans Text" w:cs="Google Sans Text" w:eastAsia="Google Sans Text" w:hAnsi="Google Sans Text"/>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High. Essential for reducing low-code technical debt and maintaining high availability/reliability.</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Industry Experience/Network</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guidance on TCO optimization and low-code FinTech best practices</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10%–25% </w:t>
            </w:r>
            <w:r w:rsidDel="00000000" w:rsidR="00000000" w:rsidRPr="00000000">
              <w:rPr>
                <w:rFonts w:ascii="Google Sans Text" w:cs="Google Sans Text" w:eastAsia="Google Sans Text" w:hAnsi="Google Sans Text"/>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1b1d1e"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Medium-High. Mitigates Kismet’s risk of future architectural rework and costly mistakes.</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Vesting of the allocated equity must be tied to critical technical and operational milestones, such as achieving 100% uptime SLAs for the Lead Velocity Engine, successfully implementing the initial data archiving strategy, and designing the external DoR pivot before data volume creates a performance crisis.</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IP Ownership and Governance Framework (Legal Blueprint)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maximize KFG’s valuation and competitive advantage, legal clarity on Intellectual Property (IP) ownership is paramount. Contractor-created technologies can be among a company's most valuable assets.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5.3.1 Defining IP Ownership and License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Master Services Agreement must explicitly define all custom proprietary developments—the Make.com scenarios, scaling scripts, and unique Airtable schema—as </w:t>
      </w:r>
      <w:r w:rsidDel="00000000" w:rsidR="00000000" w:rsidRPr="00000000">
        <w:rPr>
          <w:rFonts w:ascii="Google Sans Text" w:cs="Google Sans Text" w:eastAsia="Google Sans Text" w:hAnsi="Google Sans Text"/>
          <w:b w:val="1"/>
          <w:bCs w:val="1"/>
          <w:rtl w:val="0"/>
        </w:rPr>
        <w:t xml:space="preserve">"Work-for-Hire"</w:t>
      </w:r>
      <w:r w:rsidDel="00000000" w:rsidR="00000000" w:rsidRPr="00000000">
        <w:rPr>
          <w:rFonts w:ascii="Google Sans Text" w:cs="Google Sans Text" w:eastAsia="Google Sans Text" w:hAnsi="Google Sans Text"/>
          <w:rtl w:val="0"/>
        </w:rPr>
        <w:t xml:space="preserve">, with all associated IP rights assigned outright and irrevocably to KFG.</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Contingency (Consultant Retention):</w:t>
      </w:r>
      <w:r w:rsidDel="00000000" w:rsidR="00000000" w:rsidRPr="00000000">
        <w:rPr>
          <w:rFonts w:ascii="Google Sans Text" w:cs="Google Sans Text" w:eastAsia="Google Sans Text" w:hAnsi="Google Sans Text"/>
          <w:rtl w:val="0"/>
        </w:rPr>
        <w:t xml:space="preserve"> If Kevin Tan resists transferring outright IP ownership, claiming the general applicability of his system design across clients </w:t>
      </w:r>
      <w:r w:rsidDel="00000000" w:rsidR="00000000" w:rsidRPr="00000000">
        <w:rPr>
          <w:rFonts w:ascii="Google Sans Text" w:cs="Google Sans Text" w:eastAsia="Google Sans Text" w:hAnsi="Google Sans Text"/>
          <w:sz w:val="24"/>
          <w:szCs w:val="24"/>
          <w:vertAlign w:val="superscript"/>
          <w:rtl w:val="0"/>
        </w:rPr>
        <w:t xml:space="preserve">41</w:t>
      </w:r>
      <w:r w:rsidDel="00000000" w:rsidR="00000000" w:rsidRPr="00000000">
        <w:rPr>
          <w:rFonts w:ascii="Google Sans Text" w:cs="Google Sans Text" w:eastAsia="Google Sans Text" w:hAnsi="Google Sans Text"/>
          <w:rtl w:val="0"/>
        </w:rPr>
        <w:t xml:space="preserve">, KFG must negotiate an alternative legal structure. This structure requires Kevin Tan to grant KFG a non-exclusive, perpetual, irrevocable, fully paid-up license to use the IP, coupled with a mandatory, predetermined IP buy-out clause.</w:t>
      </w:r>
      <w:r w:rsidDel="00000000" w:rsidR="00000000" w:rsidRPr="00000000">
        <w:rPr>
          <w:rFonts w:ascii="Google Sans Text" w:cs="Google Sans Text" w:eastAsia="Google Sans Text" w:hAnsi="Google Sans Text"/>
          <w:sz w:val="24"/>
          <w:szCs w:val="24"/>
          <w:vertAlign w:val="superscript"/>
          <w:rtl w:val="0"/>
        </w:rPr>
        <w:t xml:space="preserve">42</w:t>
      </w:r>
      <w:r w:rsidDel="00000000" w:rsidR="00000000" w:rsidRPr="00000000">
        <w:rPr>
          <w:rFonts w:ascii="Google Sans Text" w:cs="Google Sans Text" w:eastAsia="Google Sans Text" w:hAnsi="Google Sans Text"/>
          <w:rtl w:val="0"/>
        </w:rPr>
        <w:t xml:space="preserve"> The buy-out price should be calculated based on measurable performance benchmarks, such as a multiple of the average retainer fees paid over the first five years, ensuring KFG can acquire full ownership upon achieving certain scaling metrics.</w:t>
      </w:r>
      <w:r w:rsidDel="00000000" w:rsidR="00000000" w:rsidRPr="00000000">
        <w:rPr>
          <w:rFonts w:ascii="Google Sans Text" w:cs="Google Sans Text" w:eastAsia="Google Sans Text" w:hAnsi="Google Sans Text"/>
          <w:sz w:val="24"/>
          <w:szCs w:val="24"/>
          <w:vertAlign w:val="superscript"/>
          <w:rtl w:val="0"/>
        </w:rPr>
        <w:t xml:space="preserve">42</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5.3.2 Essential Contractual Clauses for AI and Data Governance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Given the reliance on automated decision-making and the future integration of generative AI features from Airtable or Google (e.g., AI Admin Controls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the partnership contract must include specific clauses addressing modern AI and data governance risks.</w:t>
      </w:r>
      <w:r w:rsidDel="00000000" w:rsidR="00000000" w:rsidRPr="00000000">
        <w:rPr>
          <w:rFonts w:ascii="Google Sans Text" w:cs="Google Sans Text" w:eastAsia="Google Sans Text" w:hAnsi="Google Sans Text"/>
          <w:sz w:val="24"/>
          <w:szCs w:val="24"/>
          <w:vertAlign w:val="superscript"/>
          <w:rtl w:val="0"/>
        </w:rPr>
        <w:t xml:space="preserve">43</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Contractual Clauses Required:</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Liability and Indemnification:</w:t>
      </w:r>
      <w:r w:rsidDel="00000000" w:rsidR="00000000" w:rsidRPr="00000000">
        <w:rPr>
          <w:rFonts w:ascii="Google Sans Text" w:cs="Google Sans Text" w:eastAsia="Google Sans Text" w:hAnsi="Google Sans Text"/>
          <w:rtl w:val="0"/>
        </w:rPr>
        <w:t xml:space="preserve"> Explicitly define who bears responsibility if the automation logic or subsequent AI enhancements cause a legal or compliance breach (e.g., a discriminatory impact on applicants or clients).</w:t>
      </w:r>
      <w:r w:rsidDel="00000000" w:rsidR="00000000" w:rsidRPr="00000000">
        <w:rPr>
          <w:rFonts w:ascii="Google Sans Text" w:cs="Google Sans Text" w:eastAsia="Google Sans Text" w:hAnsi="Google Sans Text"/>
          <w:sz w:val="24"/>
          <w:szCs w:val="24"/>
          <w:vertAlign w:val="superscript"/>
          <w:rtl w:val="0"/>
        </w:rPr>
        <w:t xml:space="preserve">43</w:t>
      </w:r>
      <w:r w:rsidDel="00000000" w:rsidR="00000000" w:rsidRPr="00000000">
        <w:rPr>
          <w:rFonts w:ascii="Google Sans Text" w:cs="Google Sans Text" w:eastAsia="Google Sans Text" w:hAnsi="Google Sans Text"/>
          <w:rtl w:val="0"/>
        </w:rPr>
        <w:t xml:space="preserve"> Vendors typically aim to shift liability onto the client, but KFG must negotiate protections.</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Data Governance and Usage Rights:</w:t>
      </w:r>
      <w:r w:rsidDel="00000000" w:rsidR="00000000" w:rsidRPr="00000000">
        <w:rPr>
          <w:rFonts w:ascii="Google Sans Text" w:cs="Google Sans Text" w:eastAsia="Google Sans Text" w:hAnsi="Google Sans Text"/>
          <w:rtl w:val="0"/>
        </w:rPr>
        <w:t xml:space="preserve"> Clearly define Kevin Tan’s rights regarding access to, processing of, and usage of KFG’s financial data, adhering to the high standards required by financial regulatory bodies.</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Technical Documentation and Audit Mechanisms:</w:t>
      </w:r>
      <w:r w:rsidDel="00000000" w:rsidR="00000000" w:rsidRPr="00000000">
        <w:rPr>
          <w:rFonts w:ascii="Google Sans Text" w:cs="Google Sans Text" w:eastAsia="Google Sans Text" w:hAnsi="Google Sans Text"/>
          <w:rtl w:val="0"/>
        </w:rPr>
        <w:t xml:space="preserve"> Mandate strict standards for technical documentation of all proprietary automation scenarios and require provisions for KFG to conduct independent audits of the system architecture to ensure ongoing compliance and transparency.</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Conclusion and Next Steps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Final Assessment of Technical Viability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Kismet Finance Group’s low-code technical stack is architecturally feasible and delivers immediate operational agility, provided the necessary </w:t>
      </w:r>
      <w:r w:rsidDel="00000000" w:rsidR="00000000" w:rsidRPr="00000000">
        <w:rPr>
          <w:rFonts w:ascii="Google Sans Text" w:cs="Google Sans Text" w:eastAsia="Google Sans Text" w:hAnsi="Google Sans Text"/>
          <w:b w:val="1"/>
          <w:bCs w:val="1"/>
          <w:rtl w:val="0"/>
        </w:rPr>
        <w:t xml:space="preserve">Enterprise Governance</w:t>
      </w:r>
      <w:r w:rsidDel="00000000" w:rsidR="00000000" w:rsidRPr="00000000">
        <w:rPr>
          <w:rFonts w:ascii="Google Sans Text" w:cs="Google Sans Text" w:eastAsia="Google Sans Text" w:hAnsi="Google Sans Text"/>
          <w:rtl w:val="0"/>
        </w:rPr>
        <w:t xml:space="preserve"> features are procured immediately and the </w:t>
      </w:r>
      <w:r w:rsidDel="00000000" w:rsidR="00000000" w:rsidRPr="00000000">
        <w:rPr>
          <w:rFonts w:ascii="Google Sans Text" w:cs="Google Sans Text" w:eastAsia="Google Sans Text" w:hAnsi="Google Sans Text"/>
          <w:b w:val="1"/>
          <w:bCs w:val="1"/>
          <w:rtl w:val="0"/>
        </w:rPr>
        <w:t xml:space="preserve">scaling limitations</w:t>
      </w:r>
      <w:r w:rsidDel="00000000" w:rsidR="00000000" w:rsidRPr="00000000">
        <w:rPr>
          <w:rFonts w:ascii="Google Sans Text" w:cs="Google Sans Text" w:eastAsia="Google Sans Text" w:hAnsi="Google Sans Text"/>
          <w:rtl w:val="0"/>
        </w:rPr>
        <w:t xml:space="preserve"> of Airtable are proactively mitigated. The core viability of the solution shifts from a product choice (Airtable) to a talent dependency (Kevin Tan). His expertise is essential for transforming the low-code components from a collection of simple tools into a robust, scalable, and compliant system capable of sustained performance under enterprise load.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TCO model confirms that the expenditure will be front-loaded with licensing for Enterprise features and the cost of specialized architectural talent, but this investment protects KFG from catastrophic compliance failures or scaling choke points.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Implementation Roadmap: Q1-Q4 Strategic Focus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roadmap outlines the critical phases necessary to deploy the validated stack and secure the strategic partnership: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 Foundation &amp; Governance (Q1 Focus)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Contractual Finalization:</w:t>
      </w:r>
      <w:r w:rsidDel="00000000" w:rsidR="00000000" w:rsidRPr="00000000">
        <w:rPr>
          <w:rFonts w:ascii="Google Sans Text" w:cs="Google Sans Text" w:eastAsia="Google Sans Text" w:hAnsi="Google Sans Text"/>
          <w:rtl w:val="0"/>
        </w:rPr>
        <w:t xml:space="preserve"> Execute the Hybrid Retainer + Equity partnership agreement with Kevin Tan, ensuring explicit IP ownership assignment (Work-for-Hire) and inclusion of all necessary AI and data governance contractual clauses.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Licensing Upgrade:</w:t>
      </w:r>
      <w:r w:rsidDel="00000000" w:rsidR="00000000" w:rsidRPr="00000000">
        <w:rPr>
          <w:rFonts w:ascii="Google Sans Text" w:cs="Google Sans Text" w:eastAsia="Google Sans Text" w:hAnsi="Google Sans Text"/>
          <w:rtl w:val="0"/>
        </w:rPr>
        <w:t xml:space="preserve"> Immediately procure Airtable Enterprise Scale and Google Workspace Enterprise licensing to establish the necessary foundation for DLP, SSO, and audit logging required for a financial group.</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 Mission-Critical Deployment (Q1/Q2 Focus)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Automation Deployment:</w:t>
      </w:r>
      <w:r w:rsidDel="00000000" w:rsidR="00000000" w:rsidRPr="00000000">
        <w:rPr>
          <w:rFonts w:ascii="Google Sans Text" w:cs="Google Sans Text" w:eastAsia="Google Sans Text" w:hAnsi="Google Sans Text"/>
          <w:rtl w:val="0"/>
        </w:rPr>
        <w:t xml:space="preserve"> Build, test, and deploy the Make.com "Rep-Proof" Lead Velocity Engine automation (Missed Call Text-Back System).</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KPI Integration:</w:t>
      </w:r>
      <w:r w:rsidDel="00000000" w:rsidR="00000000" w:rsidRPr="00000000">
        <w:rPr>
          <w:rFonts w:ascii="Google Sans Text" w:cs="Google Sans Text" w:eastAsia="Google Sans Text" w:hAnsi="Google Sans Text"/>
          <w:rtl w:val="0"/>
        </w:rPr>
        <w:t xml:space="preserve"> Integrate the automation outputs into Airtable to track real-time KPI metrics, focusing specifically on Pipeline Stage Conversion Rate and Sales Cycle Length, thereby quantifying the initial ROI of the proprietary IP.</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III: Scaling Architecture (Q3/Q4 Focus)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Data Archiving Implementation:</w:t>
      </w:r>
      <w:r w:rsidDel="00000000" w:rsidR="00000000" w:rsidRPr="00000000">
        <w:rPr>
          <w:rFonts w:ascii="Google Sans Text" w:cs="Google Sans Text" w:eastAsia="Google Sans Text" w:hAnsi="Google Sans Text"/>
          <w:rtl w:val="0"/>
        </w:rPr>
        <w:t xml:space="preserve"> Implement the Make.com-driven automated script for data archiving and base splitting (Strategy 2.3.2).</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Proactive Scaling Pivot:</w:t>
      </w:r>
      <w:r w:rsidDel="00000000" w:rsidR="00000000" w:rsidRPr="00000000">
        <w:rPr>
          <w:rFonts w:ascii="Google Sans Text" w:cs="Google Sans Text" w:eastAsia="Google Sans Text" w:hAnsi="Google Sans Text"/>
          <w:rtl w:val="0"/>
        </w:rPr>
        <w:t xml:space="preserve"> Initiate the architectural planning and budget allocation for the external DoR pivot (Strategy 2.3.3). The execution of this migration to an external GCP-backed database must be scheduled and completed before the primary Airtable bases cross the critical 300,000-record threshold, ensuring the system never suffers the performance bottlenecks associated with exceeding the 500,000-record limit.</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Top 8 Financial Application Builders (&amp; How No-Code Helps) - Blaze.tech, accessed on November 20, 2025, </w:t>
      </w:r>
      <w:hyperlink r:id="rId7">
        <w:r w:rsidDel="00000000" w:rsidR="00000000" w:rsidRPr="00000000">
          <w:rPr>
            <w:rFonts w:ascii="Google Sans" w:cs="Google Sans" w:eastAsia="Google Sans" w:hAnsi="Google Sans"/>
            <w:sz w:val="24"/>
            <w:szCs w:val="24"/>
            <w:u w:val="single"/>
            <w:rtl w:val="0"/>
          </w:rPr>
          <w:t xml:space="preserve">https://www.blaze.tech/post/financial-application-builder</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Airtable vs Salesforce | Which CRM Is Best for Your Business - Pixel Consulting, accessed on November 20, 2025, </w:t>
      </w:r>
      <w:hyperlink r:id="rId8">
        <w:r w:rsidDel="00000000" w:rsidR="00000000" w:rsidRPr="00000000">
          <w:rPr>
            <w:rFonts w:ascii="Google Sans" w:cs="Google Sans" w:eastAsia="Google Sans" w:hAnsi="Google Sans"/>
            <w:sz w:val="24"/>
            <w:szCs w:val="24"/>
            <w:u w:val="single"/>
            <w:rtl w:val="0"/>
          </w:rPr>
          <w:t xml:space="preserve">https://www.pixelconsulting.io/post/airtable-vs-salesforce</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7 Low-Code Case Studies | Integrate.io, accessed on November 20, 2025, </w:t>
      </w:r>
      <w:hyperlink r:id="rId9">
        <w:r w:rsidDel="00000000" w:rsidR="00000000" w:rsidRPr="00000000">
          <w:rPr>
            <w:rFonts w:ascii="Google Sans" w:cs="Google Sans" w:eastAsia="Google Sans" w:hAnsi="Google Sans"/>
            <w:sz w:val="24"/>
            <w:szCs w:val="24"/>
            <w:u w:val="single"/>
            <w:rtl w:val="0"/>
          </w:rPr>
          <w:t xml:space="preserve">https://www.integrate.io/blog/7-low-code-case-studies/</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Low-code app development guide | Google Cloud, accessed on November 20, 2025, </w:t>
      </w:r>
      <w:hyperlink r:id="rId10">
        <w:r w:rsidDel="00000000" w:rsidR="00000000" w:rsidRPr="00000000">
          <w:rPr>
            <w:rFonts w:ascii="Google Sans" w:cs="Google Sans" w:eastAsia="Google Sans" w:hAnsi="Google Sans"/>
            <w:sz w:val="24"/>
            <w:szCs w:val="24"/>
            <w:u w:val="single"/>
            <w:rtl w:val="0"/>
          </w:rPr>
          <w:t xml:space="preserve">https://cloud.google.com/discover/what-is-low-code</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Low-Code CRM That Ends Fatigue and Scales with You - SpiceX, accessed on November 20, 2025, </w:t>
      </w:r>
      <w:hyperlink r:id="rId11">
        <w:r w:rsidDel="00000000" w:rsidR="00000000" w:rsidRPr="00000000">
          <w:rPr>
            <w:rFonts w:ascii="Google Sans" w:cs="Google Sans" w:eastAsia="Google Sans" w:hAnsi="Google Sans"/>
            <w:sz w:val="24"/>
            <w:szCs w:val="24"/>
            <w:u w:val="single"/>
            <w:rtl w:val="0"/>
          </w:rPr>
          <w:t xml:space="preserve">https://www.spicex.com/spicex-enterprise-low-code-crm-to-end-fatigue-75-it-savings/</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Master Total Cost of Ownership in 2025 | A CTO's Playbook - eLuminous Technologies, accessed on November 20, 2025, </w:t>
      </w:r>
      <w:hyperlink r:id="rId12">
        <w:r w:rsidDel="00000000" w:rsidR="00000000" w:rsidRPr="00000000">
          <w:rPr>
            <w:rFonts w:ascii="Google Sans" w:cs="Google Sans" w:eastAsia="Google Sans" w:hAnsi="Google Sans"/>
            <w:sz w:val="24"/>
            <w:szCs w:val="24"/>
            <w:u w:val="single"/>
            <w:rtl w:val="0"/>
          </w:rPr>
          <w:t xml:space="preserve">https://eluminoustechnologies.com/blog/total-cost-of-ownership/</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Airtable Data Limit Reached: 3 Common Solutions - NocoBase, accessed on November 20, 2025, </w:t>
      </w:r>
      <w:hyperlink r:id="rId13">
        <w:r w:rsidDel="00000000" w:rsidR="00000000" w:rsidRPr="00000000">
          <w:rPr>
            <w:rFonts w:ascii="Google Sans" w:cs="Google Sans" w:eastAsia="Google Sans" w:hAnsi="Google Sans"/>
            <w:sz w:val="24"/>
            <w:szCs w:val="24"/>
            <w:u w:val="single"/>
            <w:rtl w:val="0"/>
          </w:rPr>
          <w:t xml:space="preserve">https://www.nocobase.com/en/blog/airtable-data-limit-reached-3-common-solutions</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Thoughts on Airtable's 50K Record Limit? - Reddit, accessed on November 20, 2025, </w:t>
      </w:r>
      <w:hyperlink r:id="rId14">
        <w:r w:rsidDel="00000000" w:rsidR="00000000" w:rsidRPr="00000000">
          <w:rPr>
            <w:rFonts w:ascii="Google Sans" w:cs="Google Sans" w:eastAsia="Google Sans" w:hAnsi="Google Sans"/>
            <w:sz w:val="24"/>
            <w:szCs w:val="24"/>
            <w:u w:val="single"/>
            <w:rtl w:val="0"/>
          </w:rPr>
          <w:t xml:space="preserve">https://www.reddit.com/r/Airtable/comments/1g8le58/thoughts_on_airtables_50k_record_limit/</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Airtable Pricing | Compare Plans, Features &amp; Costs, accessed on November 20, 2025, </w:t>
      </w:r>
      <w:hyperlink r:id="rId15">
        <w:r w:rsidDel="00000000" w:rsidR="00000000" w:rsidRPr="00000000">
          <w:rPr>
            <w:rFonts w:ascii="Google Sans" w:cs="Google Sans" w:eastAsia="Google Sans" w:hAnsi="Google Sans"/>
            <w:sz w:val="24"/>
            <w:szCs w:val="24"/>
            <w:u w:val="single"/>
            <w:rtl w:val="0"/>
          </w:rPr>
          <w:t xml:space="preserve">https://airtable.com/pricing</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Common CRM Performance Issues and How to Fix Them | Empirical Edge Inc, accessed on November 20, 2025, </w:t>
      </w:r>
      <w:hyperlink r:id="rId16">
        <w:r w:rsidDel="00000000" w:rsidR="00000000" w:rsidRPr="00000000">
          <w:rPr>
            <w:rFonts w:ascii="Google Sans" w:cs="Google Sans" w:eastAsia="Google Sans" w:hAnsi="Google Sans"/>
            <w:sz w:val="24"/>
            <w:szCs w:val="24"/>
            <w:u w:val="single"/>
            <w:rtl w:val="0"/>
          </w:rPr>
          <w:t xml:space="preserve">https://empiricaledge.com/blog/common-crm-performance-issues-and-how-to-fix-them/</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Airtable Pricing Tiers &amp; Costs - The Digital Project Manager, accessed on November 20, 2025, </w:t>
      </w:r>
      <w:hyperlink r:id="rId17">
        <w:r w:rsidDel="00000000" w:rsidR="00000000" w:rsidRPr="00000000">
          <w:rPr>
            <w:rFonts w:ascii="Google Sans" w:cs="Google Sans" w:eastAsia="Google Sans" w:hAnsi="Google Sans"/>
            <w:sz w:val="24"/>
            <w:szCs w:val="24"/>
            <w:u w:val="single"/>
            <w:rtl w:val="0"/>
          </w:rPr>
          <w:t xml:space="preserve">https://thedigitalprojectmanager.com/tools/airtable-pricing/</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Make.com vs Zapier (Comparison Guide 2025) - Knack: No-Code Application Development Platform, accessed on November 20, 2025, </w:t>
      </w:r>
      <w:hyperlink r:id="rId18">
        <w:r w:rsidDel="00000000" w:rsidR="00000000" w:rsidRPr="00000000">
          <w:rPr>
            <w:rFonts w:ascii="Google Sans" w:cs="Google Sans" w:eastAsia="Google Sans" w:hAnsi="Google Sans"/>
            <w:sz w:val="24"/>
            <w:szCs w:val="24"/>
            <w:u w:val="single"/>
            <w:rtl w:val="0"/>
          </w:rPr>
          <w:t xml:space="preserve">https://www.knack.com/blog/make-com-vs-zapier-comparison-guide-2025/</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Consulting Retainer Guide in 2025: From One-Off Projects To Recurring Revenue, accessed on November 20, 2025, </w:t>
      </w:r>
      <w:hyperlink r:id="rId19">
        <w:r w:rsidDel="00000000" w:rsidR="00000000" w:rsidRPr="00000000">
          <w:rPr>
            <w:rFonts w:ascii="Google Sans" w:cs="Google Sans" w:eastAsia="Google Sans" w:hAnsi="Google Sans"/>
            <w:sz w:val="24"/>
            <w:szCs w:val="24"/>
            <w:u w:val="single"/>
            <w:rtl w:val="0"/>
          </w:rPr>
          <w:t xml:space="preserve">https://www.consultingsuccess.com/consulting-retainer</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How AI Is Shaping the Valuation of Private Companies - EisnerAmper, accessed on November 20, 2025, </w:t>
      </w:r>
      <w:hyperlink r:id="rId20">
        <w:r w:rsidDel="00000000" w:rsidR="00000000" w:rsidRPr="00000000">
          <w:rPr>
            <w:rFonts w:ascii="Google Sans" w:cs="Google Sans" w:eastAsia="Google Sans" w:hAnsi="Google Sans"/>
            <w:sz w:val="24"/>
            <w:szCs w:val="24"/>
            <w:u w:val="single"/>
            <w:rtl w:val="0"/>
          </w:rPr>
          <w:t xml:space="preserve">https://www.eisneramper.com/insights/artificial-intelligence-insights/artificial-intelligence-and-private-company-valuations-0925/</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IP Rights in Independent Consultant and Contractor Agreements | Practical Law - Westlaw, accessed on November 20, 2025, </w:t>
      </w:r>
      <w:hyperlink r:id="rId21">
        <w:r w:rsidDel="00000000" w:rsidR="00000000" w:rsidRPr="00000000">
          <w:rPr>
            <w:rFonts w:ascii="Google Sans" w:cs="Google Sans" w:eastAsia="Google Sans" w:hAnsi="Google Sans"/>
            <w:sz w:val="24"/>
            <w:szCs w:val="24"/>
            <w:u w:val="single"/>
            <w:rtl w:val="0"/>
          </w:rPr>
          <w:t xml:space="preserve">https://content.next.westlaw.com/practical-law/document/Id8fbb98d92c711e598dc8b09b4f043e0/IP-Rights-in-Independent-Consultant-and-Contractor-Agreements?viewType=FullText&amp;transitionType=Default&amp;contextData=(sc.Default)</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FedRAMP Compliance | Google Cloud, accessed on November 20, 2025, </w:t>
      </w:r>
      <w:hyperlink r:id="rId22">
        <w:r w:rsidDel="00000000" w:rsidR="00000000" w:rsidRPr="00000000">
          <w:rPr>
            <w:rFonts w:ascii="Google Sans" w:cs="Google Sans" w:eastAsia="Google Sans" w:hAnsi="Google Sans"/>
            <w:sz w:val="24"/>
            <w:szCs w:val="24"/>
            <w:u w:val="single"/>
            <w:rtl w:val="0"/>
          </w:rPr>
          <w:t xml:space="preserve">https://cloud.google.com/security/compliance/fedramp</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Cloud Security and Data Protection Services | Google Workspace, accessed on November 20, 2025, </w:t>
      </w:r>
      <w:hyperlink r:id="rId23">
        <w:r w:rsidDel="00000000" w:rsidR="00000000" w:rsidRPr="00000000">
          <w:rPr>
            <w:rFonts w:ascii="Google Sans" w:cs="Google Sans" w:eastAsia="Google Sans" w:hAnsi="Google Sans"/>
            <w:sz w:val="24"/>
            <w:szCs w:val="24"/>
            <w:u w:val="single"/>
            <w:rtl w:val="0"/>
          </w:rPr>
          <w:t xml:space="preserve">https://workspace.google.com/security/</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Amount of operations used - Getting Started - Make Community, accessed on November 20, 2025, </w:t>
      </w:r>
      <w:hyperlink r:id="rId24">
        <w:r w:rsidDel="00000000" w:rsidR="00000000" w:rsidRPr="00000000">
          <w:rPr>
            <w:rFonts w:ascii="Google Sans" w:cs="Google Sans" w:eastAsia="Google Sans" w:hAnsi="Google Sans"/>
            <w:sz w:val="24"/>
            <w:szCs w:val="24"/>
            <w:u w:val="single"/>
            <w:rtl w:val="0"/>
          </w:rPr>
          <w:t xml:space="preserve">https://community.make.com/t/amount-of-operations-used/86574</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CRM TCO: How Sugar Optimizes Costs and Value - SugarCRM, accessed on November 20, 2025, </w:t>
      </w:r>
      <w:hyperlink r:id="rId25">
        <w:r w:rsidDel="00000000" w:rsidR="00000000" w:rsidRPr="00000000">
          <w:rPr>
            <w:rFonts w:ascii="Google Sans" w:cs="Google Sans" w:eastAsia="Google Sans" w:hAnsi="Google Sans"/>
            <w:sz w:val="24"/>
            <w:szCs w:val="24"/>
            <w:u w:val="single"/>
            <w:rtl w:val="0"/>
          </w:rPr>
          <w:t xml:space="preserve">https://www.sugarcrm.com/blog/crm-tco-sugarcrm-cost-and-value/</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Sales Process Pipeline KPIs: A Complete List of Sales Process KPIs - - Krieger Analytics, accessed on November 20, 2025, </w:t>
      </w:r>
      <w:hyperlink r:id="rId26">
        <w:r w:rsidDel="00000000" w:rsidR="00000000" w:rsidRPr="00000000">
          <w:rPr>
            <w:rFonts w:ascii="Google Sans" w:cs="Google Sans" w:eastAsia="Google Sans" w:hAnsi="Google Sans"/>
            <w:sz w:val="24"/>
            <w:szCs w:val="24"/>
            <w:u w:val="single"/>
            <w:rtl w:val="0"/>
          </w:rPr>
          <w:t xml:space="preserve">https://k-analytics.com/sales-kpis/</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Integrating with Airtable - Overview, accessed on November 20, 2025, </w:t>
      </w:r>
      <w:hyperlink r:id="rId27">
        <w:r w:rsidDel="00000000" w:rsidR="00000000" w:rsidRPr="00000000">
          <w:rPr>
            <w:rFonts w:ascii="Google Sans" w:cs="Google Sans" w:eastAsia="Google Sans" w:hAnsi="Google Sans"/>
            <w:sz w:val="24"/>
            <w:szCs w:val="24"/>
            <w:u w:val="single"/>
            <w:rtl w:val="0"/>
          </w:rPr>
          <w:t xml:space="preserve">https://support.airtable.com/docs/options-for-integrating-with-airtable</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How to Be an Elite Level Coach - Michael Serwa, accessed on November 20, 2025, </w:t>
      </w:r>
      <w:hyperlink r:id="rId28">
        <w:r w:rsidDel="00000000" w:rsidR="00000000" w:rsidRPr="00000000">
          <w:rPr>
            <w:rFonts w:ascii="Google Sans" w:cs="Google Sans" w:eastAsia="Google Sans" w:hAnsi="Google Sans"/>
            <w:sz w:val="24"/>
            <w:szCs w:val="24"/>
            <w:u w:val="single"/>
            <w:rtl w:val="0"/>
          </w:rPr>
          <w:t xml:space="preserve">https://michaelserwa.com/articles/coaching-for-coaches/</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Make vs. Zapier - Integration Platforms - TableForums: The Airtable Discussion Community, accessed on November 20, 2025, </w:t>
      </w:r>
      <w:hyperlink r:id="rId29">
        <w:r w:rsidDel="00000000" w:rsidR="00000000" w:rsidRPr="00000000">
          <w:rPr>
            <w:rFonts w:ascii="Google Sans" w:cs="Google Sans" w:eastAsia="Google Sans" w:hAnsi="Google Sans"/>
            <w:sz w:val="24"/>
            <w:szCs w:val="24"/>
            <w:u w:val="single"/>
            <w:rtl w:val="0"/>
          </w:rPr>
          <w:t xml:space="preserve">https://air.tableforums.com/t/make-vs-zapier/737</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new launch model for moving from real estate agent to investor - Think Realty, accessed on November 20, 2025, </w:t>
      </w:r>
      <w:hyperlink r:id="rId30">
        <w:r w:rsidDel="00000000" w:rsidR="00000000" w:rsidRPr="00000000">
          <w:rPr>
            <w:rFonts w:ascii="Google Sans" w:cs="Google Sans" w:eastAsia="Google Sans" w:hAnsi="Google Sans"/>
            <w:sz w:val="24"/>
            <w:szCs w:val="24"/>
            <w:u w:val="single"/>
            <w:rtl w:val="0"/>
          </w:rPr>
          <w:t xml:space="preserve">https://thinkrealty.com/wp-content/uploads/2018/10/Make-It-Rain-Book_Abhi-Golhar_Full.pdf</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An Easy-to-reference, Quick Listing Of All Posts On Hook Agency, accessed on November 20, 2025, </w:t>
      </w:r>
      <w:hyperlink r:id="rId31">
        <w:r w:rsidDel="00000000" w:rsidR="00000000" w:rsidRPr="00000000">
          <w:rPr>
            <w:rFonts w:ascii="Google Sans" w:cs="Google Sans" w:eastAsia="Google Sans" w:hAnsi="Google Sans"/>
            <w:sz w:val="24"/>
            <w:szCs w:val="24"/>
            <w:u w:val="single"/>
            <w:rtl w:val="0"/>
          </w:rPr>
          <w:t xml:space="preserve">https://hookagency.com/all-posts/</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Missed Call Text Back Software Free in 2025 - Callin.io, accessed on November 20, 2025, </w:t>
      </w:r>
      <w:hyperlink r:id="rId32">
        <w:r w:rsidDel="00000000" w:rsidR="00000000" w:rsidRPr="00000000">
          <w:rPr>
            <w:rFonts w:ascii="Google Sans" w:cs="Google Sans" w:eastAsia="Google Sans" w:hAnsi="Google Sans"/>
            <w:sz w:val="24"/>
            <w:szCs w:val="24"/>
            <w:u w:val="single"/>
            <w:rtl w:val="0"/>
          </w:rPr>
          <w:t xml:space="preserve">https://callin.io/missed-call-text-back-software-free/</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Boost Your Business with Missed Call Text Back Software - DigitalRealm Solutions, accessed on November 20, 2025, </w:t>
      </w:r>
      <w:hyperlink r:id="rId33">
        <w:r w:rsidDel="00000000" w:rsidR="00000000" w:rsidRPr="00000000">
          <w:rPr>
            <w:rFonts w:ascii="Google Sans" w:cs="Google Sans" w:eastAsia="Google Sans" w:hAnsi="Google Sans"/>
            <w:sz w:val="24"/>
            <w:szCs w:val="24"/>
            <w:u w:val="single"/>
            <w:rtl w:val="0"/>
          </w:rPr>
          <w:t xml:space="preserve">https://digitalrealmsolutions.com/post/boost-your-business-with-missed-call-text-back-software</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Call Automation - Zapier, accessed on November 20, 2025, </w:t>
      </w:r>
      <w:hyperlink r:id="rId34">
        <w:r w:rsidDel="00000000" w:rsidR="00000000" w:rsidRPr="00000000">
          <w:rPr>
            <w:rFonts w:ascii="Google Sans" w:cs="Google Sans" w:eastAsia="Google Sans" w:hAnsi="Google Sans"/>
            <w:sz w:val="24"/>
            <w:szCs w:val="24"/>
            <w:u w:val="single"/>
            <w:rtl w:val="0"/>
          </w:rPr>
          <w:t xml:space="preserve">https://zapier.com/automation/call-automation</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Mastering Marketing Automation Workflows - Call Loop, accessed on November 20, 2025, </w:t>
      </w:r>
      <w:hyperlink r:id="rId35">
        <w:r w:rsidDel="00000000" w:rsidR="00000000" w:rsidRPr="00000000">
          <w:rPr>
            <w:rFonts w:ascii="Google Sans" w:cs="Google Sans" w:eastAsia="Google Sans" w:hAnsi="Google Sans"/>
            <w:sz w:val="24"/>
            <w:szCs w:val="24"/>
            <w:u w:val="single"/>
            <w:rtl w:val="0"/>
          </w:rPr>
          <w:t xml:space="preserve">https://www.callloop.com/blog/marketing-automation-workflows</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Using AI: track and manage missed calls for followup actions - Zapier, accessed on November 20, 2025, </w:t>
      </w:r>
      <w:hyperlink r:id="rId36">
        <w:r w:rsidDel="00000000" w:rsidR="00000000" w:rsidRPr="00000000">
          <w:rPr>
            <w:rFonts w:ascii="Google Sans" w:cs="Google Sans" w:eastAsia="Google Sans" w:hAnsi="Google Sans"/>
            <w:sz w:val="24"/>
            <w:szCs w:val="24"/>
            <w:u w:val="single"/>
            <w:rtl w:val="0"/>
          </w:rPr>
          <w:t xml:space="preserve">https://zapier.com/automation/use-case/using-ai-track-and-manage-missed-calls-for-followup-actions</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Call Flow Diagram: How to Visualize and Optimize Customer Interactions - CloudTalk, accessed on November 20, 2025, </w:t>
      </w:r>
      <w:hyperlink r:id="rId37">
        <w:r w:rsidDel="00000000" w:rsidR="00000000" w:rsidRPr="00000000">
          <w:rPr>
            <w:rFonts w:ascii="Google Sans" w:cs="Google Sans" w:eastAsia="Google Sans" w:hAnsi="Google Sans"/>
            <w:sz w:val="24"/>
            <w:szCs w:val="24"/>
            <w:u w:val="single"/>
            <w:rtl w:val="0"/>
          </w:rPr>
          <w:t xml:space="preserve">https://www.cloudtalk.io/blog/call-flow-diagram/</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Missed Call Text Back Software: The Benefits for Appointment-Based Businesses - TrueLark, accessed on November 20, 2025, </w:t>
      </w:r>
      <w:hyperlink r:id="rId38">
        <w:r w:rsidDel="00000000" w:rsidR="00000000" w:rsidRPr="00000000">
          <w:rPr>
            <w:rFonts w:ascii="Google Sans" w:cs="Google Sans" w:eastAsia="Google Sans" w:hAnsi="Google Sans"/>
            <w:sz w:val="24"/>
            <w:szCs w:val="24"/>
            <w:u w:val="single"/>
            <w:rtl w:val="0"/>
          </w:rPr>
          <w:t xml:space="preserve">https://truelark.com/missed-call-follow-up-software/</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15 Essential Sales Pipeline Metrics - CaptivateIQ, accessed on November 20, 2025, </w:t>
      </w:r>
      <w:hyperlink r:id="rId39">
        <w:r w:rsidDel="00000000" w:rsidR="00000000" w:rsidRPr="00000000">
          <w:rPr>
            <w:rFonts w:ascii="Google Sans" w:cs="Google Sans" w:eastAsia="Google Sans" w:hAnsi="Google Sans"/>
            <w:sz w:val="24"/>
            <w:szCs w:val="24"/>
            <w:u w:val="single"/>
            <w:rtl w:val="0"/>
          </w:rPr>
          <w:t xml:space="preserve">https://www.captivateiq.com/blog/sales-pipeline-metrics</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 Governance in Financial Services - Holistic AI, accessed on November 20, 2025, </w:t>
      </w:r>
      <w:hyperlink r:id="rId40">
        <w:r w:rsidDel="00000000" w:rsidR="00000000" w:rsidRPr="00000000">
          <w:rPr>
            <w:rFonts w:ascii="Google Sans" w:cs="Google Sans" w:eastAsia="Google Sans" w:hAnsi="Google Sans"/>
            <w:sz w:val="24"/>
            <w:szCs w:val="24"/>
            <w:u w:val="single"/>
            <w:rtl w:val="0"/>
          </w:rPr>
          <w:t xml:space="preserve">https://www.holisticai.com/blog/ai-governance-in-financial-services</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Pricing &amp; Subscription Packages - Make, accessed on November 20, 2025, </w:t>
      </w:r>
      <w:hyperlink r:id="rId41">
        <w:r w:rsidDel="00000000" w:rsidR="00000000" w:rsidRPr="00000000">
          <w:rPr>
            <w:rFonts w:ascii="Google Sans" w:cs="Google Sans" w:eastAsia="Google Sans" w:hAnsi="Google Sans"/>
            <w:sz w:val="24"/>
            <w:szCs w:val="24"/>
            <w:u w:val="single"/>
            <w:rtl w:val="0"/>
          </w:rPr>
          <w:t xml:space="preserve">https://www.make.com/en/pricing</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Airtable vs. Attio vs. Salesforce Comparison, accessed on November 20, 2025, </w:t>
      </w:r>
      <w:hyperlink r:id="rId42">
        <w:r w:rsidDel="00000000" w:rsidR="00000000" w:rsidRPr="00000000">
          <w:rPr>
            <w:rFonts w:ascii="Google Sans" w:cs="Google Sans" w:eastAsia="Google Sans" w:hAnsi="Google Sans"/>
            <w:sz w:val="24"/>
            <w:szCs w:val="24"/>
            <w:u w:val="single"/>
            <w:rtl w:val="0"/>
          </w:rPr>
          <w:t xml:space="preserve">https://www.stacksync.com/blog/airtable-vs-attio-vs-salesforce-comparison</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Capbase's Startup Equity Calculator, accessed on November 20, 2025, </w:t>
      </w:r>
      <w:hyperlink r:id="rId43">
        <w:r w:rsidDel="00000000" w:rsidR="00000000" w:rsidRPr="00000000">
          <w:rPr>
            <w:rFonts w:ascii="Google Sans" w:cs="Google Sans" w:eastAsia="Google Sans" w:hAnsi="Google Sans"/>
            <w:sz w:val="24"/>
            <w:szCs w:val="24"/>
            <w:u w:val="single"/>
            <w:rtl w:val="0"/>
          </w:rPr>
          <w:t xml:space="preserve">https://capbase.com/startup-equity-calculator/</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How Much Equity Should I Give My Cofounder? - Startup to Scaleup, accessed on November 20, 2025, </w:t>
      </w:r>
      <w:hyperlink r:id="rId44">
        <w:r w:rsidDel="00000000" w:rsidR="00000000" w:rsidRPr="00000000">
          <w:rPr>
            <w:rFonts w:ascii="Google Sans" w:cs="Google Sans" w:eastAsia="Google Sans" w:hAnsi="Google Sans"/>
            <w:sz w:val="24"/>
            <w:szCs w:val="24"/>
            <w:u w:val="single"/>
            <w:rtl w:val="0"/>
          </w:rPr>
          <w:t xml:space="preserve">https://www.startuptoscaleup.com/resources/how-much-equity-should-i-give-my-cofounder/</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Equity Splits in Partnerships: Guide - Phoenix Strategy Group, accessed on November 20, 2025, </w:t>
      </w:r>
      <w:hyperlink r:id="rId45">
        <w:r w:rsidDel="00000000" w:rsidR="00000000" w:rsidRPr="00000000">
          <w:rPr>
            <w:rFonts w:ascii="Google Sans" w:cs="Google Sans" w:eastAsia="Google Sans" w:hAnsi="Google Sans"/>
            <w:sz w:val="24"/>
            <w:szCs w:val="24"/>
            <w:u w:val="single"/>
            <w:rtl w:val="0"/>
          </w:rPr>
          <w:t xml:space="preserve">https://www.phoenixstrategy.group/blog/equity-splits-in-partnerships-guide</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Intellectual Property Pitfalls in Consulting Agreements - Condo Roccia Koptiw LLP, accessed on November 20, 2025, </w:t>
      </w:r>
      <w:hyperlink r:id="rId46">
        <w:r w:rsidDel="00000000" w:rsidR="00000000" w:rsidRPr="00000000">
          <w:rPr>
            <w:rFonts w:ascii="Google Sans" w:cs="Google Sans" w:eastAsia="Google Sans" w:hAnsi="Google Sans"/>
            <w:sz w:val="24"/>
            <w:szCs w:val="24"/>
            <w:u w:val="single"/>
            <w:rtl w:val="0"/>
          </w:rPr>
          <w:t xml:space="preserve">https://www.condoroccia.com/intellectual-property-pitfalls-consulting-agreements/</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 Consultant's Guide to Business Contracts | Law Bulletins, accessed on November 20, 2025, </w:t>
      </w:r>
      <w:hyperlink r:id="rId47">
        <w:r w:rsidDel="00000000" w:rsidR="00000000" w:rsidRPr="00000000">
          <w:rPr>
            <w:rFonts w:ascii="Google Sans" w:cs="Google Sans" w:eastAsia="Google Sans" w:hAnsi="Google Sans"/>
            <w:sz w:val="24"/>
            <w:szCs w:val="24"/>
            <w:u w:val="single"/>
            <w:rtl w:val="0"/>
          </w:rPr>
          <w:t xml:space="preserve">https://www.taftlaw.com/news-events/law-bulletins/the-consultants-guide-to-business-contracts/</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How to Negotiate an IP Buyout in Your Licensing Agreement, accessed on November 20, 2025, </w:t>
      </w:r>
      <w:hyperlink r:id="rId48">
        <w:r w:rsidDel="00000000" w:rsidR="00000000" w:rsidRPr="00000000">
          <w:rPr>
            <w:rFonts w:ascii="Google Sans" w:cs="Google Sans" w:eastAsia="Google Sans" w:hAnsi="Google Sans"/>
            <w:sz w:val="24"/>
            <w:szCs w:val="24"/>
            <w:u w:val="single"/>
            <w:rtl w:val="0"/>
          </w:rPr>
          <w:t xml:space="preserve">https://licensingconsultinggroup.com/how-to-negotiate-an-ip-buyout-in-your-licensing-agreement/</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Key Considerations in AI-Related Contracts | Byte Back, accessed on November 20, 2025, </w:t>
      </w:r>
      <w:hyperlink r:id="rId49">
        <w:r w:rsidDel="00000000" w:rsidR="00000000" w:rsidRPr="00000000">
          <w:rPr>
            <w:rFonts w:ascii="Google Sans" w:cs="Google Sans" w:eastAsia="Google Sans" w:hAnsi="Google Sans"/>
            <w:sz w:val="24"/>
            <w:szCs w:val="24"/>
            <w:u w:val="single"/>
            <w:rtl w:val="0"/>
          </w:rPr>
          <w:t xml:space="preserve">https://www.bytebacklaw.com/2024/08/key-considerations-in-ai-related-contracts/</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Understanding Data Governance and AI in Financial Services - AI Squared Blog, accessed on November 20, 2025, </w:t>
      </w:r>
      <w:hyperlink r:id="rId50">
        <w:r w:rsidDel="00000000" w:rsidR="00000000" w:rsidRPr="00000000">
          <w:rPr>
            <w:rFonts w:ascii="Google Sans" w:cs="Google Sans" w:eastAsia="Google Sans" w:hAnsi="Google Sans"/>
            <w:sz w:val="24"/>
            <w:szCs w:val="24"/>
            <w:u w:val="single"/>
            <w:rtl w:val="0"/>
          </w:rPr>
          <w:t xml:space="preserve">https://blog.squared.ai/understanding-data-governance-and-ai-in-financial-services-2/</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 Contractual Clauses for AI Procurement in the EU: Key Takeaways for AI Companies, accessed on November 20, 2025, </w:t>
      </w:r>
      <w:hyperlink r:id="rId51">
        <w:r w:rsidDel="00000000" w:rsidR="00000000" w:rsidRPr="00000000">
          <w:rPr>
            <w:rFonts w:ascii="Google Sans" w:cs="Google Sans" w:eastAsia="Google Sans" w:hAnsi="Google Sans"/>
            <w:sz w:val="24"/>
            <w:szCs w:val="24"/>
            <w:u w:val="single"/>
            <w:rtl w:val="0"/>
          </w:rPr>
          <w:t xml:space="preserve">https://cdp.cooley.com/model-contractual-clauses-for-ai-procurement-in-the-eu-key-takeaways-for-ai-companies/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olisticai.com/blog/ai-governance-in-financial-services" TargetMode="External"/><Relationship Id="rId42" Type="http://schemas.openxmlformats.org/officeDocument/2006/relationships/hyperlink" Target="https://www.stacksync.com/blog/airtable-vs-attio-vs-salesforce-comparison" TargetMode="External"/><Relationship Id="rId41" Type="http://schemas.openxmlformats.org/officeDocument/2006/relationships/hyperlink" Target="https://www.make.com/en/pricing" TargetMode="External"/><Relationship Id="rId44" Type="http://schemas.openxmlformats.org/officeDocument/2006/relationships/hyperlink" Target="https://www.startuptoscaleup.com/resources/how-much-equity-should-i-give-my-cofounder/" TargetMode="External"/><Relationship Id="rId43" Type="http://schemas.openxmlformats.org/officeDocument/2006/relationships/hyperlink" Target="https://capbase.com/startup-equity-calculator/" TargetMode="External"/><Relationship Id="rId46" Type="http://schemas.openxmlformats.org/officeDocument/2006/relationships/hyperlink" Target="https://www.condoroccia.com/intellectual-property-pitfalls-consulting-agreements/" TargetMode="External"/><Relationship Id="rId45" Type="http://schemas.openxmlformats.org/officeDocument/2006/relationships/hyperlink" Target="https://www.phoenixstrategy.group/blog/equity-splits-in-partnership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tegrate.io/blog/7-low-code-case-studies/" TargetMode="External"/><Relationship Id="rId48" Type="http://schemas.openxmlformats.org/officeDocument/2006/relationships/hyperlink" Target="https://licensingconsultinggroup.com/how-to-negotiate-an-ip-buyout-in-your-licensing-agreement/" TargetMode="External"/><Relationship Id="rId47" Type="http://schemas.openxmlformats.org/officeDocument/2006/relationships/hyperlink" Target="https://www.taftlaw.com/news-events/law-bulletins/the-consultants-guide-to-business-contracts/" TargetMode="External"/><Relationship Id="rId49" Type="http://schemas.openxmlformats.org/officeDocument/2006/relationships/hyperlink" Target="https://www.bytebacklaw.com/2024/08/key-considerations-in-ai-related-contracts/" TargetMode="External"/><Relationship Id="rId5" Type="http://schemas.openxmlformats.org/officeDocument/2006/relationships/styles" Target="styles.xml"/><Relationship Id="rId6" Type="http://schemas.openxmlformats.org/officeDocument/2006/relationships/hyperlink" Target="https://make.com/Integrator" TargetMode="External"/><Relationship Id="rId7" Type="http://schemas.openxmlformats.org/officeDocument/2006/relationships/hyperlink" Target="https://www.blaze.tech/post/financial-application-builder" TargetMode="External"/><Relationship Id="rId8" Type="http://schemas.openxmlformats.org/officeDocument/2006/relationships/hyperlink" Target="https://www.pixelconsulting.io/post/airtable-vs-salesforce" TargetMode="External"/><Relationship Id="rId31" Type="http://schemas.openxmlformats.org/officeDocument/2006/relationships/hyperlink" Target="https://hookagency.com/all-posts/" TargetMode="External"/><Relationship Id="rId30" Type="http://schemas.openxmlformats.org/officeDocument/2006/relationships/hyperlink" Target="https://thinkrealty.com/wp-content/uploads/2018/10/Make-It-Rain-Book_Abhi-Golhar_Full.pdf" TargetMode="External"/><Relationship Id="rId33" Type="http://schemas.openxmlformats.org/officeDocument/2006/relationships/hyperlink" Target="https://digitalrealmsolutions.com/post/boost-your-business-with-missed-call-text-back-software" TargetMode="External"/><Relationship Id="rId32" Type="http://schemas.openxmlformats.org/officeDocument/2006/relationships/hyperlink" Target="https://callin.io/missed-call-text-back-software-free/" TargetMode="External"/><Relationship Id="rId35" Type="http://schemas.openxmlformats.org/officeDocument/2006/relationships/hyperlink" Target="https://www.callloop.com/blog/marketing-automation-workflows" TargetMode="External"/><Relationship Id="rId34" Type="http://schemas.openxmlformats.org/officeDocument/2006/relationships/hyperlink" Target="https://zapier.com/automation/call-automation" TargetMode="External"/><Relationship Id="rId37" Type="http://schemas.openxmlformats.org/officeDocument/2006/relationships/hyperlink" Target="https://www.cloudtalk.io/blog/call-flow-diagram/" TargetMode="External"/><Relationship Id="rId36" Type="http://schemas.openxmlformats.org/officeDocument/2006/relationships/hyperlink" Target="https://zapier.com/automation/use-case/using-ai-track-and-manage-missed-calls-for-followup-actions" TargetMode="External"/><Relationship Id="rId39" Type="http://schemas.openxmlformats.org/officeDocument/2006/relationships/hyperlink" Target="https://www.captivateiq.com/blog/sales-pipeline-metrics" TargetMode="External"/><Relationship Id="rId38" Type="http://schemas.openxmlformats.org/officeDocument/2006/relationships/hyperlink" Target="https://truelark.com/missed-call-follow-up-software/" TargetMode="External"/><Relationship Id="rId20" Type="http://schemas.openxmlformats.org/officeDocument/2006/relationships/hyperlink" Target="https://www.eisneramper.com/insights/artificial-intelligence-insights/artificial-intelligence-and-private-company-valuations-0925/" TargetMode="External"/><Relationship Id="rId22" Type="http://schemas.openxmlformats.org/officeDocument/2006/relationships/hyperlink" Target="https://cloud.google.com/security/compliance/fedramp" TargetMode="External"/><Relationship Id="rId21" Type="http://schemas.openxmlformats.org/officeDocument/2006/relationships/hyperlink" Target="https://content.next.westlaw.com/practical-law/document/Id8fbb98d92c711e598dc8b09b4f043e0/IP-Rights-in-Independent-Consultant-and-Contractor-Agreements?viewType=FullText&amp;transitionType=Default&amp;contextData=(sc.Default)" TargetMode="External"/><Relationship Id="rId24" Type="http://schemas.openxmlformats.org/officeDocument/2006/relationships/hyperlink" Target="https://community.make.com/t/amount-of-operations-used/86574" TargetMode="External"/><Relationship Id="rId23" Type="http://schemas.openxmlformats.org/officeDocument/2006/relationships/hyperlink" Target="https://workspace.google.com/security/" TargetMode="External"/><Relationship Id="rId26" Type="http://schemas.openxmlformats.org/officeDocument/2006/relationships/hyperlink" Target="https://k-analytics.com/sales-kpis/" TargetMode="External"/><Relationship Id="rId25" Type="http://schemas.openxmlformats.org/officeDocument/2006/relationships/hyperlink" Target="https://www.sugarcrm.com/blog/crm-tco-sugarcrm-cost-and-value/" TargetMode="External"/><Relationship Id="rId28" Type="http://schemas.openxmlformats.org/officeDocument/2006/relationships/hyperlink" Target="https://michaelserwa.com/articles/coaching-for-coaches/" TargetMode="External"/><Relationship Id="rId27" Type="http://schemas.openxmlformats.org/officeDocument/2006/relationships/hyperlink" Target="https://support.airtable.com/docs/options-for-integrating-with-airtable" TargetMode="External"/><Relationship Id="rId29" Type="http://schemas.openxmlformats.org/officeDocument/2006/relationships/hyperlink" Target="https://air.tableforums.com/t/make-vs-zapier/737" TargetMode="External"/><Relationship Id="rId51" Type="http://schemas.openxmlformats.org/officeDocument/2006/relationships/hyperlink" Target="https://cdp.cooley.com/model-contractual-clauses-for-ai-procurement-in-the-eu-key-takeaways-for-ai-companies/" TargetMode="External"/><Relationship Id="rId50" Type="http://schemas.openxmlformats.org/officeDocument/2006/relationships/hyperlink" Target="https://blog.squared.ai/understanding-data-governance-and-ai-in-financial-services-2/" TargetMode="External"/><Relationship Id="rId11" Type="http://schemas.openxmlformats.org/officeDocument/2006/relationships/hyperlink" Target="https://www.spicex.com/spicex-enterprise-low-code-crm-to-end-fatigue-75-it-savings/" TargetMode="External"/><Relationship Id="rId10" Type="http://schemas.openxmlformats.org/officeDocument/2006/relationships/hyperlink" Target="https://cloud.google.com/discover/what-is-low-code" TargetMode="External"/><Relationship Id="rId13" Type="http://schemas.openxmlformats.org/officeDocument/2006/relationships/hyperlink" Target="https://www.nocobase.com/en/blog/airtable-data-limit-reached-3-common-solutions" TargetMode="External"/><Relationship Id="rId12" Type="http://schemas.openxmlformats.org/officeDocument/2006/relationships/hyperlink" Target="https://eluminoustechnologies.com/blog/total-cost-of-ownership/" TargetMode="External"/><Relationship Id="rId15" Type="http://schemas.openxmlformats.org/officeDocument/2006/relationships/hyperlink" Target="https://airtable.com/pricing" TargetMode="External"/><Relationship Id="rId14" Type="http://schemas.openxmlformats.org/officeDocument/2006/relationships/hyperlink" Target="https://www.reddit.com/r/Airtable/comments/1g8le58/thoughts_on_airtables_50k_record_limit/" TargetMode="External"/><Relationship Id="rId17" Type="http://schemas.openxmlformats.org/officeDocument/2006/relationships/hyperlink" Target="https://thedigitalprojectmanager.com/tools/airtable-pricing/" TargetMode="External"/><Relationship Id="rId16" Type="http://schemas.openxmlformats.org/officeDocument/2006/relationships/hyperlink" Target="https://empiricaledge.com/blog/common-crm-performance-issues-and-how-to-fix-them/" TargetMode="External"/><Relationship Id="rId19" Type="http://schemas.openxmlformats.org/officeDocument/2006/relationships/hyperlink" Target="https://www.consultingsuccess.com/consulting-retainer" TargetMode="External"/><Relationship Id="rId18" Type="http://schemas.openxmlformats.org/officeDocument/2006/relationships/hyperlink" Target="https://www.knack.com/blog/make-com-vs-zapier-comparison-guide-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