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Agentic Enterprise: Architecting Cognitive Orchestration Frameworks for the 2026 Strategic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global enterprise environment in 2026 has undergone a fundamental transition from the exploratory deployment of generative artificial intelligence to the rigorous architecting of Cognitive Orchestration Frameworks. This shift marks the definitive end of the "chatbot" era, where large language models were treated as standalone conversational utilities. Instead, modern industrial practice now views foundation models as raw, fungible energy—a potent but volatile computational resource that requires a structured methodological layer to ensure operational reliability, verifiable security, and measurable return on investment.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emergence of the Agentic Enterprise is characterized by the integration of autonomous agents that do not merely suggest actions but execute complex, multi-step processes across heterogeneous systems, grounded in a unified context layer that spans the entire organization.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transformation is driven by a maturing understanding of AI’s limitations, specifically the "session amnesia" and "hallucination cascades" that plagued earlier implementations. By 2026, the focus has moved toward persistence—creating systems that remember, learn, and adapt within a governed framework. This report provides a definitive business practice for this new landscape, elaborating on the "Discovery" protocol for client onboarding, advanced business process analysis utilizing modern data representations, and the implementation of resilient architectural safeguards such as the G.U.A.R.D.I.A.N.S. persistence framework.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 Client Onboarding Protocol: Diagnostic Discovery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Onboarding in the 2026 AI solutions landscape is no longer a passive requirements intake; it has been reimagined as a sophisticated diagnostic operation. The primary objective is to bridge the chasm between abstract business ambition and technical execution through high-impact, low-cost audits that demonstrate value before the commitment to complex, multi-year contracts.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Health Check as a Gateway Product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engagement is anchored by the "Digital Health Check," a non-invasive audit designed to provide immediate visibility into a prospect’s operational state. This protocol utilizes agentic workflows to perform a Public Footprint Analysis, where autonomous agents crawl and analyze a prospect’s website, lead funnels, and public documentation before the first formal meeting. This proactive analysis identifies manual nodes and technical friction points that are invisible to the naked eye.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results of this audit are synthesized into a "Traffic Light Report," a high-impact visualization tool that categorizes processes by their automation readiness. "Red" indicates high-risk or entirely manual processes, "Amber" denotes processes that are optimizable through better integration, and "Green" represents processes that are already effectively automated. This reporting style provides a clear, actionable roadmap that anchors the sales conversation in data rather than speculation.</w:t>
      </w:r>
      <w:r w:rsidDel="00000000" w:rsidR="00000000" w:rsidRPr="00000000">
        <w:rPr>
          <w:rFonts w:ascii="Arial" w:cs="Arial" w:eastAsia="Arial" w:hAnsi="Arial"/>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Operational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Status Indicator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Management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High-Risk/Manual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Prioritize for immediate automation or risk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Partially Optimized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Schedule for architectural refinement and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Automated/Efficient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Monitor for agentic drift and maintain governance.</w:t>
            </w:r>
          </w:p>
        </w:tc>
      </w:tr>
    </w:tbl>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Mapping the "Shadow AI" Footprint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component of the Digital Health Check is the identification of "Shadow AI"—the unauthorized use of generative AI tools by employees without IT oversight.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2026, shadow AI has become a pervasive risk, particularly in regulated industries. For example, research indicates that shadow AI is present in approximately 40% of hospitals, with over 57% of healthcare professionals admitting to using unauthorized tools to improve their efficiency.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Digital Health Check uses discovery platforms to examine financial transactions, network traffic, and browser usage to uncover these hidden tools. Rather than simply banning their use, the modern consultant proposes a "secure path for formalization." This involves identifying the specific functional gaps that drove employees to seek unauthorized tools—often because approved systems were too slow or lacked necessary capabilities—and integrating those needs into a governed enterprise framework.</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Psychological Extraction and Strategic Alignment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audits must be accompanied by psychological alignment to ensure long-term project success. The "Heart Questions" protocol is used to extract hidden aspirations and identify potential cultural friction. A foundational technique is the "Car Analogy," where stakeholders are asked to identify a vehicle that represents their brand identity. A stakeholder who chooses a Tesla often values innovation, speed, and high visual density, whereas a preference for a Volvo indicates a prioritization of safety, reliability, and robust guardrails. These psychological insights inform the technical density and visual design of the orchestration layer.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protocol involves a rigorous interrogation of past partnership failures. By identifying management risks or unrealistic expectations early, consultants can set success metrics that are both qualitative and quantitative. In the 2026 landscape, qualitative desires for "enhanced productivity" must be translated into quantitative KPIs such as Time-on-Task (ToT) or Customer Satisfaction (CSAT) scores. Projects that define these metrics pre-approval see a 4.5x improvement in success rates compared to those that do not.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Business Process Analysis and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pillar of the 2026 strategic blueprint is the analysis of business processes through the lens of "slow intelligence." The objective is to identify manual nodes in the value chain where operators are burdened by unstructured data and replace them with high-speed agentic loops.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Shift from XML to JSON-Based Intermediate Representations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historical standard for Business Process Modeling and Notation (BPMN) relied on XML, which was designed for human readability and strict hierarchical structure but is inherently verbose and prone to syntax errors during LLM generation. The 2026 standard has shifted to JSON-based intermediate representations for executable models. This transition offers profound technical benefits for orchestration frameworks.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Analysis demonstrates that JSON-based representations reduce generation latency by approximately 43% and reduce output token counts by 75% compared to XML [user prompt]. This efficiency is critical for maintaining sub-second response times in agentic workflows. Furthermore, JSON allows non-technical analysts to modify executable models using natural language interfaces. Platforms like Google Workspace Studio (formerly Workspace Flows) enable employees to describe a workflow in plain English, which the system then parses into a structured JSON flow that can be executed natively across the Google ecosystem.</w:t>
      </w:r>
      <w:r w:rsidDel="00000000" w:rsidR="00000000" w:rsidRPr="00000000">
        <w:rPr>
          <w:rFonts w:ascii="Arial" w:cs="Arial" w:eastAsia="Arial" w:hAnsi="Arial"/>
          <w:color w:val="444746"/>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Representation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Latency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Token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Structural Flexibility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BPMN XML (Legacy)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Rigid/Verbose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BPMN JSON (2026 Std)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Lightweight/Fluid</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Automation Arbitrage and the Perth Economic Model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Every process analysis must be anchored in a financial model that justifies the implementation of AI through "Automation Arbitrage." This involves comparing the fully loaded human labor cost against the marginal cost of AI execution. In the Western Australian market, specifically Perth, labor costs have reached a tipping point due to the rise in superannuation to 12% as of July 2025 and high payroll tax thresholds.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professional administrative role in Perth, the fully loaded hourly cost is calculated by accounting for the base salary, superannuation, payroll tax, workers' compensation, and leave liabilities.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fully loaded cost (</w:t>
      </w:r>
      <w:r w:rsidDel="00000000" w:rsidR="00000000" w:rsidRPr="00000000">
        <w:rPr>
          <w:rFonts w:ascii="Arial" w:cs="Arial" w:eastAsia="Arial" w:hAnsi="Arial"/>
          <w:color w:val="1f1f1f"/>
        </w:rPr>
        <w:drawing>
          <wp:inline distB="19050" distT="19050" distL="19050" distR="19050">
            <wp:extent cx="251519" cy="23894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1519" cy="238943"/>
                    </a:xfrm>
                    <a:prstGeom prst="rect"/>
                    <a:ln/>
                  </pic:spPr>
                </pic:pic>
              </a:graphicData>
            </a:graphic>
          </wp:inline>
        </w:drawing>
      </w:r>
      <w:r w:rsidDel="00000000" w:rsidR="00000000" w:rsidRPr="00000000">
        <w:rPr>
          <w:rFonts w:ascii="Arial" w:cs="Arial" w:eastAsia="Arial" w:hAnsi="Arial"/>
          <w:color w:val="1f1f1f"/>
          <w:rtl w:val="0"/>
        </w:rPr>
        <w:t xml:space="preserve">) of an employee can be modeled 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1688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3168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17760" cy="24860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7760" cy="248605"/>
                    </a:xfrm>
                    <a:prstGeom prst="rect"/>
                    <a:ln/>
                  </pic:spPr>
                </pic:pic>
              </a:graphicData>
            </a:graphic>
          </wp:inline>
        </w:drawing>
      </w:r>
      <w:r w:rsidDel="00000000" w:rsidR="00000000" w:rsidRPr="00000000">
        <w:rPr>
          <w:rFonts w:ascii="Arial" w:cs="Arial" w:eastAsia="Arial" w:hAnsi="Arial"/>
          <w:color w:val="1f1f1f"/>
          <w:rtl w:val="0"/>
        </w:rPr>
        <w:t xml:space="preserve"> is the base salary (e.g., $81,750 for a mid-level administrator).</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465088" cy="22658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5088" cy="226581"/>
                    </a:xfrm>
                    <a:prstGeom prst="rect"/>
                    <a:ln/>
                  </pic:spPr>
                </pic:pic>
              </a:graphicData>
            </a:graphic>
          </wp:inline>
        </w:drawing>
      </w:r>
      <w:r w:rsidDel="00000000" w:rsidR="00000000" w:rsidRPr="00000000">
        <w:rPr>
          <w:rFonts w:ascii="Arial" w:cs="Arial" w:eastAsia="Arial" w:hAnsi="Arial"/>
          <w:color w:val="1f1f1f"/>
          <w:rtl w:val="0"/>
        </w:rPr>
        <w:t xml:space="preserve"> is the superannuation rate (0.12).</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402022" cy="23146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2022" cy="231467"/>
                    </a:xfrm>
                    <a:prstGeom prst="rect"/>
                    <a:ln/>
                  </pic:spPr>
                </pic:pic>
              </a:graphicData>
            </a:graphic>
          </wp:inline>
        </w:drawing>
      </w:r>
      <w:r w:rsidDel="00000000" w:rsidR="00000000" w:rsidRPr="00000000">
        <w:rPr>
          <w:rFonts w:ascii="Arial" w:cs="Arial" w:eastAsia="Arial" w:hAnsi="Arial"/>
          <w:color w:val="1f1f1f"/>
          <w:rtl w:val="0"/>
        </w:rPr>
        <w:t xml:space="preserve"> is the WA payroll tax rate (0.055).</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548246" cy="226449"/>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246" cy="226449"/>
                    </a:xfrm>
                    <a:prstGeom prst="rect"/>
                    <a:ln/>
                  </pic:spPr>
                </pic:pic>
              </a:graphicData>
            </a:graphic>
          </wp:inline>
        </w:drawing>
      </w:r>
      <w:r w:rsidDel="00000000" w:rsidR="00000000" w:rsidRPr="00000000">
        <w:rPr>
          <w:rFonts w:ascii="Arial" w:cs="Arial" w:eastAsia="Arial" w:hAnsi="Arial"/>
          <w:color w:val="1f1f1f"/>
          <w:rtl w:val="0"/>
        </w:rPr>
        <w:t xml:space="preserve"> is the workers' compensation premium (~0.01 for office roles).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432718" cy="228379"/>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2718" cy="228379"/>
                    </a:xfrm>
                    <a:prstGeom prst="rect"/>
                    <a:ln/>
                  </pic:spPr>
                </pic:pic>
              </a:graphicData>
            </a:graphic>
          </wp:inline>
        </w:drawing>
      </w:r>
      <w:r w:rsidDel="00000000" w:rsidR="00000000" w:rsidRPr="00000000">
        <w:rPr>
          <w:rFonts w:ascii="Arial" w:cs="Arial" w:eastAsia="Arial" w:hAnsi="Arial"/>
          <w:color w:val="1f1f1f"/>
          <w:rtl w:val="0"/>
        </w:rPr>
        <w:t xml:space="preserve"> is the total leave liability (0.077 for annual leave + 0.038 for sick leave).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Applying these figures to a standard $81,750 base salary in Perth results in a fully loaded annual cost exceeding $110,000, or approximately $58 per hour.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 contrast, an agentic loop performing the same task has a marginal execution cost of mere cents. This delta represents the "arbitrage" opportunity. However, architects must also factor in the "Integration Tax"—the cost difference between off-the-shelf SaaS systems and the custom middleware required to orchestrate them. Modeling these scenarios under Bull, Base, and Bear conditions ensures viability even during market fluctuations [user prompt].</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G.U.A.R.D.I.A.N.S. Persistence Framework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AI architecture has evolved to solve the fundamental issues of "session amnesia" and "hallucination cascades" through multi-layered persistence. The G.U.A.R.D.I.A.N.S. (Governed Unified Agentic Reasoning &amp; Data Integration for Autonomous Networked Systems) framework provides a structural architecture that decouples the active reasoning window from a multi-layered static data window.</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Three-Tier Memory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the G.U.A.R.D.I.A.N.S. framework is its memory layer, which transforms stateless models into learning systems. This architecture draws inspiration from cognitive science to categorize stored information into three distinct types: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Episodic Memory</w:t>
      </w:r>
      <w:r w:rsidDel="00000000" w:rsidR="00000000" w:rsidRPr="00000000">
        <w:rPr>
          <w:rFonts w:ascii="Arial" w:cs="Arial" w:eastAsia="Arial" w:hAnsi="Arial"/>
          <w:color w:val="1f1f1f"/>
          <w:rtl w:val="0"/>
        </w:rPr>
        <w:t xml:space="preserve">: This provides an immutable audit log of all interactions and agentic decisions. It records specific past experiences, such as previous tool calls and their outcomes. This is essential for long-running tasks where an agent must recall what it has already attempted to avoid repetitive failures.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Semantic Memory</w:t>
      </w:r>
      <w:r w:rsidDel="00000000" w:rsidR="00000000" w:rsidRPr="00000000">
        <w:rPr>
          <w:rFonts w:ascii="Arial" w:cs="Arial" w:eastAsia="Arial" w:hAnsi="Arial"/>
          <w:color w:val="1f1f1f"/>
          <w:rtl w:val="0"/>
        </w:rPr>
        <w:t xml:space="preserve">: This stores factual enterprise knowledge, business ontologies, and user preferences. It acts as the agent's internal "encyclopedia," allowing it to understand organization-specific terminology and express genuine relevance to returning users.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Procedural Memory</w:t>
      </w:r>
      <w:r w:rsidDel="00000000" w:rsidR="00000000" w:rsidRPr="00000000">
        <w:rPr>
          <w:rFonts w:ascii="Arial" w:cs="Arial" w:eastAsia="Arial" w:hAnsi="Arial"/>
          <w:color w:val="1f1f1f"/>
          <w:rtl w:val="0"/>
        </w:rPr>
        <w:t xml:space="preserve">: This codifies task-specific rules, communication protocols, and escalation logic. It ensures that agents remember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to execute a workflow—such as the specific steps for an invoice approval—without requiring a new prompt for every interaction.</w:t>
      </w:r>
      <w:r w:rsidDel="00000000" w:rsidR="00000000" w:rsidRPr="00000000">
        <w:rPr>
          <w:rFonts w:ascii="Arial" w:cs="Arial" w:eastAsia="Arial" w:hAnsi="Arial"/>
          <w:color w:val="444746"/>
          <w:sz w:val="24"/>
          <w:szCs w:val="24"/>
          <w:vertAlign w:val="superscript"/>
          <w:rtl w:val="0"/>
        </w:rPr>
        <w:t xml:space="preserve">14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Memory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Episodic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event logs/timestamps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Factual Knowledge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Vector databases (pgvector/Redis)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Procedural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Skill/Rule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Skill libraries/runnable scripts</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Enforced Metacognitive Friction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prevent reliability degradation in complex tool-chains, the G.U.A.R.D.I.A.N.S. framework implements "Metacognitive Friction." This concept introduces deliberate interrupts that force the system to evaluate its own reasoning or seek human intervention. This is a critical safeguard against automation bias, where users blindly trust AI outputs without critical engagement.</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standard implementation involves a hard cap on sequential tool calls, typically restricted to a depth of four. If a frontier model (e.g., Gemini 1.5 Pro) fails to resolve the task within this depth, the system triggers a multi-level fallback protocol:</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Level 2: Simplified Re-route</w:t>
      </w:r>
      <w:r w:rsidDel="00000000" w:rsidR="00000000" w:rsidRPr="00000000">
        <w:rPr>
          <w:rFonts w:ascii="Arial" w:cs="Arial" w:eastAsia="Arial" w:hAnsi="Arial"/>
          <w:color w:val="1f1f1f"/>
          <w:rtl w:val="0"/>
        </w:rPr>
        <w:t xml:space="preserve">: The system automatically routes the query to a smaller, faster model (e.g., Gemini 1.5 Flash) with a more constrained and specific prompt. This often resolves "reasoning loops" where a larger model becomes stuck in its own complexity [user prompt].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Level 3: Deterministic Stub</w:t>
      </w:r>
      <w:r w:rsidDel="00000000" w:rsidR="00000000" w:rsidRPr="00000000">
        <w:rPr>
          <w:rFonts w:ascii="Arial" w:cs="Arial" w:eastAsia="Arial" w:hAnsi="Arial"/>
          <w:color w:val="1f1f1f"/>
          <w:rtl w:val="0"/>
        </w:rPr>
        <w:t xml:space="preserve">: If the secondary model fails, the system abandons probabilistic reasoning and routes the task to a hardcoded, rule-based script. This ensures that the process follows a predictable, if limited, path rather than continuing to hallucinate.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Level 4: HITL Gate</w:t>
      </w:r>
      <w:r w:rsidDel="00000000" w:rsidR="00000000" w:rsidRPr="00000000">
        <w:rPr>
          <w:rFonts w:ascii="Arial" w:cs="Arial" w:eastAsia="Arial" w:hAnsi="Arial"/>
          <w:color w:val="1f1f1f"/>
          <w:rtl w:val="0"/>
        </w:rPr>
        <w:t xml:space="preserve">: At the final level of failure, the system forces a mandatory pause. The current state is serialized to a database (using a checkpointer like LangGraph), and a contextual summary of the failure is placed into a human approval queue. The human provides the necessary "judgment" to unblock the agent, which then resumes its autonomous execution.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Hub-and-Spoke Resolution Engine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Efficiency in the 2026 landscape is further achieved by avoiding the "Swiss-Army" burden of too many native integrations. Instead, organizations use a singular, highly capable reasoning engine as a central "Cognitive Hub." This hub coordinates "Utility Spokes"—specialized tools for tasks like OCR, Speech-to-Text, or specialized data parsing—invoking them only when native model capabilities are insufficient. This decoupling keeps the central model’s context window clean and reduces the risk of integration-based failures.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Governance and Resilience: Managing the Final Mile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is not the conclusion of the AI lifecycle but the beginning of a persistent governance phase. As agents operate autonomously, they are subject to "drift"—a degradation in performance over time due to shifting data patterns or changing business rules.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Managing Agentic Drift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governance layer must distinguish between two types of drift. "Data Drift" refers to statistical shifts in the incoming data (e.g., a sudden change in customer inquiry formats). "Concept Drift" refers to shifting business rules or regulatory requirements (e.g., new privacy laws in Western Australia).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manage this, organizations utilize "Champion-Challenger" (A/B) Testing. When drift is detected, a secondary model is automatically trained on fresh data or updated rules. This "challenger" model is pitted against the existing "champion" model in a sandbox environment. If the challenger demonstrates superior accuracy, it is promoted to production. This ensures that the orchestration framework remains resilient and self-repairing without requiring constant human intervention.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Delegation of Authority and BPO-Style Contracts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AI agents take on more operational responsibility, the legal frameworks governing them must evolve. Modern enterprises are moving beyond traditional SaaS agreements to BPO (Business Process Outsourcing)-style contracts. These contracts explicitly define the "Delegation of Authority"—specifying what an agent is legally permitted to execute versus what triggers mandatory human escalation.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is particularly critical for compliance with international regulations like the EU AI Act or local Australian laws such as the Privacy Act 1988 reforms, which have raised penalties for serious breaches to $50 million.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Clear human ownership and traceable handoffs are essential to ensure that "the AI did it" is never an acceptable answer in a regulatory audit.</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Industry Failure Rates and Strategic Risk Analysis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promise of agentic AI, failure rates remain significantly high, often due to a lack of data readiness and misaligned metrics. Understanding these failure modes by industry is essential for risk mitigation.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GenAI Divide and Failure Statistics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Research from MIT’s Project NANDA (2025-2026) indicates that 95% of generative AI pilots fail to reach production or deliver measurable ROI.</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Similarly, RAND Corporation analysis shows that 80.3% of all AI projects fail to deliver their intended value, with 33.8% being abandoned before reaching production.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driver of these failures is not technical capability but leadership and foundational issues. Approximately 84% of failures are leadership-driven, with 73% of organizations failing to define clear metrics before project approval and 68% underinvesting in the necessary data foundations.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Industry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Failure Rate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Cause of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Financial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Regulatory compliance and explainability requirements.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Data silos and high percentage of unused/unstructured data.</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Complexity of integrating with legacy OT systems.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Supply chain integration complexity and model invalidation.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Professional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Lack of clear ROI and fragmented workflow integration.</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Sector-Specific Nuances: Finance and Healthcare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financial services sector, which faces the highest failure rate at 82.1%, the challenge lies in "explainability." Regulators reject 38% of machine learning approaches because they cannot provide a deterministic audit trail of why a decision was made.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Architectural mediation—such as the G.U.A.R.D.I.A.N.S. framework—is required to provide the necessary authorization security.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Healthcare (78.9% failure) suffers from a "Readiness Gap." While 85% of hospitals explore AI, only 18% are ready to deploy it in care delivery because 97% of hospital data remains unused or unstructured clinical notes.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Successful implementations in this sector focus on agentic RAG systems that can ingest and summarize these clinical notes while maintaining strict data residency to comply with Australian standards.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90-Day Execution Roadmap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adoption and mitigate the risks of failure, the technical build must be aligned with organizational change management. A 90-day roadmap provides a structured path for transitioning from an exploratory state to full operationalization.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Visibility and Risk (Days 1-30)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first 30 days are focused on the "Digital Health Check" and risk assessment. The primary objective is to identify PII (Personally Identifiable Information) exposure and baseline current process metrics. By the end of this phase, the organization should have a clear "Traffic Light Report" and a mapped "Shadow AI" footprint. This visibility allows leadership to prioritize the most impactful automation targets while securing existing vulnerabilities.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Policy and Alignment (Days 31-60)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second phase involves deploying secure ELT (Extract, Load, Transform) pipelines and launching a controlled "Read-Only" pilot. In this stage, the AI agents are permitted to analyze data and suggest actions, but they do not have "write" access to production systems. This allows for the calibration of the reasoning engine and the establishment of policy alignment without risking operational integrity.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Operationalization (Days 61-90)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final 30 days, the system transitions to "Gated-Write" actions. Agents are granted authority to execute tasks, but high-impact decisions are passed through HITL fallback gates. CI/CD telemetry is used to monitor for agentic drift in real-time. By day 90, the framework should be a fully functional cognitive orchestration layer, delivering a measurable ROI through labor arbitrage and error reduction.</w:t>
      </w:r>
      <w:r w:rsidDel="00000000" w:rsidR="00000000" w:rsidRPr="00000000">
        <w:rPr>
          <w:rFonts w:ascii="Arial" w:cs="Arial" w:eastAsia="Arial" w:hAnsi="Arial"/>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Days 1-30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Visibility &amp; Risk Assessment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Traffic Light Report &amp; Shadow 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Days 31-60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Policy &amp; Read-Only 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Secure ELT &amp; Calibrated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Days 61-90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Gated-Write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Live Orchestration &amp; CI/CD Telemetry</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Toolsets and Frameworks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Selecting the right tools is critical for building a resilient 2026 AI infrastructure. The market is increasingly bifurcated between native ecosystem tools and highly specialized, local-first platforms.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Business Process Modeling and Analysis Tools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analysts, the choice of a BPMN tool is dictated by the desired level of automation integration.</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Lucidchart</w:t>
      </w:r>
      <w:r w:rsidDel="00000000" w:rsidR="00000000" w:rsidRPr="00000000">
        <w:rPr>
          <w:rFonts w:ascii="Arial" w:cs="Arial" w:eastAsia="Arial" w:hAnsi="Arial"/>
          <w:color w:val="1f1f1f"/>
          <w:rtl w:val="0"/>
        </w:rPr>
        <w:t xml:space="preserve">: The best "all-rounder" for documentation and real-time collaboration. It supports BPMN 2.0 but is primarily a diagramming suite rather than an execution engine.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BA Copilot</w:t>
      </w:r>
      <w:r w:rsidDel="00000000" w:rsidR="00000000" w:rsidRPr="00000000">
        <w:rPr>
          <w:rFonts w:ascii="Arial" w:cs="Arial" w:eastAsia="Arial" w:hAnsi="Arial"/>
          <w:color w:val="1f1f1f"/>
          <w:rtl w:val="0"/>
        </w:rPr>
        <w:t xml:space="preserve">: An "AI-first" tool designed specifically for 2026. It can generate editable BPMN 2.0 maps from natural language or whiteboard images in seconds, significantly reducing the manual burden of process mapping.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Bizagi Modeler</w:t>
      </w:r>
      <w:r w:rsidDel="00000000" w:rsidR="00000000" w:rsidRPr="00000000">
        <w:rPr>
          <w:rFonts w:ascii="Arial" w:cs="Arial" w:eastAsia="Arial" w:hAnsi="Arial"/>
          <w:color w:val="1f1f1f"/>
          <w:rtl w:val="0"/>
        </w:rPr>
        <w:t xml:space="preserve">: Recommended for business analysts who expect to hand off models to developers for RPA (Robotic Process Automation) or workflow engine integration.</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Orchestration and Governance Tools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Google Workspace Studio</w:t>
      </w:r>
      <w:r w:rsidDel="00000000" w:rsidR="00000000" w:rsidRPr="00000000">
        <w:rPr>
          <w:rFonts w:ascii="Arial" w:cs="Arial" w:eastAsia="Arial" w:hAnsi="Arial"/>
          <w:color w:val="1f1f1f"/>
          <w:rtl w:val="0"/>
        </w:rPr>
        <w:t xml:space="preserve">: The native no-code engine for the "Agentic Enterprise." It allows for the creation of self-driving workflows that reason and act across Gmail, Sheets, and Drive without complex API integrations.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n8n</w:t>
      </w:r>
      <w:r w:rsidDel="00000000" w:rsidR="00000000" w:rsidRPr="00000000">
        <w:rPr>
          <w:rFonts w:ascii="Arial" w:cs="Arial" w:eastAsia="Arial" w:hAnsi="Arial"/>
          <w:color w:val="1f1f1f"/>
          <w:rtl w:val="0"/>
        </w:rPr>
        <w:t xml:space="preserve">: A high-control orchestration platform favored by Perth-based SMEs for its self-hosting capabilities, ensuring data residency and avoiding high SaaS markups.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Crowdstrike Falcon Cloud Security</w:t>
      </w:r>
      <w:r w:rsidDel="00000000" w:rsidR="00000000" w:rsidRPr="00000000">
        <w:rPr>
          <w:rFonts w:ascii="Arial" w:cs="Arial" w:eastAsia="Arial" w:hAnsi="Arial"/>
          <w:color w:val="1f1f1f"/>
          <w:rtl w:val="0"/>
        </w:rPr>
        <w:t xml:space="preserve">: The industry standard for detecting and preventing shadow AI activities across multicloud environments.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LastPass Business Max</w:t>
      </w:r>
      <w:r w:rsidDel="00000000" w:rsidR="00000000" w:rsidRPr="00000000">
        <w:rPr>
          <w:rFonts w:ascii="Arial" w:cs="Arial" w:eastAsia="Arial" w:hAnsi="Arial"/>
          <w:color w:val="1f1f1f"/>
          <w:rtl w:val="0"/>
        </w:rPr>
        <w:t xml:space="preserve">: Provides browser-level visibility into unauthorized AI tool usage at the point of login, helping lean IT teams manage SaaS sprawl.</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Established Strategic Frameworks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G.U.A.R.D.I.A.N.S. framework, several established methodologies guide the 2026 implementation:</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Jobs-to-be-Done (JTBD)</w:t>
      </w:r>
      <w:r w:rsidDel="00000000" w:rsidR="00000000" w:rsidRPr="00000000">
        <w:rPr>
          <w:rFonts w:ascii="Arial" w:cs="Arial" w:eastAsia="Arial" w:hAnsi="Arial"/>
          <w:color w:val="1f1f1f"/>
          <w:rtl w:val="0"/>
        </w:rPr>
        <w:t xml:space="preserve">: Used to evaluate automation against the specific outcome a user is trying to accomplish rather than just the technology used.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Three-Tier AUD Framework</w:t>
      </w:r>
      <w:r w:rsidDel="00000000" w:rsidR="00000000" w:rsidRPr="00000000">
        <w:rPr>
          <w:rFonts w:ascii="Arial" w:cs="Arial" w:eastAsia="Arial" w:hAnsi="Arial"/>
          <w:color w:val="1f1f1f"/>
          <w:rtl w:val="0"/>
        </w:rPr>
        <w:t xml:space="preserve">: A service delivery model that categorizes automations into Audit, Utility, and Deployment tiers to manage implementation complexity.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BizNova Formula</w:t>
      </w:r>
      <w:r w:rsidDel="00000000" w:rsidR="00000000" w:rsidRPr="00000000">
        <w:rPr>
          <w:rFonts w:ascii="Arial" w:cs="Arial" w:eastAsia="Arial" w:hAnsi="Arial"/>
          <w:color w:val="1f1f1f"/>
          <w:rtl w:val="0"/>
        </w:rPr>
        <w:t xml:space="preserve">: A value-based pricing model that calculates the monthly fee for an automation as a percentage (25-50%) of the monthly labor savings it generates.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Summary: The Path to Cognitive Resilience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to Cognitive Orchestration Frameworks represents the most significant architectural evolution since the adoption of the cloud. The 2026 strategic landscape demands a move away from fragile "chatbot" implementations toward resilient, persistent systems that treat foundation models as fungible computational energy. By implementing the G.U.A.R.D.I.A.N.S. framework, organizations can solve the critical issues of session memory and reliability.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Success in this era is not guaranteed by the intelligence of the underlying model but by the rigor of the orchestration layer. The high failure rates in regulated industries emphasize the need for architectural security, human-in-the-loop safeguards, and a disciplined 90-day execution roadmap. For enterprises in high-labor-cost regions like Perth, this shift offers a unique opportunity for labor arbitrage and operational reinvention, provided they prioritize data readiness and clear success metrics. The Agentic Enterprise is not a future state; it is a present reality for those ready to move beyond the chatbot paradigm.</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Workflow Integration for Google Workspace: 2026 Strategy</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Google Cloud Next26 | Google Cloud Blog, accessed on May 15, 2026, </w:t>
      </w:r>
      <w:hyperlink r:id="rId13">
        <w:r w:rsidDel="00000000" w:rsidR="00000000" w:rsidRPr="00000000">
          <w:rPr>
            <w:rFonts w:ascii="Arial" w:cs="Arial" w:eastAsia="Arial" w:hAnsi="Arial"/>
            <w:color w:val="0000ee"/>
            <w:sz w:val="24"/>
            <w:szCs w:val="24"/>
            <w:u w:val="single"/>
            <w:rtl w:val="0"/>
          </w:rPr>
          <w:t xml:space="preserve">https://cloud.google.com/blog/topics/google-cloud-next/welcome-to-google-cloud-next26</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Google's Workspace Studio Is Transforming Enterprise Workflows | BizTech Magazine, accessed on May 15, 2026, </w:t>
      </w:r>
      <w:hyperlink r:id="rId14">
        <w:r w:rsidDel="00000000" w:rsidR="00000000" w:rsidRPr="00000000">
          <w:rPr>
            <w:rFonts w:ascii="Arial" w:cs="Arial" w:eastAsia="Arial" w:hAnsi="Arial"/>
            <w:color w:val="0000ee"/>
            <w:sz w:val="24"/>
            <w:szCs w:val="24"/>
            <w:u w:val="single"/>
            <w:rtl w:val="0"/>
          </w:rPr>
          <w:t xml:space="preserve">https://biztechmagazine.com/article/2026/03/how-googles-workspace-studio-transforming-enterprise-workflows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Process Mapping Software in 2026 — Ranked &amp; Reviewed | BA Copilot, accessed on May 15, 2026, </w:t>
      </w:r>
      <w:hyperlink r:id="rId15">
        <w:r w:rsidDel="00000000" w:rsidR="00000000" w:rsidRPr="00000000">
          <w:rPr>
            <w:rFonts w:ascii="Arial" w:cs="Arial" w:eastAsia="Arial" w:hAnsi="Arial"/>
            <w:color w:val="0000ee"/>
            <w:sz w:val="24"/>
            <w:szCs w:val="24"/>
            <w:u w:val="single"/>
            <w:rtl w:val="0"/>
          </w:rPr>
          <w:t xml:space="preserve">https://ba-copilot.com/best-process-mapping-software</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Shadow AI? Risks, Challenges, and How to Stay Secure - CrowdStrike, accessed on May 15, 2026, </w:t>
      </w:r>
      <w:hyperlink r:id="rId16">
        <w:r w:rsidDel="00000000" w:rsidR="00000000" w:rsidRPr="00000000">
          <w:rPr>
            <w:rFonts w:ascii="Arial" w:cs="Arial" w:eastAsia="Arial" w:hAnsi="Arial"/>
            <w:color w:val="0000ee"/>
            <w:sz w:val="24"/>
            <w:szCs w:val="24"/>
            <w:u w:val="single"/>
            <w:rtl w:val="0"/>
          </w:rPr>
          <w:t xml:space="preserve">https://www.crowdstrike.com/en-us/cybersecurity-101/artificial-intelligence/shadow-ai/</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Healthcare Analytics Statistics 2026: Key Data and Trends - Knowi, accessed on May 15, 2026, </w:t>
      </w:r>
      <w:hyperlink r:id="rId17">
        <w:r w:rsidDel="00000000" w:rsidR="00000000" w:rsidRPr="00000000">
          <w:rPr>
            <w:rFonts w:ascii="Arial" w:cs="Arial" w:eastAsia="Arial" w:hAnsi="Arial"/>
            <w:color w:val="0000ee"/>
            <w:sz w:val="24"/>
            <w:szCs w:val="24"/>
            <w:u w:val="single"/>
            <w:rtl w:val="0"/>
          </w:rPr>
          <w:t xml:space="preserve">https://www.knowi.com/blog/healthcare-analytics-statistics-2026/</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Shadow AI: A hidden risk to healthcare - Wolters Kluwer, accessed on May 15, 2026, </w:t>
      </w:r>
      <w:hyperlink r:id="rId18">
        <w:r w:rsidDel="00000000" w:rsidR="00000000" w:rsidRPr="00000000">
          <w:rPr>
            <w:rFonts w:ascii="Arial" w:cs="Arial" w:eastAsia="Arial" w:hAnsi="Arial"/>
            <w:color w:val="0000ee"/>
            <w:sz w:val="24"/>
            <w:szCs w:val="24"/>
            <w:u w:val="single"/>
            <w:rtl w:val="0"/>
          </w:rPr>
          <w:t xml:space="preserve">https://www.wolterskluwer.com/en/solutions/uptodate/ai-clinical-decision-support/shadow-ai-report</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Project Failure Rate 2026: 80% Fail | Pertama Partners, accessed on May 15, 2026, </w:t>
      </w:r>
      <w:hyperlink r:id="rId19">
        <w:r w:rsidDel="00000000" w:rsidR="00000000" w:rsidRPr="00000000">
          <w:rPr>
            <w:rFonts w:ascii="Arial" w:cs="Arial" w:eastAsia="Arial" w:hAnsi="Arial"/>
            <w:color w:val="0000ee"/>
            <w:sz w:val="24"/>
            <w:szCs w:val="24"/>
            <w:u w:val="single"/>
            <w:rtl w:val="0"/>
          </w:rPr>
          <w:t xml:space="preserve">https://www.pertamapartners.com/insights/ai-project-failure-statistics-2026</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Workspace Studio: No-Code AI Agents (2026 Guide) - itGenius, accessed on May 15, 2026, </w:t>
      </w:r>
      <w:hyperlink r:id="rId20">
        <w:r w:rsidDel="00000000" w:rsidR="00000000" w:rsidRPr="00000000">
          <w:rPr>
            <w:rFonts w:ascii="Arial" w:cs="Arial" w:eastAsia="Arial" w:hAnsi="Arial"/>
            <w:color w:val="0000ee"/>
            <w:sz w:val="24"/>
            <w:szCs w:val="24"/>
            <w:u w:val="single"/>
            <w:rtl w:val="0"/>
          </w:rPr>
          <w:t xml:space="preserve">https://www.itgenius.com/blog/google-workspace-studio-ai-agents/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 Workflows with Agentic AI Powered by Gemini - Google Workspace Studio, accessed on May 15, 2026, </w:t>
      </w:r>
      <w:hyperlink r:id="rId21">
        <w:r w:rsidDel="00000000" w:rsidR="00000000" w:rsidRPr="00000000">
          <w:rPr>
            <w:rFonts w:ascii="Arial" w:cs="Arial" w:eastAsia="Arial" w:hAnsi="Arial"/>
            <w:color w:val="0000ee"/>
            <w:sz w:val="24"/>
            <w:szCs w:val="24"/>
            <w:u w:val="single"/>
            <w:rtl w:val="0"/>
          </w:rPr>
          <w:t xml:space="preserve">https://workspace.google.com/studio/</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True Cost of Hiring in Australia: Hidden Expenses Add 35% to Salary - Scale Suite, accessed on May 15, 2026, </w:t>
      </w:r>
      <w:hyperlink r:id="rId22">
        <w:r w:rsidDel="00000000" w:rsidR="00000000" w:rsidRPr="00000000">
          <w:rPr>
            <w:rFonts w:ascii="Arial" w:cs="Arial" w:eastAsia="Arial" w:hAnsi="Arial"/>
            <w:color w:val="0000ee"/>
            <w:sz w:val="24"/>
            <w:szCs w:val="24"/>
            <w:u w:val="single"/>
            <w:rtl w:val="0"/>
          </w:rPr>
          <w:t xml:space="preserve">https://www.scalesuite.com.au/resources/the-true-cost-of-hiring-an-employee-in-australia</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It Cost to Employ Someone in Each Australian State? 2026-27 Breakdown, accessed on May 15, 2026, </w:t>
      </w:r>
      <w:hyperlink r:id="rId23">
        <w:r w:rsidDel="00000000" w:rsidR="00000000" w:rsidRPr="00000000">
          <w:rPr>
            <w:rFonts w:ascii="Arial" w:cs="Arial" w:eastAsia="Arial" w:hAnsi="Arial"/>
            <w:color w:val="0000ee"/>
            <w:sz w:val="24"/>
            <w:szCs w:val="24"/>
            <w:u w:val="single"/>
            <w:rtl w:val="0"/>
          </w:rPr>
          <w:t xml:space="preserve">https://www.scalesuite.com.au/resources/how-much-does-it-cost-to-employ-someone-in-each-australian-state</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 Resources Administrator Salary in Perth (Updated for 2026) | Robert Half Australia, accessed on May 15, 2026, </w:t>
      </w:r>
      <w:hyperlink r:id="rId24">
        <w:r w:rsidDel="00000000" w:rsidR="00000000" w:rsidRPr="00000000">
          <w:rPr>
            <w:rFonts w:ascii="Arial" w:cs="Arial" w:eastAsia="Arial" w:hAnsi="Arial"/>
            <w:color w:val="0000ee"/>
            <w:sz w:val="24"/>
            <w:szCs w:val="24"/>
            <w:u w:val="single"/>
            <w:rtl w:val="0"/>
          </w:rPr>
          <w:t xml:space="preserve">https://www.roberthalf.com/au/en/job-details/human-resources-administrator/perth</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agent memory? How AI agents learn and remember - Kore.ai, accessed on May 15, 2026, </w:t>
      </w:r>
      <w:hyperlink r:id="rId25">
        <w:r w:rsidDel="00000000" w:rsidR="00000000" w:rsidRPr="00000000">
          <w:rPr>
            <w:rFonts w:ascii="Arial" w:cs="Arial" w:eastAsia="Arial" w:hAnsi="Arial"/>
            <w:color w:val="0000ee"/>
            <w:sz w:val="24"/>
            <w:szCs w:val="24"/>
            <w:u w:val="single"/>
            <w:rtl w:val="0"/>
          </w:rPr>
          <w:t xml:space="preserve">https://www.kore.ai/blog/what-is-ai-agent-memory</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AI Agent Memory? | IBM, accessed on May 15, 2026, </w:t>
      </w:r>
      <w:hyperlink r:id="rId26">
        <w:r w:rsidDel="00000000" w:rsidR="00000000" w:rsidRPr="00000000">
          <w:rPr>
            <w:rFonts w:ascii="Arial" w:cs="Arial" w:eastAsia="Arial" w:hAnsi="Arial"/>
            <w:color w:val="0000ee"/>
            <w:sz w:val="24"/>
            <w:szCs w:val="24"/>
            <w:u w:val="single"/>
            <w:rtl w:val="0"/>
          </w:rPr>
          <w:t xml:space="preserve">https://www.ibm.com/think/topics/ai-agent-memory</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memory: Building stateful AI systems - Redis, accessed on May 15, 2026, </w:t>
      </w:r>
      <w:hyperlink r:id="rId27">
        <w:r w:rsidDel="00000000" w:rsidR="00000000" w:rsidRPr="00000000">
          <w:rPr>
            <w:rFonts w:ascii="Arial" w:cs="Arial" w:eastAsia="Arial" w:hAnsi="Arial"/>
            <w:color w:val="0000ee"/>
            <w:sz w:val="24"/>
            <w:szCs w:val="24"/>
            <w:u w:val="single"/>
            <w:rtl w:val="0"/>
          </w:rPr>
          <w:t xml:space="preserve">https://redis.io/blog/ai-agent-memory-stateful-systems/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for Autonomous LLM Agents: Mechanisms, Evaluation, and Emerging Frontiers, accessed on May 15, 2026, </w:t>
      </w:r>
      <w:hyperlink r:id="rId28">
        <w:r w:rsidDel="00000000" w:rsidR="00000000" w:rsidRPr="00000000">
          <w:rPr>
            <w:rFonts w:ascii="Arial" w:cs="Arial" w:eastAsia="Arial" w:hAnsi="Arial"/>
            <w:color w:val="0000ee"/>
            <w:sz w:val="24"/>
            <w:szCs w:val="24"/>
            <w:u w:val="single"/>
            <w:rtl w:val="0"/>
          </w:rPr>
          <w:t xml:space="preserve">https://arxiv.org/html/2603.07670v1</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 (HITL) for agentic AI: Ensuring control and safety | Moxo, accessed on May 15, 2026, </w:t>
      </w:r>
      <w:hyperlink r:id="rId29">
        <w:r w:rsidDel="00000000" w:rsidR="00000000" w:rsidRPr="00000000">
          <w:rPr>
            <w:rFonts w:ascii="Arial" w:cs="Arial" w:eastAsia="Arial" w:hAnsi="Arial"/>
            <w:color w:val="0000ee"/>
            <w:sz w:val="24"/>
            <w:szCs w:val="24"/>
            <w:u w:val="single"/>
            <w:rtl w:val="0"/>
          </w:rPr>
          <w:t xml:space="preserve">https://www.moxo.com/blog/human-in-the-loop-ai-governance</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Thinking and GenAI: Why Human-in-the-Loop Needs Cognitive Friction, accessed on May 15, 2026, </w:t>
      </w:r>
      <w:hyperlink r:id="rId30">
        <w:r w:rsidDel="00000000" w:rsidR="00000000" w:rsidRPr="00000000">
          <w:rPr>
            <w:rFonts w:ascii="Arial" w:cs="Arial" w:eastAsia="Arial" w:hAnsi="Arial"/>
            <w:color w:val="0000ee"/>
            <w:sz w:val="24"/>
            <w:szCs w:val="24"/>
            <w:u w:val="single"/>
            <w:rtl w:val="0"/>
          </w:rPr>
          <w:t xml:space="preserve">https://dkconsultingcolorado.com/2026/02/28/critical-thinking-and-genai-why-human-in-the-loop-needs-cognitive-friction/</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Long-Running AI Workflows: A Guide to Human-in-the-Loop (HITL) with Google's ADK - Ali Arsanjani, accessed on May 15, 2026, </w:t>
      </w:r>
      <w:hyperlink r:id="rId31">
        <w:r w:rsidDel="00000000" w:rsidR="00000000" w:rsidRPr="00000000">
          <w:rPr>
            <w:rFonts w:ascii="Arial" w:cs="Arial" w:eastAsia="Arial" w:hAnsi="Arial"/>
            <w:color w:val="0000ee"/>
            <w:sz w:val="24"/>
            <w:szCs w:val="24"/>
            <w:u w:val="single"/>
            <w:rtl w:val="0"/>
          </w:rPr>
          <w:t xml:space="preserve">https://dr-arsanjani.medium.com/mastering-long-running-ai-workflows-a-guide-to-human-in-the-loop-hitl-with-googles-adk-5c5df5d88900</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 Agentic AI: When You Need Both - Elementum, accessed on May 15, 2026, </w:t>
      </w:r>
      <w:hyperlink r:id="rId32">
        <w:r w:rsidDel="00000000" w:rsidR="00000000" w:rsidRPr="00000000">
          <w:rPr>
            <w:rFonts w:ascii="Arial" w:cs="Arial" w:eastAsia="Arial" w:hAnsi="Arial"/>
            <w:color w:val="0000ee"/>
            <w:sz w:val="24"/>
            <w:szCs w:val="24"/>
            <w:u w:val="single"/>
            <w:rtl w:val="0"/>
          </w:rPr>
          <w:t xml:space="preserve">https://www.elementum.ai/blog/human-in-the-loop-agentic-ai</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 in the loop (HITL) AI Agents with LangGraph &amp; Elastic - Elasticsearch Labs, accessed on May 15, 2026, </w:t>
      </w:r>
      <w:hyperlink r:id="rId33">
        <w:r w:rsidDel="00000000" w:rsidR="00000000" w:rsidRPr="00000000">
          <w:rPr>
            <w:rFonts w:ascii="Arial" w:cs="Arial" w:eastAsia="Arial" w:hAnsi="Arial"/>
            <w:color w:val="0000ee"/>
            <w:sz w:val="24"/>
            <w:szCs w:val="24"/>
            <w:u w:val="single"/>
            <w:rtl w:val="0"/>
          </w:rPr>
          <w:t xml:space="preserve">https://www.elastic.co/search-labs/blog/human-in-the-loop-hitllanggraph-elasticsearch</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Harnessing Agentic AI Architecture for CX Platforms: A Practical Guide | NiCE, accessed on May 15, 2026, </w:t>
      </w:r>
      <w:hyperlink r:id="rId34">
        <w:r w:rsidDel="00000000" w:rsidR="00000000" w:rsidRPr="00000000">
          <w:rPr>
            <w:rFonts w:ascii="Arial" w:cs="Arial" w:eastAsia="Arial" w:hAnsi="Arial"/>
            <w:color w:val="0000ee"/>
            <w:sz w:val="24"/>
            <w:szCs w:val="24"/>
            <w:u w:val="single"/>
            <w:rtl w:val="0"/>
          </w:rPr>
          <w:t xml:space="preserve">https://www.nice.com/agentic-ai/agentic-ai-architecture-for-cx-platforms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95% of AI Projects Fail and How Data Fixes It - SR analytics, accessed on May 15, 2026, </w:t>
      </w:r>
      <w:hyperlink r:id="rId35">
        <w:r w:rsidDel="00000000" w:rsidR="00000000" w:rsidRPr="00000000">
          <w:rPr>
            <w:rFonts w:ascii="Arial" w:cs="Arial" w:eastAsia="Arial" w:hAnsi="Arial"/>
            <w:color w:val="0000ee"/>
            <w:sz w:val="24"/>
            <w:szCs w:val="24"/>
            <w:u w:val="single"/>
            <w:rtl w:val="0"/>
          </w:rPr>
          <w:t xml:space="preserve">https://sranalytics.io/blog/why-95-of-ai-projects-fail/</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Trustworthy Agentic AI Requires Deterministic Architectural Boundaries - arXiv, accessed on May 15, 2026, </w:t>
      </w:r>
      <w:hyperlink r:id="rId36">
        <w:r w:rsidDel="00000000" w:rsidR="00000000" w:rsidRPr="00000000">
          <w:rPr>
            <w:rFonts w:ascii="Arial" w:cs="Arial" w:eastAsia="Arial" w:hAnsi="Arial"/>
            <w:color w:val="0000ee"/>
            <w:sz w:val="24"/>
            <w:szCs w:val="24"/>
            <w:u w:val="single"/>
            <w:rtl w:val="0"/>
          </w:rPr>
          <w:t xml:space="preserve">https://arxiv.org/html/2602.09947v1</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Process Mapping Software Reviews 2026: Top Picks &amp; Ratings - Lyren AI, accessed on May 15, 2026, </w:t>
      </w:r>
      <w:hyperlink r:id="rId37">
        <w:r w:rsidDel="00000000" w:rsidR="00000000" w:rsidRPr="00000000">
          <w:rPr>
            <w:rFonts w:ascii="Arial" w:cs="Arial" w:eastAsia="Arial" w:hAnsi="Arial"/>
            <w:color w:val="0000ee"/>
            <w:sz w:val="24"/>
            <w:szCs w:val="24"/>
            <w:u w:val="single"/>
            <w:rtl w:val="0"/>
          </w:rPr>
          <w:t xml:space="preserve">https://www.lyren.ai/blog/best-process-mapping-software-reviews-2026</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BPMN AI Software Pricing, Alternatives &amp; More 2026 - Capterra, accessed on May 15, 2026, </w:t>
      </w:r>
      <w:hyperlink r:id="rId38">
        <w:r w:rsidDel="00000000" w:rsidR="00000000" w:rsidRPr="00000000">
          <w:rPr>
            <w:rFonts w:ascii="Arial" w:cs="Arial" w:eastAsia="Arial" w:hAnsi="Arial"/>
            <w:color w:val="0000ee"/>
            <w:sz w:val="24"/>
            <w:szCs w:val="24"/>
            <w:u w:val="single"/>
            <w:rtl w:val="0"/>
          </w:rPr>
          <w:t xml:space="preserve">https://www.capterra.com/p/10041119/BPMN-AI/</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the shadows: The new SaaS security risks of Shadow AI in 2026 - The LastPass Blog, accessed on May 15, 2026, </w:t>
      </w:r>
      <w:hyperlink r:id="rId39">
        <w:r w:rsidDel="00000000" w:rsidR="00000000" w:rsidRPr="00000000">
          <w:rPr>
            <w:rFonts w:ascii="Arial" w:cs="Arial" w:eastAsia="Arial" w:hAnsi="Arial"/>
            <w:color w:val="0000ee"/>
            <w:sz w:val="24"/>
            <w:szCs w:val="24"/>
            <w:u w:val="single"/>
            <w:rtl w:val="0"/>
          </w:rPr>
          <w:t xml:space="preserve">https://blog.lastpass.com/posts/shadow-ai-saas-security-risks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tgenius.com/blog/google-workspace-studio-ai-agents/" TargetMode="External"/><Relationship Id="rId22" Type="http://schemas.openxmlformats.org/officeDocument/2006/relationships/hyperlink" Target="https://www.scalesuite.com.au/resources/the-true-cost-of-hiring-an-employee-in-australia" TargetMode="External"/><Relationship Id="rId21" Type="http://schemas.openxmlformats.org/officeDocument/2006/relationships/hyperlink" Target="https://workspace.google.com/studio/" TargetMode="External"/><Relationship Id="rId24" Type="http://schemas.openxmlformats.org/officeDocument/2006/relationships/hyperlink" Target="https://www.roberthalf.com/au/en/job-details/human-resources-administrator/perth" TargetMode="External"/><Relationship Id="rId23" Type="http://schemas.openxmlformats.org/officeDocument/2006/relationships/hyperlink" Target="https://www.scalesuite.com.au/resources/how-much-does-it-cost-to-employ-someone-in-each-australian-st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ibm.com/think/topics/ai-agent-memory" TargetMode="External"/><Relationship Id="rId25" Type="http://schemas.openxmlformats.org/officeDocument/2006/relationships/hyperlink" Target="https://www.kore.ai/blog/what-is-ai-agent-memory" TargetMode="External"/><Relationship Id="rId28" Type="http://schemas.openxmlformats.org/officeDocument/2006/relationships/hyperlink" Target="https://arxiv.org/html/2603.07670v1" TargetMode="External"/><Relationship Id="rId27" Type="http://schemas.openxmlformats.org/officeDocument/2006/relationships/hyperlink" Target="https://redis.io/blog/ai-agent-memory-stateful-systems/"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moxo.com/blog/human-in-the-loop-ai-governance" TargetMode="External"/><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hyperlink" Target="https://dr-arsanjani.medium.com/mastering-long-running-ai-workflows-a-guide-to-human-in-the-loop-hitl-with-googles-adk-5c5df5d88900" TargetMode="External"/><Relationship Id="rId30" Type="http://schemas.openxmlformats.org/officeDocument/2006/relationships/hyperlink" Target="https://dkconsultingcolorado.com/2026/02/28/critical-thinking-and-genai-why-human-in-the-loop-needs-cognitive-friction/" TargetMode="External"/><Relationship Id="rId11" Type="http://schemas.openxmlformats.org/officeDocument/2006/relationships/image" Target="media/image2.png"/><Relationship Id="rId33" Type="http://schemas.openxmlformats.org/officeDocument/2006/relationships/hyperlink" Target="https://www.elastic.co/search-labs/blog/human-in-the-loop-hitllanggraph-elasticsearch" TargetMode="External"/><Relationship Id="rId10" Type="http://schemas.openxmlformats.org/officeDocument/2006/relationships/image" Target="media/image1.png"/><Relationship Id="rId32" Type="http://schemas.openxmlformats.org/officeDocument/2006/relationships/hyperlink" Target="https://www.elementum.ai/blog/human-in-the-loop-agentic-ai" TargetMode="External"/><Relationship Id="rId13" Type="http://schemas.openxmlformats.org/officeDocument/2006/relationships/hyperlink" Target="https://cloud.google.com/blog/topics/google-cloud-next/welcome-to-google-cloud-next26" TargetMode="External"/><Relationship Id="rId35" Type="http://schemas.openxmlformats.org/officeDocument/2006/relationships/hyperlink" Target="https://sranalytics.io/blog/why-95-of-ai-projects-fail/" TargetMode="External"/><Relationship Id="rId12" Type="http://schemas.openxmlformats.org/officeDocument/2006/relationships/image" Target="media/image6.png"/><Relationship Id="rId34" Type="http://schemas.openxmlformats.org/officeDocument/2006/relationships/hyperlink" Target="https://www.nice.com/agentic-ai/agentic-ai-architecture-for-cx-platforms" TargetMode="External"/><Relationship Id="rId15" Type="http://schemas.openxmlformats.org/officeDocument/2006/relationships/hyperlink" Target="https://ba-copilot.com/best-process-mapping-software" TargetMode="External"/><Relationship Id="rId37" Type="http://schemas.openxmlformats.org/officeDocument/2006/relationships/hyperlink" Target="https://www.lyren.ai/blog/best-process-mapping-software-reviews-2026" TargetMode="External"/><Relationship Id="rId14" Type="http://schemas.openxmlformats.org/officeDocument/2006/relationships/hyperlink" Target="https://biztechmagazine.com/article/2026/03/how-googles-workspace-studio-transforming-enterprise-workflows" TargetMode="External"/><Relationship Id="rId36" Type="http://schemas.openxmlformats.org/officeDocument/2006/relationships/hyperlink" Target="https://arxiv.org/html/2602.09947v1" TargetMode="External"/><Relationship Id="rId17" Type="http://schemas.openxmlformats.org/officeDocument/2006/relationships/hyperlink" Target="https://www.knowi.com/blog/healthcare-analytics-statistics-2026/" TargetMode="External"/><Relationship Id="rId39" Type="http://schemas.openxmlformats.org/officeDocument/2006/relationships/hyperlink" Target="https://blog.lastpass.com/posts/shadow-ai-saas-security-risks" TargetMode="External"/><Relationship Id="rId16" Type="http://schemas.openxmlformats.org/officeDocument/2006/relationships/hyperlink" Target="https://www.crowdstrike.com/en-us/cybersecurity-101/artificial-intelligence/shadow-ai/" TargetMode="External"/><Relationship Id="rId38" Type="http://schemas.openxmlformats.org/officeDocument/2006/relationships/hyperlink" Target="https://www.capterra.com/p/10041119/BPMN-AI/" TargetMode="External"/><Relationship Id="rId19" Type="http://schemas.openxmlformats.org/officeDocument/2006/relationships/hyperlink" Target="https://www.pertamapartners.com/insights/ai-project-failure-statistics-2026" TargetMode="External"/><Relationship Id="rId18" Type="http://schemas.openxmlformats.org/officeDocument/2006/relationships/hyperlink" Target="https://www.wolterskluwer.com/en/solutions/uptodate/ai-clinical-decision-support/shadow-ai-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