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Client Onboarding: AI Solutions Architecture &amp; Strategic Roadmap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Welcome to your partnership for enterprise AI orchestration. Our objective is to transition your organization from isolated, monolithic models into an integrated, multi-agent operational architecture capable of reasoning, planning, and executing complex workflows across your legacy databases and modern APIs [cite: 1].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Strategic Opening: The "Automations over AI" Philosophy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We prioritize </w:t>
      </w:r>
      <w:r w:rsidDel="00000000" w:rsidR="00000000" w:rsidRPr="00000000">
        <w:rPr>
          <w:b w:val="1"/>
          <w:bCs w:val="1"/>
          <w:rtl w:val="0"/>
        </w:rPr>
        <w:t xml:space="preserve">practical, measurable commercial outcomes</w:t>
      </w:r>
      <w:r w:rsidDel="00000000" w:rsidR="00000000" w:rsidRPr="00000000">
        <w:rPr>
          <w:rtl w:val="0"/>
        </w:rPr>
        <w:t xml:space="preserve"> over abstract technological hype [cite: 791, 794]. Our approach focuses on "Automations over AI," identifying specific administrative bottlenecks that consume profit margins and reclaiming your time through secure, background systems [cite: 790, 795].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Phase 1: Business Process Intake &amp; Feasibility Mapping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first step in our architectural lifecycle is the rigorous deconstruction of legacy business requests into viable, high-ROI use cases [cite: 3, 8]. We translate operational friction into programmable topologies [cite: 23].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Process Decomposition:</w:t>
      </w:r>
      <w:r w:rsidDel="00000000" w:rsidR="00000000" w:rsidRPr="00000000">
        <w:rPr>
          <w:rtl w:val="0"/>
        </w:rPr>
        <w:t xml:space="preserve"> We utilize specialized JSON-based intermediate representations, which have been shown to reduce generation latency by approximately 43% and token counts by over 75% compared to traditional XML [cite: 27, 28].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Efficiency Benchmarks:</w:t>
      </w:r>
      <w:r w:rsidDel="00000000" w:rsidR="00000000" w:rsidRPr="00000000">
        <w:rPr>
          <w:rtl w:val="0"/>
        </w:rPr>
        <w:t xml:space="preserve"> In enterprise data extraction, we aim to reduce process latency significantly—for example, moving from a 25-minute manual review to an 8-minute AI-assisted cycle [cite: 36].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Strategic ROI Modeling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establish defensible metrics for stakeholders, we evaluate the system across four critical pillars [cite: 33, 34]: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Pillar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Efficiency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Direct reduction in manual effort and process latency [cite: 34].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Enablement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Improving lead conversion (e.g., sub-5-minute response times) and speed-to-insight [cite: 33, 219].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&amp; Compliance Value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Automated fraud detection and anomaly monitoring (typically yielding 40-100%+ IRR) [cite: 33, 39].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Strategic Option Value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Building a foundational data layer for future scale [cite: 33, 525].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The 90-Day Enterprise Migration Path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Our structured execution roadmap ensures technology deployment aligns with organizational governance [cite: 168].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Phase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Timeline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Primary Objectives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Key Deliverables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Visibility &amp; Risk ID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Days 1 - 30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audit for PII/IP exposure; Baseline manual process latency [cite: 171].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Comprehensive data map; Initial gap analysis [cite: 172].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Governance Alignment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Days 31 - 60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Standardize sensitivity labels; Deploy secure ELT pipelines; Launch controlled pilot [cite: 173].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Tuned DLP policies; Verified integration architecture [cite: 174].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Operationalization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Days 61 - 90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Transition to gated-write actions with Human-in-the-Loop (HITL) fallbacks; Continuous auditing [cite: 175].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Executive ROI dashboard; Formalized AI Governance statement [cite: 176].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Security &amp; Governance Framework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insulate your core assets from sophisticated attacks like RAG poisoning or prompt leakage, we implement a </w:t>
      </w:r>
      <w:r w:rsidDel="00000000" w:rsidR="00000000" w:rsidRPr="00000000">
        <w:rPr>
          <w:b w:val="1"/>
          <w:bCs w:val="1"/>
          <w:rtl w:val="0"/>
        </w:rPr>
        <w:t xml:space="preserve">Zero-Trust Knowledge Base</w:t>
      </w:r>
      <w:r w:rsidDel="00000000" w:rsidR="00000000" w:rsidRPr="00000000">
        <w:rPr>
          <w:rtl w:val="0"/>
        </w:rPr>
        <w:t xml:space="preserve"> [cite: 13, 62, 180].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Least-Privilege Binding:</w:t>
      </w:r>
      <w:r w:rsidDel="00000000" w:rsidR="00000000" w:rsidRPr="00000000">
        <w:rPr>
          <w:rtl w:val="0"/>
        </w:rPr>
        <w:t xml:space="preserve"> Agents are granted only the absolute minimum permissions required for ephemeral tasks via the Model Context Protocol (MCP) [cite: 76, 121].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Metacognitive Friction:</w:t>
      </w:r>
      <w:r w:rsidDel="00000000" w:rsidR="00000000" w:rsidRPr="00000000">
        <w:rPr>
          <w:rtl w:val="0"/>
        </w:rPr>
        <w:t xml:space="preserve"> We insert evaluative checkpoints and hard caps on sequential tool calls (maximum depth of 4) to prevent "hallucination cascades" [cite: 104, 105, 547].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Human-in-the-Loop (HITL):</w:t>
      </w:r>
      <w:r w:rsidDel="00000000" w:rsidR="00000000" w:rsidRPr="00000000">
        <w:rPr>
          <w:rtl w:val="0"/>
        </w:rPr>
        <w:t xml:space="preserve"> High-risk tool calls (e.g., financial transfers) require explicit human approval gates [cite: 78, 645].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Next Steps for Our First Session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our initial meeting, we will focus on: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Identifying 2-3 "Quick Win" automation candidates [cite: 396].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Performing a high-level audit of your unstructured data ingestion pipelines [cite: 48].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Establishing the baseline "Hours Saved" metric for your primary pain points [cite: 35].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