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7D9A" w14:textId="77777777" w:rsidR="00940D20" w:rsidRDefault="00940D20">
      <w:pPr>
        <w:spacing w:after="2400"/>
      </w:pPr>
    </w:p>
    <w:p w14:paraId="4E097D9B" w14:textId="77777777" w:rsidR="00940D20" w:rsidRDefault="002A0123">
      <w:pPr>
        <w:jc w:val="center"/>
      </w:pPr>
      <w:r>
        <w:rPr>
          <w:b/>
          <w:bCs/>
          <w:color w:val="4A90C4"/>
          <w:sz w:val="48"/>
          <w:szCs w:val="48"/>
        </w:rPr>
        <w:t>ATRIA CRE</w:t>
      </w:r>
    </w:p>
    <w:p w14:paraId="4E097D9C" w14:textId="77777777" w:rsidR="00940D20" w:rsidRDefault="00940D20">
      <w:pPr>
        <w:spacing w:after="200"/>
      </w:pPr>
    </w:p>
    <w:p w14:paraId="4E097D9D" w14:textId="77777777" w:rsidR="00940D20" w:rsidRDefault="002A0123">
      <w:pPr>
        <w:pBdr>
          <w:bottom w:val="single" w:sz="6" w:space="1" w:color="E8853D"/>
        </w:pBdr>
        <w:jc w:val="center"/>
      </w:pPr>
      <w:r>
        <w:rPr>
          <w:sz w:val="12"/>
          <w:szCs w:val="12"/>
        </w:rPr>
        <w:t xml:space="preserve"> </w:t>
      </w:r>
    </w:p>
    <w:p w14:paraId="4E097D9E" w14:textId="77777777" w:rsidR="00940D20" w:rsidRDefault="00940D20">
      <w:pPr>
        <w:spacing w:after="400"/>
      </w:pPr>
    </w:p>
    <w:p w14:paraId="4E097D9F" w14:textId="77777777" w:rsidR="00940D20" w:rsidRDefault="002A0123">
      <w:pPr>
        <w:jc w:val="center"/>
      </w:pPr>
      <w:r>
        <w:rPr>
          <w:b/>
          <w:bCs/>
          <w:sz w:val="36"/>
          <w:szCs w:val="36"/>
        </w:rPr>
        <w:t>INVESTMENT MEMORANDUM</w:t>
      </w:r>
    </w:p>
    <w:p w14:paraId="4E097DA0" w14:textId="77777777" w:rsidR="00940D20" w:rsidRDefault="00940D20">
      <w:pPr>
        <w:spacing w:after="200"/>
      </w:pPr>
    </w:p>
    <w:p w14:paraId="4E097DA1" w14:textId="77777777" w:rsidR="00940D20" w:rsidRDefault="002A0123">
      <w:pPr>
        <w:jc w:val="center"/>
      </w:pPr>
      <w:r>
        <w:rPr>
          <w:sz w:val="28"/>
          <w:szCs w:val="28"/>
        </w:rPr>
        <w:t>Marconi &amp; Walnut Shopping Center</w:t>
      </w:r>
    </w:p>
    <w:p w14:paraId="4E097DA2" w14:textId="77777777" w:rsidR="00940D20" w:rsidRDefault="002A0123">
      <w:pPr>
        <w:jc w:val="center"/>
      </w:pPr>
      <w:r>
        <w:rPr>
          <w:color w:val="666666"/>
          <w:sz w:val="22"/>
          <w:szCs w:val="22"/>
        </w:rPr>
        <w:t>4949 &amp; 4955 Marconi Avenue, Carmichael, CA 95608</w:t>
      </w:r>
    </w:p>
    <w:p w14:paraId="4E097DA3" w14:textId="77777777" w:rsidR="00940D20" w:rsidRDefault="00940D20">
      <w:pPr>
        <w:spacing w:after="600"/>
      </w:pPr>
    </w:p>
    <w:p w14:paraId="4E097DA4" w14:textId="0FD512BD" w:rsidR="00940D20" w:rsidRDefault="002A0123">
      <w:pPr>
        <w:jc w:val="center"/>
      </w:pPr>
      <w:r>
        <w:rPr>
          <w:color w:val="888888"/>
          <w:sz w:val="22"/>
          <w:szCs w:val="22"/>
        </w:rPr>
        <w:t>Prepared April 2026</w:t>
      </w:r>
      <w:r w:rsidR="00F20714">
        <w:rPr>
          <w:color w:val="888888"/>
          <w:sz w:val="22"/>
          <w:szCs w:val="22"/>
        </w:rPr>
        <w:t>, by Keegan Tingey</w:t>
      </w:r>
    </w:p>
    <w:p w14:paraId="4E097DA5" w14:textId="77777777" w:rsidR="00940D20" w:rsidRDefault="002A0123">
      <w:pPr>
        <w:jc w:val="center"/>
      </w:pPr>
      <w:r>
        <w:rPr>
          <w:b/>
          <w:bCs/>
          <w:color w:val="E8853D"/>
          <w:sz w:val="20"/>
          <w:szCs w:val="20"/>
        </w:rPr>
        <w:t>CONFIDENTIAL</w:t>
      </w:r>
    </w:p>
    <w:p w14:paraId="4E097DA6" w14:textId="77777777" w:rsidR="00940D20" w:rsidRDefault="00940D20">
      <w:pPr>
        <w:sectPr w:rsidR="00940D2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E097DA7" w14:textId="77777777" w:rsidR="00940D20" w:rsidRDefault="002A0123">
      <w:pPr>
        <w:pStyle w:val="Heading1"/>
      </w:pPr>
      <w:r>
        <w:lastRenderedPageBreak/>
        <w:t>Executive Summary</w:t>
      </w:r>
    </w:p>
    <w:p w14:paraId="4E097DA8" w14:textId="549BC968" w:rsidR="00940D20" w:rsidRDefault="002A0123">
      <w:pPr>
        <w:spacing w:after="140" w:line="276" w:lineRule="auto"/>
      </w:pPr>
      <w:r>
        <w:t xml:space="preserve">Atria CRE recommends the acquisition of the </w:t>
      </w:r>
      <w:r>
        <w:rPr>
          <w:b/>
          <w:bCs/>
        </w:rPr>
        <w:t>Marconi &amp; Walnut Shopping Center</w:t>
      </w:r>
      <w:r>
        <w:t xml:space="preserve">, a 17,880 SF multi-tenant strip retail center located at 4949 &amp; 4955 Marconi Avenue in Carmichael, California. The property is listed at $2.0M ($111.86/SF) and is currently </w:t>
      </w:r>
      <w:r w:rsidR="00863A7F">
        <w:t>87</w:t>
      </w:r>
      <w:r>
        <w:t>% occupied across 12 tenant suites with a mix of NNN and modified gross leases.</w:t>
      </w:r>
    </w:p>
    <w:p w14:paraId="4E097DA9" w14:textId="77777777" w:rsidR="00940D20" w:rsidRDefault="002A0123">
      <w:pPr>
        <w:spacing w:after="140" w:line="276" w:lineRule="auto"/>
      </w:pPr>
      <w:r>
        <w:rPr>
          <w:b/>
          <w:bCs/>
        </w:rPr>
        <w:t>Our recommended basis is $1.8M ($100.67/SF)</w:t>
      </w:r>
      <w:r>
        <w:t xml:space="preserve">, which produces a </w:t>
      </w:r>
      <w:r>
        <w:rPr>
          <w:b/>
          <w:bCs/>
          <w:color w:val="E8853D"/>
        </w:rPr>
        <w:t>16.0% levered IRR</w:t>
      </w:r>
      <w:r>
        <w:t xml:space="preserve"> and a </w:t>
      </w:r>
      <w:r>
        <w:rPr>
          <w:b/>
          <w:bCs/>
          <w:color w:val="E8853D"/>
        </w:rPr>
        <w:t>1.63x equity multiple</w:t>
      </w:r>
      <w:r>
        <w:t xml:space="preserve"> over a 5-year hold. At the listed $2.0M price, the deal returns a 9.35% levered IRR and 1.44x multiple—adequate but not compelling for the risk profile of this asset.</w:t>
      </w:r>
    </w:p>
    <w:p w14:paraId="4E097DAA" w14:textId="77777777" w:rsidR="00940D20" w:rsidRDefault="002A0123">
      <w:pPr>
        <w:spacing w:after="140" w:line="276" w:lineRule="auto"/>
      </w:pPr>
      <w:r>
        <w:t>The investment thesis rests on three pillars: (1) acquiring at a discount to capture immediate value, (2) rolling below-market rents to market as leases expire, and (3) refinancing into permanent debt after stabilization to return equity and lower cost of capital.</w:t>
      </w:r>
    </w:p>
    <w:p w14:paraId="4E097DAB" w14:textId="77777777" w:rsidR="00940D20" w:rsidRDefault="002A0123">
      <w:pPr>
        <w:pStyle w:val="Heading1"/>
      </w:pPr>
      <w:r>
        <w:t>Property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40D20" w14:paraId="4E097DAE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4A90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7DAC" w14:textId="77777777" w:rsidR="00940D20" w:rsidRDefault="002A0123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4A90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7DAD" w14:textId="77777777" w:rsidR="00940D20" w:rsidRDefault="002A0123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940D20" w14:paraId="4E097DB1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AF" w14:textId="77777777" w:rsidR="00940D20" w:rsidRDefault="002A0123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0" w14:textId="77777777" w:rsidR="00940D20" w:rsidRDefault="002A0123">
            <w:r>
              <w:rPr>
                <w:sz w:val="20"/>
                <w:szCs w:val="20"/>
              </w:rPr>
              <w:t>4949 &amp; 4955 Marconi Ave, Carmichael, CA 95608</w:t>
            </w:r>
          </w:p>
        </w:tc>
      </w:tr>
      <w:tr w:rsidR="00940D20" w14:paraId="4E097DB4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2" w14:textId="77777777" w:rsidR="00940D20" w:rsidRDefault="002A0123">
            <w:r>
              <w:rPr>
                <w:sz w:val="20"/>
                <w:szCs w:val="20"/>
              </w:rPr>
              <w:t>Property Type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3" w14:textId="77777777" w:rsidR="00940D20" w:rsidRDefault="002A0123">
            <w:r>
              <w:rPr>
                <w:sz w:val="20"/>
                <w:szCs w:val="20"/>
              </w:rPr>
              <w:t>Strip Retail Center</w:t>
            </w:r>
          </w:p>
        </w:tc>
      </w:tr>
      <w:tr w:rsidR="00940D20" w14:paraId="4E097DB7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5" w14:textId="77777777" w:rsidR="00940D20" w:rsidRDefault="002A0123">
            <w:r>
              <w:rPr>
                <w:sz w:val="20"/>
                <w:szCs w:val="20"/>
              </w:rPr>
              <w:t>Year Built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6" w14:textId="77777777" w:rsidR="00940D20" w:rsidRDefault="002A0123">
            <w:r>
              <w:rPr>
                <w:sz w:val="20"/>
                <w:szCs w:val="20"/>
              </w:rPr>
              <w:t>1961</w:t>
            </w:r>
          </w:p>
        </w:tc>
      </w:tr>
      <w:tr w:rsidR="00940D20" w14:paraId="4E097DBA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8" w14:textId="77777777" w:rsidR="00940D20" w:rsidRDefault="002A0123">
            <w:r>
              <w:rPr>
                <w:sz w:val="20"/>
                <w:szCs w:val="20"/>
              </w:rPr>
              <w:t>Net Rentable Area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9" w14:textId="77777777" w:rsidR="00940D20" w:rsidRDefault="002A0123">
            <w:r>
              <w:rPr>
                <w:sz w:val="20"/>
                <w:szCs w:val="20"/>
              </w:rPr>
              <w:t>17,880 SF</w:t>
            </w:r>
          </w:p>
        </w:tc>
      </w:tr>
      <w:tr w:rsidR="00940D20" w14:paraId="4E097DBD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B" w14:textId="77777777" w:rsidR="00940D20" w:rsidRDefault="002A0123">
            <w:r>
              <w:rPr>
                <w:sz w:val="20"/>
                <w:szCs w:val="20"/>
              </w:rPr>
              <w:t>Lot Size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C" w14:textId="77777777" w:rsidR="00940D20" w:rsidRDefault="002A0123">
            <w:r>
              <w:rPr>
                <w:sz w:val="20"/>
                <w:szCs w:val="20"/>
              </w:rPr>
              <w:t>±0.73 Acres</w:t>
            </w:r>
          </w:p>
        </w:tc>
      </w:tr>
      <w:tr w:rsidR="00940D20" w14:paraId="4E097DC0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E" w14:textId="77777777" w:rsidR="00940D20" w:rsidRDefault="002A0123">
            <w:r>
              <w:rPr>
                <w:sz w:val="20"/>
                <w:szCs w:val="20"/>
              </w:rPr>
              <w:t>Number of Suites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BF" w14:textId="77777777" w:rsidR="00940D20" w:rsidRDefault="002A0123">
            <w:r>
              <w:rPr>
                <w:sz w:val="20"/>
                <w:szCs w:val="20"/>
              </w:rPr>
              <w:t>12</w:t>
            </w:r>
          </w:p>
        </w:tc>
      </w:tr>
      <w:tr w:rsidR="00940D20" w14:paraId="4E097DC3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C1" w14:textId="77777777" w:rsidR="00940D20" w:rsidRDefault="002A0123">
            <w:r>
              <w:rPr>
                <w:sz w:val="20"/>
                <w:szCs w:val="20"/>
              </w:rPr>
              <w:t>Occupancy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C2" w14:textId="55882F31" w:rsidR="00940D20" w:rsidRDefault="00863A7F">
            <w:r>
              <w:rPr>
                <w:sz w:val="20"/>
                <w:szCs w:val="20"/>
              </w:rPr>
              <w:t>87% (as of acquisition)</w:t>
            </w:r>
          </w:p>
        </w:tc>
      </w:tr>
      <w:tr w:rsidR="00940D20" w14:paraId="4E097DC6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C4" w14:textId="77777777" w:rsidR="00940D20" w:rsidRDefault="002A0123">
            <w:r>
              <w:rPr>
                <w:sz w:val="20"/>
                <w:szCs w:val="20"/>
              </w:rPr>
              <w:t>Parking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C5" w14:textId="77777777" w:rsidR="00940D20" w:rsidRDefault="002A0123">
            <w:r>
              <w:rPr>
                <w:sz w:val="20"/>
                <w:szCs w:val="20"/>
              </w:rPr>
              <w:t>Surface lot, 46 spaces (2.57/1,000 SF)</w:t>
            </w:r>
          </w:p>
        </w:tc>
      </w:tr>
      <w:tr w:rsidR="00940D20" w14:paraId="4E097DC9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C7" w14:textId="77777777" w:rsidR="00940D20" w:rsidRDefault="002A0123">
            <w:r>
              <w:rPr>
                <w:sz w:val="20"/>
                <w:szCs w:val="20"/>
              </w:rPr>
              <w:t>Listing Price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C8" w14:textId="77777777" w:rsidR="00940D20" w:rsidRDefault="002A0123">
            <w:r>
              <w:rPr>
                <w:sz w:val="20"/>
                <w:szCs w:val="20"/>
              </w:rPr>
              <w:t>$2,000,000 ($111.86/SF)</w:t>
            </w:r>
          </w:p>
        </w:tc>
      </w:tr>
      <w:tr w:rsidR="00940D20" w14:paraId="4E097DCC" w14:textId="77777777"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CA" w14:textId="77777777" w:rsidR="00940D20" w:rsidRDefault="002A0123">
            <w:r>
              <w:rPr>
                <w:sz w:val="20"/>
                <w:szCs w:val="20"/>
              </w:rPr>
              <w:t>Recommended Basis</w:t>
            </w:r>
          </w:p>
        </w:tc>
        <w:tc>
          <w:tcPr>
            <w:tcW w:w="5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CB" w14:textId="77777777" w:rsidR="00940D20" w:rsidRDefault="002A0123">
            <w:r>
              <w:rPr>
                <w:sz w:val="20"/>
                <w:szCs w:val="20"/>
              </w:rPr>
              <w:t>$1,800,000 ($100.67/SF)</w:t>
            </w:r>
          </w:p>
        </w:tc>
      </w:tr>
    </w:tbl>
    <w:p w14:paraId="4E097DCD" w14:textId="77777777" w:rsidR="00940D20" w:rsidRDefault="00940D20">
      <w:pPr>
        <w:spacing w:after="120"/>
      </w:pPr>
    </w:p>
    <w:p w14:paraId="4E097DCE" w14:textId="77777777" w:rsidR="00940D20" w:rsidRDefault="002A0123">
      <w:pPr>
        <w:spacing w:after="140" w:line="276" w:lineRule="auto"/>
      </w:pPr>
      <w:r>
        <w:t>The center is a single-</w:t>
      </w:r>
      <w:proofErr w:type="gramStart"/>
      <w:r>
        <w:t>story strip</w:t>
      </w:r>
      <w:proofErr w:type="gramEnd"/>
      <w:r>
        <w:t xml:space="preserve"> retail building on Marconi Avenue, a well-trafficked east-west commercial corridor with 17,193 average daily trips. The tenant mix includes long-standing local operators (dog grooming, barber, tax prep, flooring) alongside service-oriented tenants with recurring customer bases.</w:t>
      </w:r>
    </w:p>
    <w:p w14:paraId="4E097DCF" w14:textId="77777777" w:rsidR="00940D20" w:rsidRDefault="002A0123">
      <w:pPr>
        <w:pStyle w:val="Heading1"/>
      </w:pPr>
      <w:r>
        <w:t>Demographics &amp; Market Context</w:t>
      </w:r>
    </w:p>
    <w:p w14:paraId="4E097DD0" w14:textId="77777777" w:rsidR="00940D20" w:rsidRDefault="002A0123">
      <w:pPr>
        <w:pStyle w:val="Heading2"/>
      </w:pPr>
      <w:r>
        <w:t>Carmichael / Sacramento Metro</w:t>
      </w:r>
    </w:p>
    <w:p w14:paraId="4E097DD1" w14:textId="77777777" w:rsidR="00940D20" w:rsidRDefault="002A0123">
      <w:pPr>
        <w:spacing w:after="140" w:line="276" w:lineRule="auto"/>
      </w:pPr>
      <w:r>
        <w:t xml:space="preserve">Carmichael is an unincorporated community in Sacramento County with a population of approximately </w:t>
      </w:r>
      <w:r>
        <w:rPr>
          <w:b/>
          <w:bCs/>
        </w:rPr>
        <w:t>81,833</w:t>
      </w:r>
      <w:r>
        <w:t xml:space="preserve"> and a median household income of </w:t>
      </w:r>
      <w:r>
        <w:rPr>
          <w:b/>
          <w:bCs/>
        </w:rPr>
        <w:t>$</w:t>
      </w:r>
      <w:proofErr w:type="gramStart"/>
      <w:r>
        <w:rPr>
          <w:b/>
          <w:bCs/>
        </w:rPr>
        <w:t>85,914</w:t>
      </w:r>
      <w:r>
        <w:t>—</w:t>
      </w:r>
      <w:proofErr w:type="gramEnd"/>
      <w:r>
        <w:t xml:space="preserve">roughly 15% above the national median. The </w:t>
      </w:r>
      <w:proofErr w:type="gramStart"/>
      <w:r>
        <w:t>95608 zip</w:t>
      </w:r>
      <w:proofErr w:type="gramEnd"/>
      <w:r>
        <w:t xml:space="preserve"> code encompasses 65,367 residents. Median home values sit at approximately $599,100, reflecting a stable, middle-income suburban demographic that supports neighborhood-serving retail.</w:t>
      </w:r>
    </w:p>
    <w:p w14:paraId="4E097DD2" w14:textId="77777777" w:rsidR="00940D20" w:rsidRDefault="002A0123">
      <w:pPr>
        <w:spacing w:after="140" w:line="276" w:lineRule="auto"/>
      </w:pPr>
      <w:r>
        <w:t>The Sacramento metro economy is in a growth phase heading into 2026. Key tailwinds include:</w:t>
      </w:r>
    </w:p>
    <w:p w14:paraId="4E097DD3" w14:textId="77777777" w:rsidR="00940D20" w:rsidRDefault="002A0123">
      <w:pPr>
        <w:pStyle w:val="ListParagraph"/>
        <w:numPr>
          <w:ilvl w:val="0"/>
          <w:numId w:val="2"/>
        </w:numPr>
        <w:spacing w:after="80"/>
      </w:pPr>
      <w:r>
        <w:lastRenderedPageBreak/>
        <w:t>Bosch’s $1.2B semiconductor fab in Roseville, driving job creation across the I-80 corridor</w:t>
      </w:r>
    </w:p>
    <w:p w14:paraId="4E097DD4" w14:textId="77777777" w:rsidR="00940D20" w:rsidRDefault="002A0123">
      <w:pPr>
        <w:pStyle w:val="ListParagraph"/>
        <w:numPr>
          <w:ilvl w:val="0"/>
          <w:numId w:val="2"/>
        </w:numPr>
        <w:spacing w:after="80"/>
      </w:pPr>
      <w:r>
        <w:t>State government expansion and UC Davis Health system growth supporting a diversified employment base</w:t>
      </w:r>
    </w:p>
    <w:p w14:paraId="4E097DD5" w14:textId="77777777" w:rsidR="00940D20" w:rsidRDefault="002A0123">
      <w:pPr>
        <w:pStyle w:val="ListParagraph"/>
        <w:numPr>
          <w:ilvl w:val="0"/>
          <w:numId w:val="2"/>
        </w:numPr>
        <w:spacing w:after="80"/>
      </w:pPr>
      <w:r>
        <w:t xml:space="preserve">Continued brick-and-mortar retail openings nationally, with service tenants (salons, fitness, medical) </w:t>
      </w:r>
      <w:proofErr w:type="gramStart"/>
      <w:r>
        <w:t>driving leasing</w:t>
      </w:r>
      <w:proofErr w:type="gramEnd"/>
      <w:r>
        <w:t xml:space="preserve"> velocity in suburban strip centers</w:t>
      </w:r>
    </w:p>
    <w:p w14:paraId="4E097DD6" w14:textId="77777777" w:rsidR="00940D20" w:rsidRDefault="002A0123">
      <w:pPr>
        <w:pStyle w:val="ListParagraph"/>
        <w:numPr>
          <w:ilvl w:val="0"/>
          <w:numId w:val="2"/>
        </w:numPr>
        <w:spacing w:after="140"/>
      </w:pPr>
      <w:r>
        <w:t>Comparable corridor rents in the $1.29–$1.78/SF/month range, with several tenants at the subject property paying meaningfully below market</w:t>
      </w:r>
    </w:p>
    <w:p w14:paraId="4E097DD7" w14:textId="77777777" w:rsidR="00940D20" w:rsidRDefault="002A0123">
      <w:pPr>
        <w:pStyle w:val="Heading2"/>
      </w:pPr>
      <w:r>
        <w:t>Traffic &amp; Accessibility</w:t>
      </w:r>
    </w:p>
    <w:p w14:paraId="4E097DD8" w14:textId="77777777" w:rsidR="00940D20" w:rsidRDefault="002A0123">
      <w:pPr>
        <w:spacing w:after="140" w:line="276" w:lineRule="auto"/>
      </w:pPr>
      <w:r>
        <w:t>Marconi Avenue sees 17,193 ADT with an additional 19,177 ADT on Walnut Avenue at the intersection. Nearby retail anchors include CVS, Grocery Outlet, Dollar Tree, and multiple quick-service restaurants, creating a co-tenancy draw that benefits the subject property.</w:t>
      </w:r>
    </w:p>
    <w:p w14:paraId="4E097DD9" w14:textId="77777777" w:rsidR="00940D20" w:rsidRDefault="002A0123">
      <w:pPr>
        <w:pStyle w:val="Heading1"/>
      </w:pPr>
      <w:r>
        <w:t>Business Plan</w:t>
      </w:r>
    </w:p>
    <w:p w14:paraId="4E097DDA" w14:textId="77777777" w:rsidR="00940D20" w:rsidRDefault="002A0123">
      <w:pPr>
        <w:spacing w:after="140" w:line="276" w:lineRule="auto"/>
      </w:pPr>
      <w:r>
        <w:rPr>
          <w:b/>
          <w:bCs/>
        </w:rPr>
        <w:t xml:space="preserve">Year 1–2: Stabilize and Refi. </w:t>
      </w:r>
      <w:r>
        <w:t>Maintain current occupancy, manage tenant relationships, and execute lease renewals at market rents as existing terms expire. Several tenants are month-to-month or have near-term expirations, presenting immediate opportunities to push rents. After stabilization (target Month 12), refinance into permanent fixed-rate debt to lower cost of capital and return excess equity to investors.</w:t>
      </w:r>
    </w:p>
    <w:p w14:paraId="4E097DDB" w14:textId="77777777" w:rsidR="00940D20" w:rsidRDefault="002A0123">
      <w:pPr>
        <w:spacing w:after="140" w:line="276" w:lineRule="auto"/>
      </w:pPr>
      <w:r>
        <w:rPr>
          <w:b/>
          <w:bCs/>
        </w:rPr>
        <w:t xml:space="preserve">Year 2–4: Grow NOI. </w:t>
      </w:r>
      <w:r>
        <w:t xml:space="preserve">Continue rolling leases to market. Annual rent </w:t>
      </w:r>
      <w:proofErr w:type="gramStart"/>
      <w:r>
        <w:t>escalations</w:t>
      </w:r>
      <w:proofErr w:type="gramEnd"/>
      <w:r>
        <w:t xml:space="preserve"> of 3% embedded in new leases. Address deferred maintenance with a targeted $150K </w:t>
      </w:r>
      <w:proofErr w:type="spellStart"/>
      <w:r>
        <w:t>CapEx</w:t>
      </w:r>
      <w:proofErr w:type="spellEnd"/>
      <w:r>
        <w:t xml:space="preserve"> budget (roof, parking, signage). Improve curb appeal to command higher rents from new tenants.</w:t>
      </w:r>
    </w:p>
    <w:p w14:paraId="4E097DDC" w14:textId="77777777" w:rsidR="00940D20" w:rsidRDefault="002A0123">
      <w:pPr>
        <w:spacing w:after="140" w:line="276" w:lineRule="auto"/>
      </w:pPr>
      <w:r>
        <w:rPr>
          <w:b/>
          <w:bCs/>
        </w:rPr>
        <w:t xml:space="preserve">Year 5: Disposition. </w:t>
      </w:r>
      <w:r>
        <w:t>Exit at an 8.0% terminal cap rate. The property should trade well as a stabilized, cash-flowing strip center with limited rollover risk by Year 5.</w:t>
      </w:r>
    </w:p>
    <w:p w14:paraId="4E097DDD" w14:textId="77777777" w:rsidR="00940D20" w:rsidRDefault="002A0123">
      <w:pPr>
        <w:pStyle w:val="Heading1"/>
      </w:pPr>
      <w:r>
        <w:t>Capital Structure Recommendation</w:t>
      </w:r>
    </w:p>
    <w:p w14:paraId="4E097DDE" w14:textId="77777777" w:rsidR="00940D20" w:rsidRDefault="002A0123">
      <w:pPr>
        <w:spacing w:after="140" w:line="276" w:lineRule="auto"/>
      </w:pPr>
      <w:r>
        <w:rPr>
          <w:b/>
          <w:bCs/>
          <w:color w:val="E8853D"/>
        </w:rPr>
        <w:t xml:space="preserve">We recommend avoiding bridge debt on this deal. </w:t>
      </w:r>
      <w:r>
        <w:t>The base proforma assumes a 70% LTV bridge loan at 10.0% interest, which compresses returns unnecessarily. Bridge financing is typically justified when there’s a heavy lease-up or value-</w:t>
      </w:r>
      <w:proofErr w:type="gramStart"/>
      <w:r>
        <w:t>add</w:t>
      </w:r>
      <w:proofErr w:type="gramEnd"/>
      <w:r>
        <w:t xml:space="preserve"> execution window, but this asset is already 100% occupied. The “stabilization” here is primarily re-leasing at higher rents, not filling vacancies.</w:t>
      </w:r>
    </w:p>
    <w:p w14:paraId="4E097DDF" w14:textId="77777777" w:rsidR="00940D20" w:rsidRDefault="002A0123">
      <w:pPr>
        <w:spacing w:after="140" w:line="276" w:lineRule="auto"/>
      </w:pPr>
      <w:r>
        <w:rPr>
          <w:b/>
          <w:bCs/>
        </w:rPr>
        <w:t xml:space="preserve">Proposed alternative: </w:t>
      </w:r>
      <w:r>
        <w:t>Raise slightly more equity at acquisition (targeting ~40–45% LTV or a small seller carry), then refinance into a larger permanent loan after 12 months of stabilized NOI. This approach:</w:t>
      </w:r>
    </w:p>
    <w:p w14:paraId="4E097DE0" w14:textId="77777777" w:rsidR="00940D20" w:rsidRDefault="002A0123">
      <w:pPr>
        <w:pStyle w:val="ListParagraph"/>
        <w:numPr>
          <w:ilvl w:val="0"/>
          <w:numId w:val="2"/>
        </w:numPr>
        <w:spacing w:after="80"/>
      </w:pPr>
      <w:r>
        <w:t>Eliminates the 10% bridge rate that drags Year 1 cash flow</w:t>
      </w:r>
    </w:p>
    <w:p w14:paraId="4E097DE1" w14:textId="77777777" w:rsidR="00940D20" w:rsidRDefault="002A0123">
      <w:pPr>
        <w:pStyle w:val="ListParagraph"/>
        <w:numPr>
          <w:ilvl w:val="0"/>
          <w:numId w:val="2"/>
        </w:numPr>
        <w:spacing w:after="80"/>
      </w:pPr>
      <w:r>
        <w:t>Reduces total interest expense over the hold by $50K–$100K+</w:t>
      </w:r>
    </w:p>
    <w:p w14:paraId="4E097DE2" w14:textId="77777777" w:rsidR="00940D20" w:rsidRDefault="002A0123">
      <w:pPr>
        <w:pStyle w:val="ListParagraph"/>
        <w:numPr>
          <w:ilvl w:val="0"/>
          <w:numId w:val="2"/>
        </w:numPr>
        <w:spacing w:after="80"/>
      </w:pPr>
      <w:r>
        <w:t xml:space="preserve">Allows a larger refi (70% LTV on higher stabilized value), returning most or </w:t>
      </w:r>
      <w:proofErr w:type="gramStart"/>
      <w:r>
        <w:t>all of</w:t>
      </w:r>
      <w:proofErr w:type="gramEnd"/>
      <w:r>
        <w:t xml:space="preserve"> the incremental equity</w:t>
      </w:r>
    </w:p>
    <w:p w14:paraId="4E097DE3" w14:textId="77777777" w:rsidR="00940D20" w:rsidRDefault="002A0123">
      <w:pPr>
        <w:pStyle w:val="ListParagraph"/>
        <w:numPr>
          <w:ilvl w:val="0"/>
          <w:numId w:val="2"/>
        </w:numPr>
        <w:spacing w:after="140"/>
      </w:pPr>
      <w:r>
        <w:t>Keeps overall cost of capital well below the 7–8% unlevered yield, preserving the positive leverage spread</w:t>
      </w:r>
    </w:p>
    <w:p w14:paraId="4E097DE4" w14:textId="77777777" w:rsidR="00940D20" w:rsidRDefault="002A0123">
      <w:pPr>
        <w:spacing w:after="140" w:line="276" w:lineRule="auto"/>
      </w:pPr>
      <w:r>
        <w:t>If a credit union or local bank can offer a 6.5–7.0% permanent loan from day one with a rate lock, that would be the ideal structure—though lender appetite may require 12 months of operating history.</w:t>
      </w:r>
    </w:p>
    <w:p w14:paraId="4E097DE5" w14:textId="77777777" w:rsidR="00940D20" w:rsidRDefault="002A0123">
      <w:pPr>
        <w:pStyle w:val="Heading1"/>
      </w:pPr>
      <w:r>
        <w:lastRenderedPageBreak/>
        <w:t>Key Assumptions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940D20" w14:paraId="4E097DE9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4A90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7DE6" w14:textId="77777777" w:rsidR="00940D20" w:rsidRDefault="002A0123"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4A90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7DE7" w14:textId="77777777" w:rsidR="00940D20" w:rsidRDefault="002A0123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4A90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7DE8" w14:textId="77777777" w:rsidR="00940D20" w:rsidRDefault="002A0123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40D20" w14:paraId="4E097DED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EA" w14:textId="77777777" w:rsidR="00940D20" w:rsidRDefault="002A0123">
            <w:r>
              <w:rPr>
                <w:sz w:val="20"/>
                <w:szCs w:val="20"/>
              </w:rPr>
              <w:t>Acquisition Price (Recommended)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EB" w14:textId="77777777" w:rsidR="00940D20" w:rsidRDefault="002A0123">
            <w:r>
              <w:rPr>
                <w:sz w:val="20"/>
                <w:szCs w:val="20"/>
              </w:rPr>
              <w:t>$1,800,000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EC" w14:textId="77777777" w:rsidR="00940D20" w:rsidRDefault="002A0123">
            <w:r>
              <w:rPr>
                <w:sz w:val="20"/>
                <w:szCs w:val="20"/>
              </w:rPr>
              <w:t>Atria Underwriting</w:t>
            </w:r>
          </w:p>
        </w:tc>
      </w:tr>
      <w:tr w:rsidR="00940D20" w14:paraId="4E097DF1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EE" w14:textId="77777777" w:rsidR="00940D20" w:rsidRDefault="002A0123">
            <w:r>
              <w:rPr>
                <w:sz w:val="20"/>
                <w:szCs w:val="20"/>
              </w:rPr>
              <w:t>Net Rentable Area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EF" w14:textId="77777777" w:rsidR="00940D20" w:rsidRDefault="002A0123">
            <w:r>
              <w:rPr>
                <w:sz w:val="20"/>
                <w:szCs w:val="20"/>
              </w:rPr>
              <w:t>17,880 SF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0" w14:textId="77777777" w:rsidR="00940D20" w:rsidRDefault="002A0123">
            <w:r>
              <w:rPr>
                <w:sz w:val="20"/>
                <w:szCs w:val="20"/>
              </w:rPr>
              <w:t>OM</w:t>
            </w:r>
          </w:p>
        </w:tc>
      </w:tr>
      <w:tr w:rsidR="00940D20" w14:paraId="4E097DF5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2" w14:textId="77777777" w:rsidR="00940D20" w:rsidRDefault="002A0123">
            <w:r>
              <w:rPr>
                <w:sz w:val="20"/>
                <w:szCs w:val="20"/>
              </w:rPr>
              <w:t>Going-In Cap Rate (at $1.8M)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3" w14:textId="77777777" w:rsidR="00940D20" w:rsidRDefault="002A0123">
            <w:r>
              <w:rPr>
                <w:sz w:val="20"/>
                <w:szCs w:val="20"/>
              </w:rPr>
              <w:t>~7.8%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4" w14:textId="77777777" w:rsidR="00940D20" w:rsidRDefault="002A0123">
            <w:r>
              <w:rPr>
                <w:sz w:val="20"/>
                <w:szCs w:val="20"/>
              </w:rPr>
              <w:t>Calculated</w:t>
            </w:r>
          </w:p>
        </w:tc>
      </w:tr>
      <w:tr w:rsidR="00940D20" w14:paraId="4E097DF9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6" w14:textId="77777777" w:rsidR="00940D20" w:rsidRDefault="002A0123">
            <w:r>
              <w:rPr>
                <w:sz w:val="20"/>
                <w:szCs w:val="20"/>
              </w:rPr>
              <w:t>Exit Cap Rate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7" w14:textId="77777777" w:rsidR="00940D20" w:rsidRDefault="002A0123">
            <w:r>
              <w:rPr>
                <w:sz w:val="20"/>
                <w:szCs w:val="20"/>
              </w:rPr>
              <w:t>8.0%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8" w14:textId="77777777" w:rsidR="00940D20" w:rsidRDefault="002A0123">
            <w:r>
              <w:rPr>
                <w:sz w:val="20"/>
                <w:szCs w:val="20"/>
              </w:rPr>
              <w:t>Atria Assumption</w:t>
            </w:r>
          </w:p>
        </w:tc>
      </w:tr>
      <w:tr w:rsidR="00940D20" w14:paraId="4E097DFD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A" w14:textId="77777777" w:rsidR="00940D20" w:rsidRDefault="002A0123">
            <w:r>
              <w:rPr>
                <w:sz w:val="20"/>
                <w:szCs w:val="20"/>
              </w:rPr>
              <w:t>Hold Period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B" w14:textId="77777777" w:rsidR="00940D20" w:rsidRDefault="002A0123">
            <w:r>
              <w:rPr>
                <w:sz w:val="20"/>
                <w:szCs w:val="20"/>
              </w:rPr>
              <w:t>60 Months (5 Years)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C" w14:textId="77777777" w:rsidR="00940D20" w:rsidRDefault="002A0123">
            <w:r>
              <w:rPr>
                <w:sz w:val="20"/>
                <w:szCs w:val="20"/>
              </w:rPr>
              <w:t>Atria Assumption</w:t>
            </w:r>
          </w:p>
        </w:tc>
      </w:tr>
      <w:tr w:rsidR="00940D20" w14:paraId="4E097E01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E" w14:textId="77777777" w:rsidR="00940D20" w:rsidRDefault="002A0123">
            <w:r>
              <w:rPr>
                <w:sz w:val="20"/>
                <w:szCs w:val="20"/>
              </w:rPr>
              <w:t>Annual Rent Growth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DFF" w14:textId="77777777" w:rsidR="00940D20" w:rsidRDefault="002A0123">
            <w:r>
              <w:rPr>
                <w:sz w:val="20"/>
                <w:szCs w:val="20"/>
              </w:rPr>
              <w:t>3.0%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0" w14:textId="77777777" w:rsidR="00940D20" w:rsidRDefault="002A0123">
            <w:r>
              <w:rPr>
                <w:sz w:val="20"/>
                <w:szCs w:val="20"/>
              </w:rPr>
              <w:t>Atria Assumption</w:t>
            </w:r>
          </w:p>
        </w:tc>
      </w:tr>
      <w:tr w:rsidR="00940D20" w14:paraId="4E097E05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2" w14:textId="77777777" w:rsidR="00940D20" w:rsidRDefault="002A0123">
            <w:r>
              <w:rPr>
                <w:sz w:val="20"/>
                <w:szCs w:val="20"/>
              </w:rPr>
              <w:t>Credit Loss / Vacancy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3" w14:textId="77777777" w:rsidR="00940D20" w:rsidRDefault="002A0123">
            <w:r>
              <w:rPr>
                <w:sz w:val="20"/>
                <w:szCs w:val="20"/>
              </w:rPr>
              <w:t>5.0%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4" w14:textId="77777777" w:rsidR="00940D20" w:rsidRDefault="002A0123">
            <w:r>
              <w:rPr>
                <w:sz w:val="20"/>
                <w:szCs w:val="20"/>
              </w:rPr>
              <w:t>Atria Assumption</w:t>
            </w:r>
          </w:p>
        </w:tc>
      </w:tr>
      <w:tr w:rsidR="00940D20" w14:paraId="4E097E09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6" w14:textId="77777777" w:rsidR="00940D20" w:rsidRDefault="002A0123">
            <w:r>
              <w:rPr>
                <w:sz w:val="20"/>
                <w:szCs w:val="20"/>
              </w:rPr>
              <w:t>Management Fee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7" w14:textId="77777777" w:rsidR="00940D20" w:rsidRDefault="002A0123">
            <w:r>
              <w:rPr>
                <w:sz w:val="20"/>
                <w:szCs w:val="20"/>
              </w:rPr>
              <w:t>4.0% of EGI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8" w14:textId="77777777" w:rsidR="00940D20" w:rsidRDefault="002A0123">
            <w:r>
              <w:rPr>
                <w:sz w:val="20"/>
                <w:szCs w:val="20"/>
              </w:rPr>
              <w:t>Atria Assumption</w:t>
            </w:r>
          </w:p>
        </w:tc>
      </w:tr>
      <w:tr w:rsidR="00940D20" w14:paraId="4E097E0D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A" w14:textId="77777777" w:rsidR="00940D20" w:rsidRDefault="002A0123">
            <w:proofErr w:type="spellStart"/>
            <w:r>
              <w:rPr>
                <w:sz w:val="20"/>
                <w:szCs w:val="20"/>
              </w:rPr>
              <w:t>OpEx</w:t>
            </w:r>
            <w:proofErr w:type="spellEnd"/>
            <w:r>
              <w:rPr>
                <w:sz w:val="20"/>
                <w:szCs w:val="20"/>
              </w:rPr>
              <w:t xml:space="preserve"> Growth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B" w14:textId="77777777" w:rsidR="00940D20" w:rsidRDefault="002A0123">
            <w:r>
              <w:rPr>
                <w:sz w:val="20"/>
                <w:szCs w:val="20"/>
              </w:rPr>
              <w:t>2.0% / year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C" w14:textId="77777777" w:rsidR="00940D20" w:rsidRDefault="002A0123">
            <w:r>
              <w:rPr>
                <w:sz w:val="20"/>
                <w:szCs w:val="20"/>
              </w:rPr>
              <w:t>Atria Assumption</w:t>
            </w:r>
          </w:p>
        </w:tc>
      </w:tr>
      <w:tr w:rsidR="00940D20" w14:paraId="4E097E11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E" w14:textId="77777777" w:rsidR="00940D20" w:rsidRDefault="002A0123">
            <w:proofErr w:type="spellStart"/>
            <w:r>
              <w:rPr>
                <w:sz w:val="20"/>
                <w:szCs w:val="20"/>
              </w:rPr>
              <w:t>CapEx</w:t>
            </w:r>
            <w:proofErr w:type="spellEnd"/>
            <w:r>
              <w:rPr>
                <w:sz w:val="20"/>
                <w:szCs w:val="20"/>
              </w:rPr>
              <w:t xml:space="preserve"> Budget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0F" w14:textId="77777777" w:rsidR="00940D20" w:rsidRDefault="002A0123">
            <w:r>
              <w:rPr>
                <w:sz w:val="20"/>
                <w:szCs w:val="20"/>
              </w:rPr>
              <w:t>$150,000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0" w14:textId="77777777" w:rsidR="00940D20" w:rsidRDefault="002A0123">
            <w:r>
              <w:rPr>
                <w:sz w:val="20"/>
                <w:szCs w:val="20"/>
              </w:rPr>
              <w:t>Atria Estimate</w:t>
            </w:r>
          </w:p>
        </w:tc>
      </w:tr>
      <w:tr w:rsidR="00940D20" w14:paraId="4E097E15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2" w14:textId="77777777" w:rsidR="00940D20" w:rsidRDefault="002A0123">
            <w:r>
              <w:rPr>
                <w:sz w:val="20"/>
                <w:szCs w:val="20"/>
              </w:rPr>
              <w:t>TI/LC Reserve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3" w14:textId="77777777" w:rsidR="00940D20" w:rsidRDefault="002A0123">
            <w:r>
              <w:rPr>
                <w:sz w:val="20"/>
                <w:szCs w:val="20"/>
              </w:rPr>
              <w:t>$100,000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4" w14:textId="77777777" w:rsidR="00940D20" w:rsidRDefault="002A0123">
            <w:r>
              <w:rPr>
                <w:sz w:val="20"/>
                <w:szCs w:val="20"/>
              </w:rPr>
              <w:t>Atria Estimate</w:t>
            </w:r>
          </w:p>
        </w:tc>
      </w:tr>
      <w:tr w:rsidR="00940D20" w14:paraId="4E097E19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6" w14:textId="77777777" w:rsidR="00940D20" w:rsidRDefault="002A0123">
            <w:r>
              <w:rPr>
                <w:sz w:val="20"/>
                <w:szCs w:val="20"/>
              </w:rPr>
              <w:t>Bridge Loan (Base Model)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7" w14:textId="77777777" w:rsidR="00940D20" w:rsidRDefault="002A0123">
            <w:r>
              <w:rPr>
                <w:sz w:val="20"/>
                <w:szCs w:val="20"/>
              </w:rPr>
              <w:t>70% LTV, 10.0%, 12mo IO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8" w14:textId="77777777" w:rsidR="00940D20" w:rsidRDefault="002A0123">
            <w:r>
              <w:rPr>
                <w:sz w:val="20"/>
                <w:szCs w:val="20"/>
              </w:rPr>
              <w:t>Proforma</w:t>
            </w:r>
          </w:p>
        </w:tc>
      </w:tr>
      <w:tr w:rsidR="00940D20" w14:paraId="4E097E1D" w14:textId="77777777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A" w14:textId="77777777" w:rsidR="00940D20" w:rsidRDefault="002A0123">
            <w:r>
              <w:rPr>
                <w:sz w:val="20"/>
                <w:szCs w:val="20"/>
              </w:rPr>
              <w:t>Refi (Month 12)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B" w14:textId="77777777" w:rsidR="00940D20" w:rsidRDefault="002A0123">
            <w:r>
              <w:rPr>
                <w:sz w:val="20"/>
                <w:szCs w:val="20"/>
              </w:rPr>
              <w:t>70% LTV on stabilized value, 7.25%</w:t>
            </w:r>
          </w:p>
        </w:tc>
        <w:tc>
          <w:tcPr>
            <w:tcW w:w="3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1C" w14:textId="77777777" w:rsidR="00940D20" w:rsidRDefault="002A0123">
            <w:r>
              <w:rPr>
                <w:sz w:val="20"/>
                <w:szCs w:val="20"/>
              </w:rPr>
              <w:t>Proforma</w:t>
            </w:r>
          </w:p>
        </w:tc>
      </w:tr>
    </w:tbl>
    <w:p w14:paraId="4E097E1E" w14:textId="77777777" w:rsidR="00940D20" w:rsidRDefault="00940D20">
      <w:pPr>
        <w:spacing w:after="200"/>
      </w:pPr>
    </w:p>
    <w:p w14:paraId="4E097E1F" w14:textId="77777777" w:rsidR="00940D20" w:rsidRDefault="002A0123">
      <w:pPr>
        <w:pStyle w:val="Heading1"/>
      </w:pPr>
      <w:r>
        <w:t>Return Metrics</w:t>
      </w:r>
    </w:p>
    <w:p w14:paraId="4E097E20" w14:textId="77777777" w:rsidR="00940D20" w:rsidRDefault="002A0123">
      <w:pPr>
        <w:spacing w:after="140" w:line="276" w:lineRule="auto"/>
      </w:pPr>
      <w:r>
        <w:t>The table below compares returns at the listed price versus our recommended basis:</w:t>
      </w:r>
    </w:p>
    <w:p w14:paraId="4E097E21" w14:textId="77777777" w:rsidR="00940D20" w:rsidRDefault="00940D2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0D20" w14:paraId="4E097E25" w14:textId="77777777"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4A90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7E22" w14:textId="77777777" w:rsidR="00940D20" w:rsidRDefault="002A0123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4A90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7E23" w14:textId="77777777" w:rsidR="00940D20" w:rsidRDefault="002A0123">
            <w:r>
              <w:rPr>
                <w:b/>
                <w:bCs/>
                <w:color w:val="FFFFFF"/>
                <w:sz w:val="20"/>
                <w:szCs w:val="20"/>
              </w:rPr>
              <w:t>At $2.0M (List)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4A90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7E24" w14:textId="77777777" w:rsidR="00940D20" w:rsidRDefault="002A0123">
            <w:r>
              <w:rPr>
                <w:b/>
                <w:bCs/>
                <w:color w:val="FFFFFF"/>
                <w:sz w:val="20"/>
                <w:szCs w:val="20"/>
              </w:rPr>
              <w:t>At $1.8M (Recommended)</w:t>
            </w:r>
          </w:p>
        </w:tc>
      </w:tr>
      <w:tr w:rsidR="00940D20" w14:paraId="4E097E29" w14:textId="77777777"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26" w14:textId="77777777" w:rsidR="00940D20" w:rsidRDefault="002A0123">
            <w:r>
              <w:rPr>
                <w:sz w:val="20"/>
                <w:szCs w:val="20"/>
              </w:rPr>
              <w:t>Levered IRR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27" w14:textId="77777777" w:rsidR="00940D20" w:rsidRDefault="002A0123">
            <w:r>
              <w:rPr>
                <w:sz w:val="20"/>
                <w:szCs w:val="20"/>
              </w:rPr>
              <w:t>9.35%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28" w14:textId="77777777" w:rsidR="00940D20" w:rsidRDefault="002A0123">
            <w:r>
              <w:rPr>
                <w:sz w:val="20"/>
                <w:szCs w:val="20"/>
              </w:rPr>
              <w:t>16.02%</w:t>
            </w:r>
          </w:p>
        </w:tc>
      </w:tr>
      <w:tr w:rsidR="00940D20" w14:paraId="4E097E2D" w14:textId="77777777"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2A" w14:textId="77777777" w:rsidR="00940D20" w:rsidRDefault="002A0123">
            <w:r>
              <w:rPr>
                <w:sz w:val="20"/>
                <w:szCs w:val="20"/>
              </w:rPr>
              <w:t>Equity Multiple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2B" w14:textId="77777777" w:rsidR="00940D20" w:rsidRDefault="002A0123">
            <w:r>
              <w:rPr>
                <w:sz w:val="20"/>
                <w:szCs w:val="20"/>
              </w:rPr>
              <w:t>1.44x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2C" w14:textId="77777777" w:rsidR="00940D20" w:rsidRDefault="002A0123">
            <w:r>
              <w:rPr>
                <w:sz w:val="20"/>
                <w:szCs w:val="20"/>
              </w:rPr>
              <w:t>~1.63x</w:t>
            </w:r>
          </w:p>
        </w:tc>
      </w:tr>
      <w:tr w:rsidR="00940D20" w14:paraId="4E097E31" w14:textId="77777777"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2E" w14:textId="77777777" w:rsidR="00940D20" w:rsidRDefault="002A0123">
            <w:r>
              <w:rPr>
                <w:sz w:val="20"/>
                <w:szCs w:val="20"/>
              </w:rPr>
              <w:t>Total Equity Required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2F" w14:textId="77777777" w:rsidR="00940D20" w:rsidRDefault="002A0123">
            <w:r>
              <w:rPr>
                <w:sz w:val="20"/>
                <w:szCs w:val="20"/>
              </w:rPr>
              <w:t>$988,000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0" w14:textId="77777777" w:rsidR="00940D20" w:rsidRDefault="002A0123">
            <w:r>
              <w:rPr>
                <w:sz w:val="20"/>
                <w:szCs w:val="20"/>
              </w:rPr>
              <w:t>~$850,000</w:t>
            </w:r>
          </w:p>
        </w:tc>
      </w:tr>
      <w:tr w:rsidR="00940D20" w14:paraId="4E097E35" w14:textId="77777777"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2" w14:textId="77777777" w:rsidR="00940D20" w:rsidRDefault="002A0123">
            <w:r>
              <w:rPr>
                <w:sz w:val="20"/>
                <w:szCs w:val="20"/>
              </w:rPr>
              <w:t>Year 1 Cash-on-Cash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3" w14:textId="77777777" w:rsidR="00940D20" w:rsidRDefault="002A0123">
            <w:r>
              <w:rPr>
                <w:sz w:val="20"/>
                <w:szCs w:val="20"/>
              </w:rPr>
              <w:t>~5.5%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4" w14:textId="77777777" w:rsidR="00940D20" w:rsidRDefault="002A0123">
            <w:r>
              <w:rPr>
                <w:sz w:val="20"/>
                <w:szCs w:val="20"/>
              </w:rPr>
              <w:t>~7.0%</w:t>
            </w:r>
          </w:p>
        </w:tc>
      </w:tr>
      <w:tr w:rsidR="00940D20" w14:paraId="4E097E39" w14:textId="77777777"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6" w14:textId="77777777" w:rsidR="00940D20" w:rsidRDefault="002A0123">
            <w:r>
              <w:rPr>
                <w:sz w:val="20"/>
                <w:szCs w:val="20"/>
              </w:rPr>
              <w:t>Peak Equity Exposure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7" w14:textId="77777777" w:rsidR="00940D20" w:rsidRDefault="002A0123">
            <w:r>
              <w:rPr>
                <w:sz w:val="20"/>
                <w:szCs w:val="20"/>
              </w:rPr>
              <w:t>$988,000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6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8" w14:textId="77777777" w:rsidR="00940D20" w:rsidRDefault="002A0123">
            <w:r>
              <w:rPr>
                <w:sz w:val="20"/>
                <w:szCs w:val="20"/>
              </w:rPr>
              <w:t>~$850,000</w:t>
            </w:r>
          </w:p>
        </w:tc>
      </w:tr>
      <w:tr w:rsidR="00940D20" w14:paraId="4E097E3D" w14:textId="77777777"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A" w14:textId="77777777" w:rsidR="00940D20" w:rsidRDefault="002A0123">
            <w:r>
              <w:rPr>
                <w:sz w:val="20"/>
                <w:szCs w:val="20"/>
              </w:rPr>
              <w:t>Exit Value (8.0% Cap)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B" w14:textId="77777777" w:rsidR="00940D20" w:rsidRDefault="002A0123">
            <w:r>
              <w:rPr>
                <w:sz w:val="20"/>
                <w:szCs w:val="20"/>
              </w:rPr>
              <w:t>~$2.2M</w:t>
            </w:r>
          </w:p>
        </w:tc>
        <w:tc>
          <w:tcPr>
            <w:tcW w:w="31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7E3C" w14:textId="77777777" w:rsidR="00940D20" w:rsidRDefault="002A0123">
            <w:r>
              <w:rPr>
                <w:sz w:val="20"/>
                <w:szCs w:val="20"/>
              </w:rPr>
              <w:t>~$2.2M</w:t>
            </w:r>
          </w:p>
        </w:tc>
      </w:tr>
    </w:tbl>
    <w:p w14:paraId="4E097E3E" w14:textId="77777777" w:rsidR="00940D20" w:rsidRDefault="00940D20">
      <w:pPr>
        <w:spacing w:after="120"/>
      </w:pPr>
    </w:p>
    <w:p w14:paraId="4E097E3F" w14:textId="77777777" w:rsidR="00940D20" w:rsidRDefault="002A0123">
      <w:pPr>
        <w:spacing w:after="140" w:line="276" w:lineRule="auto"/>
      </w:pPr>
      <w:r>
        <w:t xml:space="preserve">The $200K price reduction generates a </w:t>
      </w:r>
      <w:r>
        <w:rPr>
          <w:b/>
          <w:bCs/>
        </w:rPr>
        <w:t>670+ bps improvement in levered IRR</w:t>
      </w:r>
      <w:r>
        <w:t>—a dramatic sensitivity to basis, which underscores how tight the deal is at the ask price. At $1.8M, the deal clears a 15% return hurdle comfortably; at $2.0M, it does not.</w:t>
      </w:r>
    </w:p>
    <w:p w14:paraId="4E097E40" w14:textId="77777777" w:rsidR="00940D20" w:rsidRDefault="002A0123">
      <w:pPr>
        <w:pStyle w:val="Heading1"/>
      </w:pPr>
      <w:r>
        <w:t>Key Risks</w:t>
      </w:r>
    </w:p>
    <w:p w14:paraId="4E097E41" w14:textId="77777777" w:rsidR="00940D20" w:rsidRDefault="002A0123">
      <w:pPr>
        <w:pStyle w:val="Heading2"/>
      </w:pPr>
      <w:r>
        <w:t>1. Phase I Environmental</w:t>
      </w:r>
    </w:p>
    <w:p w14:paraId="4E097E42" w14:textId="77777777" w:rsidR="00940D20" w:rsidRDefault="002A0123">
      <w:pPr>
        <w:spacing w:after="140" w:line="276" w:lineRule="auto"/>
      </w:pPr>
      <w:r>
        <w:t xml:space="preserve">The Phase I Environmental Site Assessment has not yet been completed, and preliminary indications suggest potential concerns that could trigger a Phase II investigation. The sellers have stated they will not authorize or fund </w:t>
      </w:r>
      <w:proofErr w:type="gramStart"/>
      <w:r>
        <w:t>a Phase</w:t>
      </w:r>
      <w:proofErr w:type="gramEnd"/>
      <w:r>
        <w:t xml:space="preserve"> II and would cancel the deal rather than proceed. This </w:t>
      </w:r>
      <w:r>
        <w:lastRenderedPageBreak/>
        <w:t xml:space="preserve">is a binary risk: if the Phase I </w:t>
      </w:r>
      <w:proofErr w:type="gramStart"/>
      <w:r>
        <w:t>flags</w:t>
      </w:r>
      <w:proofErr w:type="gramEnd"/>
      <w:r>
        <w:t xml:space="preserve"> recognized environmental conditions (RECs), we either accept the liability, negotiate a significant price reduction to fund remediation, or walk. Given the age of the building (1961) and its location in a commercial corridor, there is material probability of a Phase II trigger. This is the single largest deal-killer risk.</w:t>
      </w:r>
    </w:p>
    <w:p w14:paraId="4E097E43" w14:textId="77777777" w:rsidR="00940D20" w:rsidRDefault="002A0123">
      <w:pPr>
        <w:pStyle w:val="Heading2"/>
      </w:pPr>
      <w:r>
        <w:t>2. Competitive Bidding / Broker Distribution</w:t>
      </w:r>
    </w:p>
    <w:p w14:paraId="4E097E44" w14:textId="77777777" w:rsidR="00940D20" w:rsidRDefault="002A0123">
      <w:pPr>
        <w:spacing w:after="140" w:line="276" w:lineRule="auto"/>
      </w:pPr>
      <w:r>
        <w:t>The listing broker, Ed Nelson (Marcus &amp; Millichap), has distributed this deal broadly. We should expect multiple offers and potential bidding pressure. This limits our ability to negotiate down to the $1.8M target. Mitigation: move quickly with a clean offer, demonstrate proof of funds and closing certainty, and consider a shorter due diligence period to differentiate from less-prepared buyers.</w:t>
      </w:r>
    </w:p>
    <w:p w14:paraId="4E097E45" w14:textId="77777777" w:rsidR="00940D20" w:rsidRDefault="002A0123">
      <w:pPr>
        <w:pStyle w:val="Heading2"/>
      </w:pPr>
      <w:r>
        <w:t>3. Tenant Concentration &amp; Rollover</w:t>
      </w:r>
    </w:p>
    <w:p w14:paraId="4E097E46" w14:textId="77777777" w:rsidR="00940D20" w:rsidRDefault="002A0123">
      <w:pPr>
        <w:spacing w:after="140" w:line="276" w:lineRule="auto"/>
      </w:pPr>
      <w:r>
        <w:t>Multiple tenants are on month-to-month terms or have near-term lease expirations. While this creates upside through rent bumps, it also concentrates rollover risk. If several tenants vacate simultaneously (especially larger suites), the property could face a 20–30% vacancy shock. TI/LC costs for re-tenanting strip retail typically run $10–25/SF for TI and 4–6% of lease value for commissions. Our $100K TI/LC reserve may be tight if more than 2–3 suites turn over.</w:t>
      </w:r>
    </w:p>
    <w:p w14:paraId="4E097E47" w14:textId="77777777" w:rsidR="00940D20" w:rsidRDefault="002A0123">
      <w:pPr>
        <w:pStyle w:val="Heading2"/>
      </w:pPr>
      <w:r>
        <w:t>4. Below-Market Rents (Upside = Risk)</w:t>
      </w:r>
    </w:p>
    <w:p w14:paraId="4E097E48" w14:textId="77777777" w:rsidR="00940D20" w:rsidRDefault="002A0123">
      <w:pPr>
        <w:spacing w:after="140" w:line="276" w:lineRule="auto"/>
      </w:pPr>
      <w:r>
        <w:t>Several tenants pay rents meaningfully below the $1.29–$1.78/SF/month corridor range. While this is a value-add opportunity, it also means existing tenants may resist increases or vacate. The proforma assumes 3% annual rent growth and high renewal probabilities—both assumptions that need real-time validation as leases come due.</w:t>
      </w:r>
    </w:p>
    <w:p w14:paraId="4E097E49" w14:textId="77777777" w:rsidR="00940D20" w:rsidRDefault="002A0123">
      <w:pPr>
        <w:pStyle w:val="Heading2"/>
      </w:pPr>
      <w:r>
        <w:t>5. Deferred Maintenance &amp; Building Age</w:t>
      </w:r>
    </w:p>
    <w:p w14:paraId="4E097E4A" w14:textId="77777777" w:rsidR="00940D20" w:rsidRDefault="002A0123">
      <w:pPr>
        <w:spacing w:after="140" w:line="276" w:lineRule="auto"/>
      </w:pPr>
      <w:r>
        <w:t xml:space="preserve">A 1961 building carries inherent risks around roof, HVAC, plumbing, and electrical systems. The $150K </w:t>
      </w:r>
      <w:proofErr w:type="spellStart"/>
      <w:r>
        <w:t>CapEx</w:t>
      </w:r>
      <w:proofErr w:type="spellEnd"/>
      <w:r>
        <w:t xml:space="preserve"> budget is a placeholder; a proper property condition assessment (PCA) could reveal larger needs. Negotiate a thorough inspection period.</w:t>
      </w:r>
    </w:p>
    <w:p w14:paraId="4E097E4B" w14:textId="77777777" w:rsidR="00940D20" w:rsidRDefault="002A0123">
      <w:pPr>
        <w:pStyle w:val="Heading1"/>
      </w:pPr>
      <w:r>
        <w:t>Interactive Dashboard</w:t>
      </w:r>
    </w:p>
    <w:p w14:paraId="4E097E4C" w14:textId="77777777" w:rsidR="00940D20" w:rsidRDefault="002A0123">
      <w:pPr>
        <w:spacing w:after="140" w:line="276" w:lineRule="auto"/>
      </w:pPr>
      <w:r>
        <w:t xml:space="preserve">A full interactive scenario analysis dashboard has been built for this deal, allowing real-time adjustment of 11 key assumptions (acquisition price, exit cap, rent growth, vacancy, interest rates, etc.) with immediate recalculation of IRR, equity multiple, and monthly cash flows. </w:t>
      </w:r>
    </w:p>
    <w:p w14:paraId="4E097E4D" w14:textId="77777777" w:rsidR="00940D20" w:rsidRDefault="002A0123">
      <w:pPr>
        <w:spacing w:after="40"/>
      </w:pPr>
      <w:r>
        <w:rPr>
          <w:b/>
          <w:bCs/>
        </w:rPr>
        <w:t>Access the interactive dashboard:</w:t>
      </w:r>
    </w:p>
    <w:p w14:paraId="4E097E4E" w14:textId="0512D302" w:rsidR="00940D20" w:rsidRDefault="008E0802">
      <w:pPr>
        <w:shd w:val="clear" w:color="auto" w:fill="F0F6FB"/>
        <w:spacing w:after="140"/>
        <w:ind w:left="360" w:right="360"/>
      </w:pPr>
      <w:r>
        <w:rPr>
          <w:rFonts w:ascii="Segoe UI Emoji" w:hAnsi="Segoe UI Emoji" w:cs="Segoe UI Emoji"/>
        </w:rPr>
        <w:t>📊</w:t>
      </w:r>
      <w:r>
        <w:t xml:space="preserve"> Marconi_Walnut_Interactive_Dashboard.html (open in any modern browser)</w:t>
      </w:r>
    </w:p>
    <w:p w14:paraId="4E097E4F" w14:textId="77777777" w:rsidR="00940D20" w:rsidRDefault="002A0123">
      <w:pPr>
        <w:spacing w:after="140" w:line="276" w:lineRule="auto"/>
      </w:pPr>
      <w:r>
        <w:t>Open the HTML file in any modern browser. All calculations run client-side—no server or internet connection required. The dashboard mirrors the exact formulas and logic of the Excel proforma, enabling rapid scenario testing during deal committee discussion.</w:t>
      </w:r>
    </w:p>
    <w:p w14:paraId="4E097E50" w14:textId="77777777" w:rsidR="00940D20" w:rsidRDefault="002A0123">
      <w:pPr>
        <w:pStyle w:val="Heading1"/>
      </w:pPr>
      <w:r>
        <w:t>Recommendation &amp; Ask</w:t>
      </w:r>
    </w:p>
    <w:p w14:paraId="4E097E51" w14:textId="77777777" w:rsidR="00940D20" w:rsidRDefault="002A0123">
      <w:pPr>
        <w:spacing w:after="140" w:line="276" w:lineRule="auto"/>
      </w:pPr>
      <w:r>
        <w:rPr>
          <w:b/>
          <w:bCs/>
        </w:rPr>
        <w:t xml:space="preserve">Proceed with an offer </w:t>
      </w:r>
      <w:proofErr w:type="gramStart"/>
      <w:r>
        <w:rPr>
          <w:b/>
          <w:bCs/>
        </w:rPr>
        <w:t>at</w:t>
      </w:r>
      <w:proofErr w:type="gramEnd"/>
      <w:r>
        <w:rPr>
          <w:b/>
          <w:bCs/>
        </w:rPr>
        <w:t xml:space="preserve"> $1,800,000.</w:t>
      </w:r>
      <w:r>
        <w:t xml:space="preserve"> The deal works </w:t>
      </w:r>
      <w:proofErr w:type="gramStart"/>
      <w:r>
        <w:t>at</w:t>
      </w:r>
      <w:proofErr w:type="gramEnd"/>
      <w:r>
        <w:t xml:space="preserve"> this basis with a clear path to a 16%+ IRR. At the list price, returns are compressed to single digits and do not adequately compensate for the environmental, rollover, and execution risks inherent in a 1961 strip center.</w:t>
      </w:r>
    </w:p>
    <w:p w14:paraId="4E097E52" w14:textId="77777777" w:rsidR="00940D20" w:rsidRDefault="002A0123">
      <w:pPr>
        <w:spacing w:after="140" w:line="276" w:lineRule="auto"/>
      </w:pPr>
      <w:r>
        <w:lastRenderedPageBreak/>
        <w:t>Near-term action items:</w:t>
      </w:r>
    </w:p>
    <w:p w14:paraId="4E097E53" w14:textId="77777777" w:rsidR="00940D20" w:rsidRDefault="002A0123">
      <w:pPr>
        <w:pStyle w:val="ListParagraph"/>
        <w:numPr>
          <w:ilvl w:val="0"/>
          <w:numId w:val="3"/>
        </w:numPr>
        <w:spacing w:after="80"/>
      </w:pPr>
      <w:r>
        <w:t>Submit LOI at $1.8M with 30-day due diligence, contingent on satisfactory Phase I</w:t>
      </w:r>
    </w:p>
    <w:p w14:paraId="4E097E54" w14:textId="77777777" w:rsidR="00940D20" w:rsidRDefault="002A0123">
      <w:pPr>
        <w:pStyle w:val="ListParagraph"/>
        <w:numPr>
          <w:ilvl w:val="0"/>
          <w:numId w:val="3"/>
        </w:numPr>
        <w:spacing w:after="80"/>
      </w:pPr>
      <w:r>
        <w:t>Engage environmental consultant immediately to begin Phase I upon acceptance</w:t>
      </w:r>
    </w:p>
    <w:p w14:paraId="4E097E55" w14:textId="77777777" w:rsidR="00940D20" w:rsidRDefault="002A0123">
      <w:pPr>
        <w:pStyle w:val="ListParagraph"/>
        <w:numPr>
          <w:ilvl w:val="0"/>
          <w:numId w:val="3"/>
        </w:numPr>
        <w:spacing w:after="80"/>
      </w:pPr>
      <w:r>
        <w:t>Source permanent debt quotes (credit unions, local banks) in parallel to evaluate bridge vs. direct-to-perm options</w:t>
      </w:r>
    </w:p>
    <w:p w14:paraId="4E097E56" w14:textId="77777777" w:rsidR="00940D20" w:rsidRDefault="002A0123">
      <w:pPr>
        <w:pStyle w:val="ListParagraph"/>
        <w:numPr>
          <w:ilvl w:val="0"/>
          <w:numId w:val="3"/>
        </w:numPr>
        <w:spacing w:after="80"/>
      </w:pPr>
      <w:r>
        <w:t xml:space="preserve">Commission a property condition assessment (PCA) to validate the $150K </w:t>
      </w:r>
      <w:proofErr w:type="spellStart"/>
      <w:r>
        <w:t>CapEx</w:t>
      </w:r>
      <w:proofErr w:type="spellEnd"/>
      <w:r>
        <w:t xml:space="preserve"> budget</w:t>
      </w:r>
    </w:p>
    <w:p w14:paraId="4E097E57" w14:textId="77777777" w:rsidR="00940D20" w:rsidRDefault="002A0123">
      <w:pPr>
        <w:pStyle w:val="ListParagraph"/>
        <w:numPr>
          <w:ilvl w:val="0"/>
          <w:numId w:val="3"/>
        </w:numPr>
        <w:spacing w:after="140"/>
      </w:pPr>
      <w:r>
        <w:t>Begin tenant outreach / lease audit to confirm renewal intentions and market rent achievability</w:t>
      </w:r>
    </w:p>
    <w:p w14:paraId="4E097E58" w14:textId="77777777" w:rsidR="00940D20" w:rsidRDefault="00940D20">
      <w:pPr>
        <w:spacing w:after="400"/>
      </w:pPr>
    </w:p>
    <w:p w14:paraId="4E097E59" w14:textId="77777777" w:rsidR="00940D20" w:rsidRDefault="002A0123">
      <w:pPr>
        <w:pBdr>
          <w:top w:val="single" w:sz="4" w:space="1" w:color="E8853D"/>
        </w:pBdr>
        <w:spacing w:before="200"/>
        <w:jc w:val="center"/>
      </w:pPr>
      <w:r>
        <w:rPr>
          <w:sz w:val="8"/>
          <w:szCs w:val="8"/>
        </w:rPr>
        <w:t xml:space="preserve"> </w:t>
      </w:r>
    </w:p>
    <w:p w14:paraId="4E097E5A" w14:textId="77777777" w:rsidR="00940D20" w:rsidRDefault="002A0123">
      <w:pPr>
        <w:jc w:val="center"/>
      </w:pPr>
      <w:r>
        <w:rPr>
          <w:color w:val="888888"/>
          <w:sz w:val="18"/>
          <w:szCs w:val="18"/>
        </w:rPr>
        <w:t>ATRIA CRE — Confidential</w:t>
      </w:r>
    </w:p>
    <w:sectPr w:rsidR="00940D2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97832" w14:textId="77777777" w:rsidR="002A0123" w:rsidRDefault="002A0123">
      <w:r>
        <w:separator/>
      </w:r>
    </w:p>
  </w:endnote>
  <w:endnote w:type="continuationSeparator" w:id="0">
    <w:p w14:paraId="687AACA2" w14:textId="77777777" w:rsidR="002A0123" w:rsidRDefault="002A0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7E5C" w14:textId="68A3D972" w:rsidR="00940D20" w:rsidRDefault="002A0123">
    <w:pPr>
      <w:pBdr>
        <w:top w:val="single" w:sz="2" w:space="1" w:color="B0BEC5"/>
      </w:pBdr>
      <w:jc w:val="center"/>
    </w:pPr>
    <w:r>
      <w:rPr>
        <w:color w:val="888888"/>
        <w:sz w:val="16"/>
        <w:szCs w:val="16"/>
      </w:rPr>
      <w:t xml:space="preserve">Confidential —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E0802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87EF1" w14:textId="77777777" w:rsidR="002A0123" w:rsidRDefault="002A0123">
      <w:r>
        <w:separator/>
      </w:r>
    </w:p>
  </w:footnote>
  <w:footnote w:type="continuationSeparator" w:id="0">
    <w:p w14:paraId="3CA016A4" w14:textId="77777777" w:rsidR="002A0123" w:rsidRDefault="002A0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7E5B" w14:textId="77777777" w:rsidR="00940D20" w:rsidRDefault="002A0123">
    <w:pPr>
      <w:pBdr>
        <w:bottom w:val="single" w:sz="4" w:space="1" w:color="4A90C4"/>
      </w:pBdr>
      <w:tabs>
        <w:tab w:val="right" w:pos="9026"/>
      </w:tabs>
    </w:pPr>
    <w:r>
      <w:rPr>
        <w:b/>
        <w:bCs/>
        <w:color w:val="4A90C4"/>
        <w:sz w:val="16"/>
        <w:szCs w:val="16"/>
      </w:rPr>
      <w:t>ATRIA CRE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>Marconi &amp; Walnut Shopping Center — Investment Memo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2E3B"/>
    <w:multiLevelType w:val="hybridMultilevel"/>
    <w:tmpl w:val="7C4838DC"/>
    <w:lvl w:ilvl="0" w:tplc="BB10F182">
      <w:start w:val="1"/>
      <w:numFmt w:val="bullet"/>
      <w:lvlText w:val="•"/>
      <w:lvlJc w:val="left"/>
      <w:pPr>
        <w:ind w:left="720" w:hanging="360"/>
      </w:pPr>
    </w:lvl>
    <w:lvl w:ilvl="1" w:tplc="9FF624CC">
      <w:numFmt w:val="decimal"/>
      <w:lvlText w:val=""/>
      <w:lvlJc w:val="left"/>
    </w:lvl>
    <w:lvl w:ilvl="2" w:tplc="094ACD08">
      <w:numFmt w:val="decimal"/>
      <w:lvlText w:val=""/>
      <w:lvlJc w:val="left"/>
    </w:lvl>
    <w:lvl w:ilvl="3" w:tplc="28523E3E">
      <w:numFmt w:val="decimal"/>
      <w:lvlText w:val=""/>
      <w:lvlJc w:val="left"/>
    </w:lvl>
    <w:lvl w:ilvl="4" w:tplc="448E7C1E">
      <w:numFmt w:val="decimal"/>
      <w:lvlText w:val=""/>
      <w:lvlJc w:val="left"/>
    </w:lvl>
    <w:lvl w:ilvl="5" w:tplc="1548C0AA">
      <w:numFmt w:val="decimal"/>
      <w:lvlText w:val=""/>
      <w:lvlJc w:val="left"/>
    </w:lvl>
    <w:lvl w:ilvl="6" w:tplc="F5A2D284">
      <w:numFmt w:val="decimal"/>
      <w:lvlText w:val=""/>
      <w:lvlJc w:val="left"/>
    </w:lvl>
    <w:lvl w:ilvl="7" w:tplc="9DCC31F2">
      <w:numFmt w:val="decimal"/>
      <w:lvlText w:val=""/>
      <w:lvlJc w:val="left"/>
    </w:lvl>
    <w:lvl w:ilvl="8" w:tplc="8B269B28">
      <w:numFmt w:val="decimal"/>
      <w:lvlText w:val=""/>
      <w:lvlJc w:val="left"/>
    </w:lvl>
  </w:abstractNum>
  <w:abstractNum w:abstractNumId="1" w15:restartNumberingAfterBreak="0">
    <w:nsid w:val="5D23566F"/>
    <w:multiLevelType w:val="hybridMultilevel"/>
    <w:tmpl w:val="2500E044"/>
    <w:lvl w:ilvl="0" w:tplc="110069B4">
      <w:start w:val="1"/>
      <w:numFmt w:val="bullet"/>
      <w:lvlText w:val="●"/>
      <w:lvlJc w:val="left"/>
      <w:pPr>
        <w:ind w:left="720" w:hanging="360"/>
      </w:pPr>
    </w:lvl>
    <w:lvl w:ilvl="1" w:tplc="7F962DEA">
      <w:start w:val="1"/>
      <w:numFmt w:val="bullet"/>
      <w:lvlText w:val="○"/>
      <w:lvlJc w:val="left"/>
      <w:pPr>
        <w:ind w:left="1440" w:hanging="360"/>
      </w:pPr>
    </w:lvl>
    <w:lvl w:ilvl="2" w:tplc="CF5A37BE">
      <w:start w:val="1"/>
      <w:numFmt w:val="bullet"/>
      <w:lvlText w:val="■"/>
      <w:lvlJc w:val="left"/>
      <w:pPr>
        <w:ind w:left="2160" w:hanging="360"/>
      </w:pPr>
    </w:lvl>
    <w:lvl w:ilvl="3" w:tplc="FABA4E12">
      <w:start w:val="1"/>
      <w:numFmt w:val="bullet"/>
      <w:lvlText w:val="●"/>
      <w:lvlJc w:val="left"/>
      <w:pPr>
        <w:ind w:left="2880" w:hanging="360"/>
      </w:pPr>
    </w:lvl>
    <w:lvl w:ilvl="4" w:tplc="58C60C40">
      <w:start w:val="1"/>
      <w:numFmt w:val="bullet"/>
      <w:lvlText w:val="○"/>
      <w:lvlJc w:val="left"/>
      <w:pPr>
        <w:ind w:left="3600" w:hanging="360"/>
      </w:pPr>
    </w:lvl>
    <w:lvl w:ilvl="5" w:tplc="6518C864">
      <w:start w:val="1"/>
      <w:numFmt w:val="bullet"/>
      <w:lvlText w:val="■"/>
      <w:lvlJc w:val="left"/>
      <w:pPr>
        <w:ind w:left="4320" w:hanging="360"/>
      </w:pPr>
    </w:lvl>
    <w:lvl w:ilvl="6" w:tplc="175A3B96">
      <w:start w:val="1"/>
      <w:numFmt w:val="bullet"/>
      <w:lvlText w:val="●"/>
      <w:lvlJc w:val="left"/>
      <w:pPr>
        <w:ind w:left="5040" w:hanging="360"/>
      </w:pPr>
    </w:lvl>
    <w:lvl w:ilvl="7" w:tplc="4796A438">
      <w:start w:val="1"/>
      <w:numFmt w:val="bullet"/>
      <w:lvlText w:val="●"/>
      <w:lvlJc w:val="left"/>
      <w:pPr>
        <w:ind w:left="5760" w:hanging="360"/>
      </w:pPr>
    </w:lvl>
    <w:lvl w:ilvl="8" w:tplc="946431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F22812"/>
    <w:multiLevelType w:val="hybridMultilevel"/>
    <w:tmpl w:val="016CCF12"/>
    <w:lvl w:ilvl="0" w:tplc="6D444EC4">
      <w:start w:val="1"/>
      <w:numFmt w:val="decimal"/>
      <w:lvlText w:val="%1."/>
      <w:lvlJc w:val="left"/>
      <w:pPr>
        <w:ind w:left="720" w:hanging="360"/>
      </w:pPr>
    </w:lvl>
    <w:lvl w:ilvl="1" w:tplc="0C78B2AE">
      <w:numFmt w:val="decimal"/>
      <w:lvlText w:val=""/>
      <w:lvlJc w:val="left"/>
    </w:lvl>
    <w:lvl w:ilvl="2" w:tplc="3120EA60">
      <w:numFmt w:val="decimal"/>
      <w:lvlText w:val=""/>
      <w:lvlJc w:val="left"/>
    </w:lvl>
    <w:lvl w:ilvl="3" w:tplc="1130B3B2">
      <w:numFmt w:val="decimal"/>
      <w:lvlText w:val=""/>
      <w:lvlJc w:val="left"/>
    </w:lvl>
    <w:lvl w:ilvl="4" w:tplc="49CC81A0">
      <w:numFmt w:val="decimal"/>
      <w:lvlText w:val=""/>
      <w:lvlJc w:val="left"/>
    </w:lvl>
    <w:lvl w:ilvl="5" w:tplc="3D1E3114">
      <w:numFmt w:val="decimal"/>
      <w:lvlText w:val=""/>
      <w:lvlJc w:val="left"/>
    </w:lvl>
    <w:lvl w:ilvl="6" w:tplc="16E6F1FA">
      <w:numFmt w:val="decimal"/>
      <w:lvlText w:val=""/>
      <w:lvlJc w:val="left"/>
    </w:lvl>
    <w:lvl w:ilvl="7" w:tplc="BF6AFC2E">
      <w:numFmt w:val="decimal"/>
      <w:lvlText w:val=""/>
      <w:lvlJc w:val="left"/>
    </w:lvl>
    <w:lvl w:ilvl="8" w:tplc="F490EDAA">
      <w:numFmt w:val="decimal"/>
      <w:lvlText w:val=""/>
      <w:lvlJc w:val="left"/>
    </w:lvl>
  </w:abstractNum>
  <w:num w:numId="1" w16cid:durableId="1752583472">
    <w:abstractNumId w:val="1"/>
    <w:lvlOverride w:ilvl="0">
      <w:startOverride w:val="1"/>
    </w:lvlOverride>
  </w:num>
  <w:num w:numId="2" w16cid:durableId="315502200">
    <w:abstractNumId w:val="0"/>
    <w:lvlOverride w:ilvl="0">
      <w:startOverride w:val="1"/>
    </w:lvlOverride>
  </w:num>
  <w:num w:numId="3" w16cid:durableId="3930479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D20"/>
    <w:rsid w:val="002A0123"/>
    <w:rsid w:val="00661C3C"/>
    <w:rsid w:val="00814F53"/>
    <w:rsid w:val="00863A7F"/>
    <w:rsid w:val="008E0802"/>
    <w:rsid w:val="00940D20"/>
    <w:rsid w:val="00AC092B"/>
    <w:rsid w:val="00D272C2"/>
    <w:rsid w:val="00EA39FE"/>
    <w:rsid w:val="00F20714"/>
    <w:rsid w:val="00F6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97D9A"/>
  <w15:docId w15:val="{8F9B895B-2240-4727-8E04-E980DA47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4A90C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1506</Words>
  <Characters>8586</Characters>
  <Application>Microsoft Office Word</Application>
  <DocSecurity>0</DocSecurity>
  <Lines>71</Lines>
  <Paragraphs>20</Paragraphs>
  <ScaleCrop>false</ScaleCrop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Keegan Tingey</cp:lastModifiedBy>
  <cp:revision>7</cp:revision>
  <dcterms:created xsi:type="dcterms:W3CDTF">2026-04-08T05:35:00Z</dcterms:created>
  <dcterms:modified xsi:type="dcterms:W3CDTF">2026-04-08T05:42:00Z</dcterms:modified>
</cp:coreProperties>
</file>