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Public Sector Sales Opportunities</w:t>
      </w:r>
    </w:p>
    <w:p>
      <w:r>
        <w:t>Date - September 29, 2026</w:t>
      </w:r>
    </w:p>
    <w:p>
      <w:r>
        <w:t>Total number of sales opportunities - 100</w:t>
        <w:br/>
        <w:t>Total number with Technical Win = No - 58</w:t>
        <w:br/>
        <w:t>Total revenue of deals without a Technical Win - $114,736,000</w:t>
      </w:r>
    </w:p>
    <w:p>
      <w:pPr>
        <w:pStyle w:val="Heading1"/>
      </w:pPr>
      <w:r>
        <w:t>Top 15 Deals without a Technical Win</w:t>
      </w:r>
    </w:p>
    <w:p>
      <w:r>
        <w:t>Jacksonville, FL, State and Local, $28,369,000, Customer Renewal, Proof of Concept, feature missing, MobStrike</w:t>
      </w:r>
    </w:p>
    <w:p>
      <w:r>
        <w:t>State of Kansas, State and Local, $19,016,000, On prem to cloud migration, engage Product dev, poor performance, InElastic</w:t>
      </w:r>
    </w:p>
    <w:p>
      <w:r>
        <w:t>State of Minnesota, State and Local, $17,008,000, Greenfield security customer, to be scheduled, Other</w:t>
      </w:r>
    </w:p>
    <w:p>
      <w:r>
        <w:t>State of Idaho, State and Local, $5,533,000, Customer Renewal, engage Product dev, Minisoft</w:t>
      </w:r>
    </w:p>
    <w:p>
      <w:r>
        <w:t>Boston, MA, State and Local, $4,109,000, On prem to cloud migration, Requirements definition, feature missing, MobStrike</w:t>
      </w:r>
    </w:p>
    <w:p>
      <w:r>
        <w:t>State of West Virginia, State and Local, $3,337,000, Customer expansion, Proof of Concept, feature missing, OldRelic</w:t>
      </w:r>
    </w:p>
    <w:p>
      <w:r>
        <w:t>Las Vegas, NV, State and Local, $3,131,000, On prem to cloud migration, bakeoff, poor performance, Goggles</w:t>
      </w:r>
    </w:p>
    <w:p>
      <w:r>
        <w:t>Kansas City, MO, State and Local, $2,220,000, Customer Renewal, engage Product dev, poor performance, Goggles</w:t>
      </w:r>
    </w:p>
    <w:p>
      <w:r>
        <w:t>State of Alaska, State and Local, $2,038,000, On prem to cloud migration, to be scheduled, poor performance, DataBlocks</w:t>
      </w:r>
    </w:p>
    <w:p>
      <w:r>
        <w:t>Albuquerque, NM, State and Local, $1,812,000, Customer expansion, Requirements definition, feature missing, OldRelic</w:t>
      </w:r>
    </w:p>
    <w:p>
      <w:r>
        <w:t>State of Kentucky, State and Local, $1,754,000, Greenfield security customer, to be scheduled, Other</w:t>
      </w:r>
    </w:p>
    <w:p>
      <w:r>
        <w:t>Virginia Beach, VA, State and Local, $1,675,000, Customer Renewal, Requirements definition, feature missing, Goggles</w:t>
      </w:r>
    </w:p>
    <w:p>
      <w:r>
        <w:t>Milwaukee, WI, State and Local, $1,396,000, Greenfield security customer, Requirements definition, feature missing, InElastic</w:t>
      </w:r>
    </w:p>
    <w:p>
      <w:r>
        <w:t>State of Texas, State and Local, $1,343,000, Customer expansion, Proof of Concept, poor performance, IBN</w:t>
      </w:r>
    </w:p>
    <w:p>
      <w:r>
        <w:t>Mesa, AZ, State and Local, $1,215,000, Customer expansion, engage Product dev, OldRelic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