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8545" w14:textId="77777777" w:rsidR="001E5E6D" w:rsidRPr="001E5E6D" w:rsidRDefault="001E5E6D" w:rsidP="001E5E6D">
      <w:pPr>
        <w:pStyle w:val="Title"/>
        <w:rPr>
          <w:rFonts w:asciiTheme="minorHAnsi" w:hAnsiTheme="minorHAnsi" w:cstheme="minorHAnsi"/>
          <w:b/>
          <w:bCs/>
        </w:rPr>
      </w:pPr>
      <w:r w:rsidRPr="001E5E6D">
        <w:rPr>
          <w:rFonts w:asciiTheme="minorHAnsi" w:hAnsiTheme="minorHAnsi" w:cstheme="minorHAnsi"/>
          <w:b/>
          <w:bCs/>
        </w:rPr>
        <w:t>Executive Summary: Real Estate Insights Dashboard</w:t>
      </w:r>
    </w:p>
    <w:p w14:paraId="7FA0D6BF" w14:textId="77777777" w:rsidR="001E5E6D" w:rsidRPr="001E5E6D" w:rsidRDefault="001E5E6D" w:rsidP="001E5E6D">
      <w:pPr>
        <w:rPr>
          <w:rFonts w:cstheme="minorHAnsi"/>
        </w:rPr>
      </w:pPr>
    </w:p>
    <w:p w14:paraId="54C05AF1" w14:textId="77777777" w:rsidR="001E5E6D" w:rsidRPr="001E5E6D" w:rsidRDefault="001E5E6D" w:rsidP="001E5E6D">
      <w:pPr>
        <w:pStyle w:val="Heading1"/>
        <w:rPr>
          <w:rFonts w:asciiTheme="minorHAnsi" w:hAnsiTheme="minorHAnsi" w:cstheme="minorHAnsi"/>
          <w:b/>
          <w:bCs/>
        </w:rPr>
      </w:pPr>
      <w:r w:rsidRPr="001E5E6D">
        <w:rPr>
          <w:rFonts w:asciiTheme="minorHAnsi" w:hAnsiTheme="minorHAnsi" w:cstheme="minorHAnsi"/>
          <w:b/>
          <w:bCs/>
        </w:rPr>
        <w:t>Project Overview</w:t>
      </w:r>
    </w:p>
    <w:p w14:paraId="726DB633" w14:textId="77AA5CB2" w:rsidR="001E5E6D" w:rsidRPr="001E5E6D" w:rsidRDefault="001E5E6D" w:rsidP="001E5E6D">
      <w:pPr>
        <w:rPr>
          <w:rFonts w:cstheme="minorHAnsi"/>
        </w:rPr>
      </w:pPr>
      <w:r w:rsidRPr="001E5E6D">
        <w:rPr>
          <w:rFonts w:cstheme="minorHAnsi"/>
        </w:rPr>
        <w:t xml:space="preserve">This report provides a data-driven summary of real estate transaction trends from 2011 to 2022. The insights were derived from the Real Estate Insights Dashboard, which </w:t>
      </w:r>
      <w:r w:rsidRPr="001E5E6D">
        <w:rPr>
          <w:rFonts w:cstheme="minorHAnsi"/>
        </w:rPr>
        <w:t>analyses</w:t>
      </w:r>
      <w:r w:rsidRPr="001E5E6D">
        <w:rPr>
          <w:rFonts w:cstheme="minorHAnsi"/>
        </w:rPr>
        <w:t xml:space="preserve"> sales volume, town performance, property type distributions, and sales ratios.</w:t>
      </w:r>
    </w:p>
    <w:p w14:paraId="75F3BCE2" w14:textId="77777777" w:rsidR="001E5E6D" w:rsidRPr="001E5E6D" w:rsidRDefault="001E5E6D" w:rsidP="001E5E6D">
      <w:pPr>
        <w:rPr>
          <w:rFonts w:cstheme="minorHAnsi"/>
        </w:rPr>
      </w:pPr>
      <w:r w:rsidRPr="001E5E6D">
        <w:rPr>
          <w:rFonts w:cstheme="minorHAnsi"/>
        </w:rPr>
        <w:t>Key Findings</w:t>
      </w:r>
    </w:p>
    <w:p w14:paraId="22A21BC5" w14:textId="77777777" w:rsidR="001E5E6D" w:rsidRPr="001E5E6D" w:rsidRDefault="001E5E6D" w:rsidP="001E5E6D">
      <w:pPr>
        <w:pStyle w:val="Heading2"/>
        <w:rPr>
          <w:rFonts w:asciiTheme="minorHAnsi" w:hAnsiTheme="minorHAnsi" w:cstheme="minorHAnsi"/>
          <w:b/>
          <w:bCs/>
        </w:rPr>
      </w:pPr>
      <w:r w:rsidRPr="001E5E6D">
        <w:rPr>
          <w:rFonts w:asciiTheme="minorHAnsi" w:hAnsiTheme="minorHAnsi" w:cstheme="minorHAnsi"/>
          <w:b/>
          <w:bCs/>
        </w:rPr>
        <w:t>Market Volume Trends &amp; Resilience</w:t>
      </w:r>
    </w:p>
    <w:p w14:paraId="40101D2C" w14:textId="77777777" w:rsidR="001E5E6D" w:rsidRPr="001E5E6D" w:rsidRDefault="001E5E6D" w:rsidP="001E5E6D">
      <w:pPr>
        <w:rPr>
          <w:rFonts w:cstheme="minorHAnsi"/>
        </w:rPr>
      </w:pPr>
      <w:r w:rsidRPr="001E5E6D">
        <w:rPr>
          <w:rFonts w:cstheme="minorHAnsi"/>
        </w:rPr>
        <w:t>Real estate transaction volumes saw strong growth in recent years. The market peaked with 64,441 recorded sales in 2021 and 58,344 sales in 2020. However, the market showed signs of cooling in 2022, with total sales declining to 40,946.</w:t>
      </w:r>
    </w:p>
    <w:p w14:paraId="453BFB33" w14:textId="77777777" w:rsidR="001E5E6D" w:rsidRPr="001E5E6D" w:rsidRDefault="001E5E6D" w:rsidP="001E5E6D">
      <w:pPr>
        <w:pStyle w:val="Heading2"/>
        <w:rPr>
          <w:rFonts w:asciiTheme="minorHAnsi" w:hAnsiTheme="minorHAnsi" w:cstheme="minorHAnsi"/>
          <w:b/>
          <w:bCs/>
        </w:rPr>
      </w:pPr>
      <w:r w:rsidRPr="001E5E6D">
        <w:rPr>
          <w:rFonts w:asciiTheme="minorHAnsi" w:hAnsiTheme="minorHAnsi" w:cstheme="minorHAnsi"/>
          <w:b/>
          <w:bCs/>
        </w:rPr>
        <w:t>Top Performing Regions</w:t>
      </w:r>
    </w:p>
    <w:p w14:paraId="2920A1AE" w14:textId="77777777" w:rsidR="001E5E6D" w:rsidRPr="001E5E6D" w:rsidRDefault="001E5E6D" w:rsidP="001E5E6D">
      <w:pPr>
        <w:rPr>
          <w:rFonts w:cstheme="minorHAnsi"/>
        </w:rPr>
      </w:pPr>
      <w:r w:rsidRPr="001E5E6D">
        <w:rPr>
          <w:rFonts w:cstheme="minorHAnsi"/>
        </w:rPr>
        <w:t>Hot Springs is the top-performing municipality, consistently generating the highest total sales amount. With more than $9.6 billion in total sales during the tracked period, it significantly outperformed other major regions such as Asheville ($5.2 billion) and Lubbock ($5.1 billion).</w:t>
      </w:r>
    </w:p>
    <w:p w14:paraId="63E754FE" w14:textId="77777777" w:rsidR="001E5E6D" w:rsidRPr="001E5E6D" w:rsidRDefault="001E5E6D" w:rsidP="001E5E6D">
      <w:pPr>
        <w:pStyle w:val="Heading2"/>
        <w:rPr>
          <w:rFonts w:asciiTheme="minorHAnsi" w:hAnsiTheme="minorHAnsi" w:cstheme="minorHAnsi"/>
          <w:b/>
          <w:bCs/>
        </w:rPr>
      </w:pPr>
      <w:r w:rsidRPr="001E5E6D">
        <w:rPr>
          <w:rFonts w:asciiTheme="minorHAnsi" w:hAnsiTheme="minorHAnsi" w:cstheme="minorHAnsi"/>
          <w:b/>
          <w:bCs/>
        </w:rPr>
        <w:t>Property Type Dominance</w:t>
      </w:r>
    </w:p>
    <w:p w14:paraId="3CB48ABC" w14:textId="77777777" w:rsidR="001E5E6D" w:rsidRPr="001E5E6D" w:rsidRDefault="001E5E6D" w:rsidP="001E5E6D">
      <w:pPr>
        <w:rPr>
          <w:rFonts w:cstheme="minorHAnsi"/>
        </w:rPr>
      </w:pPr>
      <w:r w:rsidRPr="001E5E6D">
        <w:rPr>
          <w:rFonts w:cstheme="minorHAnsi"/>
        </w:rPr>
        <w:t>Single Family residential properties are the foundation of the market, accounting for the majority of all transactions with over 273,000 sales. Despite this high volume, Apartment properties generate a much higher average transaction value, averaging approximately $8.4 million per sale compared to standard residential homes.</w:t>
      </w:r>
    </w:p>
    <w:p w14:paraId="753B2ECD" w14:textId="77777777" w:rsidR="001E5E6D" w:rsidRPr="001E5E6D" w:rsidRDefault="001E5E6D" w:rsidP="001E5E6D">
      <w:pPr>
        <w:pStyle w:val="Heading2"/>
        <w:rPr>
          <w:rFonts w:asciiTheme="minorHAnsi" w:hAnsiTheme="minorHAnsi" w:cstheme="minorHAnsi"/>
          <w:b/>
          <w:bCs/>
        </w:rPr>
      </w:pPr>
      <w:r w:rsidRPr="001E5E6D">
        <w:rPr>
          <w:rFonts w:asciiTheme="minorHAnsi" w:hAnsiTheme="minorHAnsi" w:cstheme="minorHAnsi"/>
          <w:b/>
          <w:bCs/>
        </w:rPr>
        <w:t>Sales Ratio Trends (Assessed Value vs. Sale Price)</w:t>
      </w:r>
    </w:p>
    <w:p w14:paraId="7A7F6CE0" w14:textId="77777777" w:rsidR="001E5E6D" w:rsidRPr="001E5E6D" w:rsidRDefault="001E5E6D" w:rsidP="001E5E6D">
      <w:pPr>
        <w:rPr>
          <w:rFonts w:cstheme="minorHAnsi"/>
        </w:rPr>
      </w:pPr>
      <w:r w:rsidRPr="001E5E6D">
        <w:rPr>
          <w:rFonts w:cstheme="minorHAnsi"/>
        </w:rPr>
        <w:t>The average Sales Ratio, which compares government-assessed value to final sale price, ranges from approximately 1.08 to 1.11 in towns such as Kearney and Bellingham. Since the ratio is above 1.0, it suggests that properties in these towns are generally selling for slightly less than their government-assessed values.</w:t>
      </w:r>
    </w:p>
    <w:p w14:paraId="0580B7B4" w14:textId="77777777" w:rsidR="001E5E6D" w:rsidRPr="001E5E6D" w:rsidRDefault="001E5E6D" w:rsidP="001E5E6D">
      <w:pPr>
        <w:pStyle w:val="Heading3"/>
        <w:rPr>
          <w:rFonts w:cstheme="minorHAnsi"/>
          <w:b/>
          <w:bCs/>
        </w:rPr>
      </w:pPr>
      <w:r w:rsidRPr="001E5E6D">
        <w:rPr>
          <w:rFonts w:cstheme="minorHAnsi"/>
          <w:b/>
          <w:bCs/>
        </w:rPr>
        <w:t>Conclusion</w:t>
      </w:r>
    </w:p>
    <w:p w14:paraId="36141E47" w14:textId="77777777" w:rsidR="001E5E6D" w:rsidRPr="001E5E6D" w:rsidRDefault="001E5E6D" w:rsidP="001E5E6D">
      <w:pPr>
        <w:rPr>
          <w:rFonts w:cstheme="minorHAnsi"/>
        </w:rPr>
      </w:pPr>
      <w:r w:rsidRPr="001E5E6D">
        <w:rPr>
          <w:rFonts w:cstheme="minorHAnsi"/>
        </w:rPr>
        <w:t>The data indicates that the real estate market experienced substantial growth during 2020 and 2021 and is now entering a period of stabilization. While Single Family homes dominate transaction volume, high-value Apartment investments account for the largest individual capital exchanges. Hot Springs remains the leading region in terms of overall sales value.</w:t>
      </w:r>
    </w:p>
    <w:p w14:paraId="018F3456" w14:textId="77777777" w:rsidR="00CD4C06" w:rsidRPr="001E5E6D" w:rsidRDefault="00CD4C06" w:rsidP="001E5E6D"/>
    <w:sectPr w:rsidR="00CD4C06" w:rsidRPr="001E5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C29"/>
    <w:multiLevelType w:val="multilevel"/>
    <w:tmpl w:val="6E52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BE16E7"/>
    <w:multiLevelType w:val="multilevel"/>
    <w:tmpl w:val="9DE6F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0E4358"/>
    <w:multiLevelType w:val="multilevel"/>
    <w:tmpl w:val="824280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023923"/>
    <w:multiLevelType w:val="multilevel"/>
    <w:tmpl w:val="8520B4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28892">
    <w:abstractNumId w:val="0"/>
  </w:num>
  <w:num w:numId="2" w16cid:durableId="1256399586">
    <w:abstractNumId w:val="1"/>
  </w:num>
  <w:num w:numId="3" w16cid:durableId="1548446366">
    <w:abstractNumId w:val="3"/>
  </w:num>
  <w:num w:numId="4" w16cid:durableId="1773163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6D"/>
    <w:rsid w:val="001E5E6D"/>
    <w:rsid w:val="00844B3F"/>
    <w:rsid w:val="00CD4C06"/>
    <w:rsid w:val="00D43C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ABAE"/>
  <w15:chartTrackingRefBased/>
  <w15:docId w15:val="{0B99A2FA-3125-4922-987C-118FA77D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E6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1E5E6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1E5E6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5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E6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1E5E6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1E5E6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E5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E6D"/>
    <w:rPr>
      <w:rFonts w:eastAsiaTheme="majorEastAsia" w:cstheme="majorBidi"/>
      <w:color w:val="272727" w:themeColor="text1" w:themeTint="D8"/>
    </w:rPr>
  </w:style>
  <w:style w:type="paragraph" w:styleId="Title">
    <w:name w:val="Title"/>
    <w:basedOn w:val="Normal"/>
    <w:next w:val="Normal"/>
    <w:link w:val="TitleChar"/>
    <w:uiPriority w:val="10"/>
    <w:qFormat/>
    <w:rsid w:val="001E5E6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5E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5E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5E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5E6D"/>
    <w:pPr>
      <w:spacing w:before="160"/>
      <w:jc w:val="center"/>
    </w:pPr>
    <w:rPr>
      <w:i/>
      <w:iCs/>
      <w:color w:val="404040" w:themeColor="text1" w:themeTint="BF"/>
    </w:rPr>
  </w:style>
  <w:style w:type="character" w:customStyle="1" w:styleId="QuoteChar">
    <w:name w:val="Quote Char"/>
    <w:basedOn w:val="DefaultParagraphFont"/>
    <w:link w:val="Quote"/>
    <w:uiPriority w:val="29"/>
    <w:rsid w:val="001E5E6D"/>
    <w:rPr>
      <w:i/>
      <w:iCs/>
      <w:color w:val="404040" w:themeColor="text1" w:themeTint="BF"/>
    </w:rPr>
  </w:style>
  <w:style w:type="paragraph" w:styleId="ListParagraph">
    <w:name w:val="List Paragraph"/>
    <w:basedOn w:val="Normal"/>
    <w:uiPriority w:val="34"/>
    <w:qFormat/>
    <w:rsid w:val="001E5E6D"/>
    <w:pPr>
      <w:ind w:left="720"/>
      <w:contextualSpacing/>
    </w:pPr>
  </w:style>
  <w:style w:type="character" w:styleId="IntenseEmphasis">
    <w:name w:val="Intense Emphasis"/>
    <w:basedOn w:val="DefaultParagraphFont"/>
    <w:uiPriority w:val="21"/>
    <w:qFormat/>
    <w:rsid w:val="001E5E6D"/>
    <w:rPr>
      <w:i/>
      <w:iCs/>
      <w:color w:val="2F5496" w:themeColor="accent1" w:themeShade="BF"/>
    </w:rPr>
  </w:style>
  <w:style w:type="paragraph" w:styleId="IntenseQuote">
    <w:name w:val="Intense Quote"/>
    <w:basedOn w:val="Normal"/>
    <w:next w:val="Normal"/>
    <w:link w:val="IntenseQuoteChar"/>
    <w:uiPriority w:val="30"/>
    <w:qFormat/>
    <w:rsid w:val="001E5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E6D"/>
    <w:rPr>
      <w:i/>
      <w:iCs/>
      <w:color w:val="2F5496" w:themeColor="accent1" w:themeShade="BF"/>
    </w:rPr>
  </w:style>
  <w:style w:type="character" w:styleId="IntenseReference">
    <w:name w:val="Intense Reference"/>
    <w:basedOn w:val="DefaultParagraphFont"/>
    <w:uiPriority w:val="32"/>
    <w:qFormat/>
    <w:rsid w:val="001E5E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Tripathi</dc:creator>
  <cp:keywords/>
  <dc:description/>
  <cp:lastModifiedBy>Kartik Tripathi</cp:lastModifiedBy>
  <cp:revision>1</cp:revision>
  <dcterms:created xsi:type="dcterms:W3CDTF">2026-06-19T08:52:00Z</dcterms:created>
  <dcterms:modified xsi:type="dcterms:W3CDTF">2026-06-19T08:56:00Z</dcterms:modified>
</cp:coreProperties>
</file>