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맑은 고딕" w:hAnsi="맑은 고딕"/>
          <w:b/>
          <w:color w:val="0F172A"/>
          <w:sz w:val="44"/>
        </w:rPr>
        <w:t>하이브리드 알파 &amp; AI 점수(LightGBM) 퀀트 시스템 종합 백서</w:t>
      </w:r>
    </w:p>
    <w:p>
      <w:pPr>
        <w:spacing w:after="400"/>
      </w:pPr>
      <w:r>
        <w:rPr>
          <w:rFonts w:ascii="Arial" w:hAnsi="Arial"/>
          <w:color w:val="64748B"/>
          <w:sz w:val="22"/>
        </w:rPr>
        <w:t>Quantitative Trading Strategy &amp; Machine Learning Meta-Labeling Model Technical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맑은 고딕" w:hAnsi="맑은 고딕"/>
                <w:b/>
                <w:color w:val="475569"/>
                <w:sz w:val="19"/>
              </w:rPr>
              <w:t xml:space="preserve">• 작성 대상: </w:t>
            </w:r>
            <w:r>
              <w:rPr>
                <w:rFonts w:ascii="맑은 고딕" w:hAnsi="맑은 고딕"/>
                <w:color w:val="0F172A"/>
                <w:sz w:val="19"/>
              </w:rPr>
              <w:t>KOSPI 200 &amp; KOSDAQ 150 (350개 전 종목)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맑은 고딕" w:hAnsi="맑은 고딕"/>
                <w:b/>
                <w:color w:val="475569"/>
                <w:sz w:val="19"/>
              </w:rPr>
              <w:t xml:space="preserve">• 분석 기간: </w:t>
            </w:r>
            <w:r>
              <w:rPr>
                <w:rFonts w:ascii="맑은 고딕" w:hAnsi="맑은 고딕"/>
                <w:color w:val="0F172A"/>
                <w:sz w:val="19"/>
              </w:rPr>
              <w:t>2021년 1월 ~ 2026년 9월 (5년 9개월)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맑은 고딕" w:hAnsi="맑은 고딕"/>
                <w:b/>
                <w:color w:val="475569"/>
                <w:sz w:val="19"/>
              </w:rPr>
              <w:t xml:space="preserve">• 적용 전략: </w:t>
            </w:r>
            <w:r>
              <w:rPr>
                <w:rFonts w:ascii="맑은 고딕" w:hAnsi="맑은 고딕"/>
                <w:color w:val="0F172A"/>
                <w:sz w:val="19"/>
              </w:rPr>
              <w:t>[전략 5] 하이브리드 알파 (Hybrid Alpha)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맑은 고딕" w:hAnsi="맑은 고딕"/>
                <w:b/>
                <w:color w:val="475569"/>
                <w:sz w:val="19"/>
              </w:rPr>
              <w:t xml:space="preserve">• AI 모델: </w:t>
            </w:r>
            <w:r>
              <w:rPr>
                <w:rFonts w:ascii="맑은 고딕" w:hAnsi="맑은 고딕"/>
                <w:color w:val="0F172A"/>
                <w:sz w:val="19"/>
              </w:rPr>
              <w:t>LightGBM GBDT Meta-Labeling Classifier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맑은 고딕" w:hAnsi="맑은 고딕"/>
          <w:b/>
          <w:color w:val="1E3A8A"/>
          <w:sz w:val="30"/>
        </w:rPr>
        <w:t>1. 개요 및 설계 철학</w:t>
      </w:r>
    </w:p>
    <w:p>
      <w:pPr>
        <w:spacing w:after="80" w:line="288" w:lineRule="auto"/>
      </w:pPr>
      <w:r>
        <w:rPr>
          <w:rFonts w:ascii="맑은 고딕" w:hAnsi="맑은 고딕"/>
          <w:color w:val="334155"/>
          <w:sz w:val="20"/>
        </w:rPr>
        <w:t>본 시스템은 단순한 룰 기반 스크리너의 한계를 극복하기 위해 '2단계 하이브리드 파이프라인(Two-Stage Quant Pipeline)' 구조로 구축되었습니다.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• 1차 필터 (하이브리드 알파 룰 엔진): </w:t>
      </w:r>
      <w:r>
        <w:rPr>
          <w:rFonts w:ascii="맑은 고딕" w:hAnsi="맑은 고딕"/>
          <w:color w:val="334155"/>
          <w:sz w:val="20"/>
        </w:rPr>
        <w:t>350개 전 종목을 대상으로 기술적 과매도 투매 바닥 및 추세 급반등 종목을 1차 선별합니다. (기본 조건만으로도 5개년 승률 약 80% 달성)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• 2차 필터 (LightGBM AI 메타 모델): </w:t>
      </w:r>
      <w:r>
        <w:rPr>
          <w:rFonts w:ascii="맑은 고딕" w:hAnsi="맑은 고딕"/>
          <w:color w:val="334155"/>
          <w:sz w:val="20"/>
        </w:rPr>
        <w:t>1차에서 걸러진 후보 종목들이 과거 80%의 성공 케이스와 유사한지, 아니면 20%의 실패(지뢰/물림) 케이스와 유사한지를 34개 피처를 통해 머신러닝으로 정밀 채점하여 'AI 점수(0~100점)'를 부여합니다.</w:t>
      </w:r>
    </w:p>
    <w:p>
      <w:pPr>
        <w:spacing w:before="320" w:after="120"/>
      </w:pPr>
      <w:r>
        <w:rPr>
          <w:rFonts w:ascii="맑은 고딕" w:hAnsi="맑은 고딕"/>
          <w:b/>
          <w:color w:val="1E3A8A"/>
          <w:sz w:val="30"/>
        </w:rPr>
        <w:t>2. 연계 퀀트 전략: [전략 5] 하이브리드 알파</w:t>
      </w:r>
    </w:p>
    <w:p>
      <w:pPr>
        <w:spacing w:before="240" w:after="80"/>
      </w:pPr>
      <w:r>
        <w:rPr>
          <w:rFonts w:ascii="맑은 고딕" w:hAnsi="맑은 고딕"/>
          <w:b/>
          <w:color w:val="0F172A"/>
          <w:sz w:val="24"/>
        </w:rPr>
        <w:t>2.1 매수 및 매도 조건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• 매수 조건 1 (극과매도 투매 바닥): </w:t>
      </w:r>
      <w:r>
        <w:rPr>
          <w:rFonts w:ascii="맑은 고딕" w:hAnsi="맑은 고딕"/>
          <w:color w:val="334155"/>
          <w:sz w:val="20"/>
        </w:rPr>
        <w:t>RSI ≤ 24 AND 볼린저밴드 %b ≤ 0.05 AND 거래량비율(5일) ≥ 100% AND 20일 이격도 ≤ 95%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• 매수 조건 2 (추세 속 급반등 바닥): </w:t>
      </w:r>
      <w:r>
        <w:rPr>
          <w:rFonts w:ascii="맑은 고딕" w:hAnsi="맑은 고딕"/>
          <w:color w:val="334155"/>
          <w:sz w:val="20"/>
        </w:rPr>
        <w:t>ADX ≥ 33 AND -DI 하향돌파 ADX AND 거래량비율(5일) ≥ 100% AND 20일 이격도 ≤ 93%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• 매도 조건: </w:t>
      </w:r>
      <w:r>
        <w:rPr>
          <w:rFonts w:ascii="맑은 고딕" w:hAnsi="맑은 고딕"/>
          <w:color w:val="334155"/>
          <w:sz w:val="20"/>
        </w:rPr>
        <w:t>RSI ≥ 55 도달 시 전량 익절 청산 (빠른 차익 실현 및 자금 회전)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• 리스크 관리 (물타기): </w:t>
      </w:r>
      <w:r>
        <w:rPr>
          <w:rFonts w:ascii="맑은 고딕" w:hAnsi="맑은 고딕"/>
          <w:color w:val="334155"/>
          <w:sz w:val="20"/>
        </w:rPr>
        <w:t>진입가 대비 -20% 하락 시 2배 추가 매수 (평단가 급격 인하 효과, 포지션당 최대 1회)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• 손절 규칙: </w:t>
      </w:r>
      <w:r>
        <w:rPr>
          <w:rFonts w:ascii="맑은 고딕" w:hAnsi="맑은 고딕"/>
          <w:color w:val="334155"/>
          <w:sz w:val="20"/>
        </w:rPr>
        <w:t>손절선 없음 (우량 350개 종목의 기술적 과매도 회귀력과 물타기 안전판으로 방어)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• 체결 규칙: </w:t>
      </w:r>
      <w:r>
        <w:rPr>
          <w:rFonts w:ascii="맑은 고딕" w:hAnsi="맑은 고딕"/>
          <w:color w:val="334155"/>
          <w:sz w:val="20"/>
        </w:rPr>
        <w:t>신호 발생 당일 15:30 종가 확인 후 다음 날 09:00 시초가 단일가 매매 (+0.25% 수수료/세금/슬리피지 차감)</w:t>
      </w:r>
    </w:p>
    <w:p>
      <w:pPr>
        <w:spacing w:before="320" w:after="120"/>
      </w:pPr>
      <w:r>
        <w:rPr>
          <w:rFonts w:ascii="맑은 고딕" w:hAnsi="맑은 고딕"/>
          <w:b/>
          <w:color w:val="1E3A8A"/>
          <w:sz w:val="30"/>
        </w:rPr>
        <w:t>3. AI 머신러닝 모델 아키텍처 및 데이터셋</w:t>
      </w:r>
    </w:p>
    <w:p>
      <w:pPr>
        <w:spacing w:before="240" w:after="80"/>
      </w:pPr>
      <w:r>
        <w:rPr>
          <w:rFonts w:ascii="맑은 고딕" w:hAnsi="맑은 고딕"/>
          <w:b/>
          <w:color w:val="0F172A"/>
          <w:sz w:val="24"/>
        </w:rPr>
        <w:t>3.1 모델 사양 및 학습 정의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• 모델 알고리즘: </w:t>
      </w:r>
      <w:r>
        <w:rPr>
          <w:rFonts w:ascii="맑은 고딕" w:hAnsi="맑은 고딕"/>
          <w:color w:val="334155"/>
          <w:sz w:val="20"/>
        </w:rPr>
        <w:t>LightGBM (Gradient Boosted Decision Trees, GBDT), 120개 결정 트리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• 학습 데이터셋: </w:t>
      </w:r>
      <w:r>
        <w:rPr>
          <w:rFonts w:ascii="맑은 고딕" w:hAnsi="맑은 고딕"/>
          <w:color w:val="334155"/>
          <w:sz w:val="20"/>
        </w:rPr>
        <w:t>2021년 1월 ~ 2026년 8월 말 (최근 5.5개년 350개 전 종목 데이터)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• 학습 타겟(Label): </w:t>
      </w:r>
      <w:r>
        <w:rPr>
          <w:rFonts w:ascii="맑은 고딕" w:hAnsi="맑은 고딕"/>
          <w:color w:val="334155"/>
          <w:sz w:val="20"/>
        </w:rPr>
        <w:t>is_alpha_winner (단순 상승이 아닌 시장 초과 수익 창출, 하방 리스크 제한, 단기 조기 익절을 모두 달성한 우량 거래만 '1'로 라벨링)</w:t>
      </w:r>
    </w:p>
    <w:p>
      <w:pPr>
        <w:spacing w:before="320" w:after="120"/>
      </w:pPr>
      <w:r>
        <w:rPr>
          <w:rFonts w:ascii="맑은 고딕" w:hAnsi="맑은 고딕"/>
          <w:b/>
          <w:color w:val="1E3A8A"/>
          <w:sz w:val="30"/>
        </w:rPr>
        <w:t>4. 34개 입력 피처 구성 및 중요도 Top 10</w:t>
      </w:r>
    </w:p>
    <w:p>
      <w:pPr>
        <w:spacing w:after="80" w:line="288" w:lineRule="auto"/>
      </w:pPr>
      <w:r>
        <w:rPr>
          <w:rFonts w:ascii="맑은 고딕" w:hAnsi="맑은 고딕"/>
          <w:color w:val="334155"/>
          <w:sz w:val="20"/>
        </w:rPr>
        <w:t>AI 모델은 신호 발생 시 종목의 기술적 지표뿐 아니라 코스피/코스닥 지수의 매크로 환경과 상대 강도를 34개 피처로 종합 연산합니다.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변수명 (Feature)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중요도 (Gain)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설명 및 분석 의도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1위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stock_ret_20d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995.8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최근 20일간의 주가 낙폭 크기 (낙폭과대 반등 탄력 포착)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2위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concurrent_signals_count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788.5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당일 전체 시장 동시 매수 신호 수 (시장 전체 투매 여부 판별)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3위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stock_volatility_20d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781.7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최근 20일간의 주가 변동성 (변동성 과다 종목 패널티 부여)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4위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stock_macd_osc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629.8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MACD 오실레이터의 수렴 및 단기 턴어라운드 강도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5위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idx_plus_di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512.8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시장 전체 지수의 상승 방향성 존재 여부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6위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stock_ret_5d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506.7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최근 5일간의 단기 급락/반등 모멘텀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7위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rel_disparity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445.1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지수 대비 종목의 상대적 이격도 괴리율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8위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stock_stoch_d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410.6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스토캐스틱 슬로우 바닥 다이버전스 강도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9위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rel_ret_5d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382.2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지수 대비 5일간 초과 수익률 (Alpha 창출력)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10위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stock_rsi_slope_5d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356.2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최근 5일간 RSI 지표의 상승 반전 가속도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맑은 고딕" w:hAnsi="맑은 고딕"/>
          <w:b/>
          <w:color w:val="1E3A8A"/>
          <w:sz w:val="30"/>
        </w:rPr>
        <w:t>5. AI 점수 정규분포 통계 (5.9개년 전수 분석)</w:t>
      </w:r>
    </w:p>
    <w:p>
      <w:pPr>
        <w:spacing w:after="80" w:line="288" w:lineRule="auto"/>
      </w:pPr>
      <w:r>
        <w:rPr>
          <w:rFonts w:ascii="맑은 고딕" w:hAnsi="맑은 고딕"/>
          <w:color w:val="334155"/>
          <w:sz w:val="20"/>
        </w:rPr>
        <w:t>2021년 1월부터 2026년 9월 18일까지 350개 전 종목에서 발생한 하이브리드 알파 신호 2,594건 전수 조사 결과입니다.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• 핵심 통계: </w:t>
      </w:r>
      <w:r>
        <w:rPr>
          <w:rFonts w:ascii="맑은 고딕" w:hAnsi="맑은 고딕"/>
          <w:color w:val="334155"/>
          <w:sz w:val="20"/>
        </w:rPr>
        <w:t>평균 62.12점 | 중앙값(Median) 64.00점 | 표준편차 10.68점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백분위 (Percentile)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AI 점수 컷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실전 등급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19"/>
              </w:rPr>
              <w:t>의미 및 포지션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상위 10% 이내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73.6점 이상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A+ ~ 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시장 대비 반등 탄력이 가장 강력한 최우량 타점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상위 25% 이내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69.6점 이상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B+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승률 90% 이상 보장되는 우량 타점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상위 50% 이내 (중앙값)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64.0점 이상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B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기본 조건을 충실히 갖춘 표준 권장 타점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하위 25% 이하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56.6점 이하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C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반등 탄력이 둔화되거나 지수 역풍 위험이 있는 구간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하위 10% 이하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47.3점 이하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D (지뢰)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8"/>
              </w:rPr>
              <w:t>과거 실패 패턴(손절/장기 물림)과 유사한 고위험 구간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맑은 고딕" w:hAnsi="맑은 고딕"/>
          <w:b/>
          <w:color w:val="1E3A8A"/>
          <w:sz w:val="30"/>
        </w:rPr>
        <w:t>6. 점수대별 실제 백테스트 성과 분석</w:t>
      </w:r>
    </w:p>
    <w:p>
      <w:pPr>
        <w:spacing w:after="80" w:line="288" w:lineRule="auto"/>
      </w:pPr>
      <w:r>
        <w:rPr>
          <w:rFonts w:ascii="맑은 고딕" w:hAnsi="맑은 고딕"/>
          <w:color w:val="334155"/>
          <w:sz w:val="20"/>
        </w:rPr>
        <w:t>총 1,457회 실제 체결 거래에 대한 AI 점수대별 성과 전수 분석표입니다 (수수료 0.25% 반영):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AI 점수 구간</w:t>
            </w:r>
          </w:p>
        </w:tc>
        <w:tc>
          <w:tcPr>
            <w:tcW w:type="dxa" w:w="117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체결수</w:t>
            </w:r>
          </w:p>
        </w:tc>
        <w:tc>
          <w:tcPr>
            <w:tcW w:type="dxa" w:w="117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비중</w:t>
            </w:r>
          </w:p>
        </w:tc>
        <w:tc>
          <w:tcPr>
            <w:tcW w:type="dxa" w:w="117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승률</w:t>
            </w:r>
          </w:p>
        </w:tc>
        <w:tc>
          <w:tcPr>
            <w:tcW w:type="dxa" w:w="117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평균수익률</w:t>
            </w:r>
          </w:p>
        </w:tc>
        <w:tc>
          <w:tcPr>
            <w:tcW w:type="dxa" w:w="117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손익비(PF)</w:t>
            </w:r>
          </w:p>
        </w:tc>
        <w:tc>
          <w:tcPr>
            <w:tcW w:type="dxa" w:w="117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평균보유일</w:t>
            </w:r>
          </w:p>
        </w:tc>
        <w:tc>
          <w:tcPr>
            <w:tcW w:type="dxa" w:w="117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물타기</w:t>
            </w:r>
          </w:p>
        </w:tc>
      </w:tr>
      <w:tr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80점 이상 (A+)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27건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1.9%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96.3%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+21.20%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12.29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33.6일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3건</w:t>
            </w:r>
          </w:p>
        </w:tc>
      </w:tr>
      <w:tr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75점 ~ 80점 (A)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86건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5.9%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90.7%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+16.86%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13.60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45.0일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23건</w:t>
            </w:r>
          </w:p>
        </w:tc>
      </w:tr>
      <w:tr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70점 ~ 75점 (B+)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183건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12.6%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90.7%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+13.65%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11.76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41.9일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33건</w:t>
            </w:r>
          </w:p>
        </w:tc>
      </w:tr>
      <w:tr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60점 ~ 70점 (B)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565건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38.8%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85.5%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+8.21%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3.95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46.2일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103건</w:t>
            </w:r>
          </w:p>
        </w:tc>
      </w:tr>
      <w:tr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50점 ~ 60점 (C)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375건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25.7%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76.0%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+5.58%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2.74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46.6일</w:t>
            </w:r>
          </w:p>
        </w:tc>
        <w:tc>
          <w:tcPr>
            <w:tcW w:type="dxa" w:w="11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50건</w:t>
            </w:r>
          </w:p>
        </w:tc>
      </w:tr>
      <w:tr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50점 미만 (D)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221건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15.2%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69.2%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+2.38%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1.22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53.6일</w:t>
            </w:r>
          </w:p>
        </w:tc>
        <w:tc>
          <w:tcPr>
            <w:tcW w:type="dxa" w:w="117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28건</w:t>
            </w:r>
          </w:p>
        </w:tc>
      </w:tr>
      <w:tr>
        <w:tc>
          <w:tcPr>
            <w:tcW w:type="dxa" w:w="1170"/>
            <w:shd w:fill="FEF3C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★ 60점 이상 합계</w:t>
            </w:r>
          </w:p>
        </w:tc>
        <w:tc>
          <w:tcPr>
            <w:tcW w:type="dxa" w:w="1170"/>
            <w:shd w:fill="FEF3C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861건</w:t>
            </w:r>
          </w:p>
        </w:tc>
        <w:tc>
          <w:tcPr>
            <w:tcW w:type="dxa" w:w="1170"/>
            <w:shd w:fill="FEF3C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59.1%</w:t>
            </w:r>
          </w:p>
        </w:tc>
        <w:tc>
          <w:tcPr>
            <w:tcW w:type="dxa" w:w="1170"/>
            <w:shd w:fill="FEF3C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87.5%</w:t>
            </w:r>
          </w:p>
        </w:tc>
        <w:tc>
          <w:tcPr>
            <w:tcW w:type="dxa" w:w="1170"/>
            <w:shd w:fill="FEF3C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+10.64%</w:t>
            </w:r>
          </w:p>
        </w:tc>
        <w:tc>
          <w:tcPr>
            <w:tcW w:type="dxa" w:w="1170"/>
            <w:shd w:fill="FEF3C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-</w:t>
            </w:r>
          </w:p>
        </w:tc>
        <w:tc>
          <w:tcPr>
            <w:tcW w:type="dxa" w:w="1170"/>
            <w:shd w:fill="FEF3C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44.8일</w:t>
            </w:r>
          </w:p>
        </w:tc>
        <w:tc>
          <w:tcPr>
            <w:tcW w:type="dxa" w:w="1170"/>
            <w:shd w:fill="FEF3C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162건</w:t>
            </w:r>
          </w:p>
        </w:tc>
      </w:tr>
      <w:tr>
        <w:tc>
          <w:tcPr>
            <w:tcW w:type="dxa" w:w="117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★ 60점 미만 합계</w:t>
            </w:r>
          </w:p>
        </w:tc>
        <w:tc>
          <w:tcPr>
            <w:tcW w:type="dxa" w:w="117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596건</w:t>
            </w:r>
          </w:p>
        </w:tc>
        <w:tc>
          <w:tcPr>
            <w:tcW w:type="dxa" w:w="117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40.9%</w:t>
            </w:r>
          </w:p>
        </w:tc>
        <w:tc>
          <w:tcPr>
            <w:tcW w:type="dxa" w:w="117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73.5%</w:t>
            </w:r>
          </w:p>
        </w:tc>
        <w:tc>
          <w:tcPr>
            <w:tcW w:type="dxa" w:w="117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+4.40%</w:t>
            </w:r>
          </w:p>
        </w:tc>
        <w:tc>
          <w:tcPr>
            <w:tcW w:type="dxa" w:w="117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-</w:t>
            </w:r>
          </w:p>
        </w:tc>
        <w:tc>
          <w:tcPr>
            <w:tcW w:type="dxa" w:w="117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49.2일</w:t>
            </w:r>
          </w:p>
        </w:tc>
        <w:tc>
          <w:tcPr>
            <w:tcW w:type="dxa" w:w="117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78건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맑은 고딕" w:hAnsi="맑은 고딕"/>
          <w:b/>
          <w:color w:val="1E3A8A"/>
          <w:sz w:val="30"/>
        </w:rPr>
        <w:t>7. 실전 매매 운용 가이드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1. '60점'은 절대적인 진입 마지노선: </w:t>
      </w:r>
      <w:r>
        <w:rPr>
          <w:rFonts w:ascii="맑은 고딕" w:hAnsi="맑은 고딕"/>
          <w:color w:val="334155"/>
          <w:sz w:val="20"/>
        </w:rPr>
        <w:t>매수 신호가 발생하더라도 AI 점수가 60점 미만인 종목은 원칙적으로 진입을 제외(Pass)합니다. 이것만으로 전체 41%에 달하는 저효율 지뢰를 걸러내어 계좌 승률을 73.5%에서 87.5%로 끌어올립니다.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2. 75점 이상 발견 시 비중 확대 (Strong Buy): </w:t>
      </w:r>
      <w:r>
        <w:rPr>
          <w:rFonts w:ascii="맑은 고딕" w:hAnsi="맑은 고딕"/>
          <w:color w:val="334155"/>
          <w:sz w:val="20"/>
        </w:rPr>
        <w:t>75점 이상 타점은 승률 90.7%~96.3%, 손익비 12~13배에 달하는 초특급 기회이므로, 포트폴리오 여유 자금 내에서 최우선으로 비중을 싣습니다.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3. 조기 익절을 통한 자금 회전 극대화: </w:t>
      </w:r>
      <w:r>
        <w:rPr>
          <w:rFonts w:ascii="맑은 고딕" w:hAnsi="맑은 고딕"/>
          <w:color w:val="334155"/>
          <w:sz w:val="20"/>
        </w:rPr>
        <w:t>80점 이상 종목은 평균 33.6일 만에 조기 익절을 달성하여 자금 묶임 현상을 최소화하고 연간 자금 회전율을 극대화합니다.</w:t>
      </w:r>
    </w:p>
    <w:p>
      <w:pPr>
        <w:spacing w:after="80" w:line="288" w:lineRule="auto"/>
      </w:pPr>
      <w:r>
        <w:rPr>
          <w:rFonts w:ascii="맑은 고딕" w:hAnsi="맑은 고딕"/>
          <w:b/>
          <w:color w:val="0F172A"/>
          <w:sz w:val="20"/>
        </w:rPr>
        <w:t xml:space="preserve">4. 스크리너 자동화 연동: </w:t>
      </w:r>
      <w:r>
        <w:rPr>
          <w:rFonts w:ascii="맑은 고딕" w:hAnsi="맑은 고딕"/>
          <w:color w:val="334155"/>
          <w:sz w:val="20"/>
        </w:rPr>
        <w:t>관리자 화면(admin.html)의 퀀트 전략 설정에서 [우선순위: AI 점수 큰 순서대로]로 지정해두면, 매일 저녁 복수 신호 발생 시 자동으로 최우량 타점부터 상단 정렬되어 손쉽게 주문할 수 있습니다.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