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4.png" ContentType="image/png"/>
  <Override PartName="/word/media/rId46.png" ContentType="image/png"/>
  <Override PartName="/word/media/rId40.png" ContentType="image/png"/>
  <Override PartName="/word/media/rId35.png" ContentType="image/png"/>
  <Override PartName="/word/media/rId30.png" ContentType="image/png"/>
  <Override PartName="/word/media/rId37.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ktmeaton/obsidian-public@a8dc0203</w:t>
        </w:r>
      </w:hyperlink>
      <w:r>
        <w:t xml:space="preserve"> </w:t>
      </w:r>
      <w:r>
        <w:t xml:space="preserve">on July 5,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t xml:space="preserve"> </w:t>
      </w:r>
      <w:r>
        <w:t xml:space="preserve"> </w:t>
      </w:r>
      <w:r>
        <w:t xml:space="preserve">McMaster Ancient DNA Center; Department of Biology, McMaster University</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28" w:name="introduction"/>
      <w:r>
        <w:t xml:space="preserve">Introduction</w:t>
      </w:r>
      <w:bookmarkEnd w:id="28"/>
    </w:p>
    <w:p>
      <w:pPr>
        <w:numPr>
          <w:ilvl w:val="0"/>
          <w:numId w:val="1002"/>
        </w:numPr>
        <w:pStyle w:val="Compact"/>
      </w:pPr>
      <w:r>
        <w:t xml:space="preserve">When and where does plague (</w:t>
      </w:r>
      <w:r>
        <w:rPr>
          <w:i/>
        </w:rPr>
        <w:t xml:space="preserve">Y. pestis</w:t>
      </w:r>
      <w:r>
        <w:t xml:space="preserve">) appear in Denmark?</w:t>
      </w:r>
    </w:p>
    <w:p>
      <w:pPr>
        <w:numPr>
          <w:ilvl w:val="0"/>
          <w:numId w:val="1002"/>
        </w:numPr>
        <w:pStyle w:val="Compact"/>
      </w:pPr>
      <w:r>
        <w:t xml:space="preserve">How are Danish outbreaks of plague connected to the global Second Pandemic?</w:t>
      </w:r>
    </w:p>
    <w:p>
      <w:pPr>
        <w:pStyle w:val="Heading2"/>
      </w:pPr>
      <w:bookmarkStart w:id="29" w:name="data-collection"/>
      <w:r>
        <w:t xml:space="preserve">Data Collection</w:t>
      </w:r>
      <w:bookmarkEnd w:id="29"/>
    </w:p>
    <w:p>
      <w:pPr>
        <w:pStyle w:val="FirstParagraph"/>
      </w:pPr>
      <w:r>
        <w:t xml:space="preserve">326 individuals were sampled across 6 regions from 14 archaeological sites (Table</w:t>
      </w:r>
      <w:r>
        <w:t xml:space="preserve"> </w:t>
      </w:r>
      <w:hyperlink w:anchor="tbl:site_summary">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r>
      <w:tr>
        <w:tc>
          <w:p>
            <w:pPr>
              <w:pStyle w:val="Compact"/>
              <w:jc w:val="center"/>
            </w:pPr>
            <w:r>
              <w:t xml:space="preserve">Nordby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r>
      <w:tr>
        <w:tc>
          <w:p>
            <w:pPr>
              <w:pStyle w:val="Compact"/>
              <w:jc w:val="center"/>
            </w:pPr>
            <w:r>
              <w:rPr>
                <w:b/>
              </w:rPr>
              <w:t xml:space="preserve">Total</w:t>
            </w:r>
          </w:p>
        </w:tc>
        <w:tc>
          <w:p/>
        </w:tc>
        <w:tc>
          <w:p/>
        </w:tc>
        <w:tc>
          <w:p/>
        </w:tc>
        <w:tc>
          <w:p>
            <w:pPr>
              <w:pStyle w:val="Compact"/>
              <w:jc w:val="center"/>
            </w:pPr>
            <w:r>
              <w:t xml:space="preserve">326</w:t>
            </w:r>
          </w:p>
        </w:tc>
      </w:tr>
    </w:tbl>
    <w:bookmarkEnd w:id="0"/>
    <w:bookmarkStart w:id="0" w:name="fig:map_sites"/>
    <w:p>
      <w:pPr>
        <w:pStyle w:val="CaptionedFigure"/>
      </w:pPr>
      <w:bookmarkStart w:id="31" w:name="fig:map_sites"/>
      <w:r>
        <w:drawing>
          <wp:inline>
            <wp:extent cx="2346730" cy="2397148"/>
            <wp:effectExtent b="0" l="0" r="0" t="0"/>
            <wp:docPr descr="Figure 1: Geographic map of archaeological sites by region." title="" id="1" name="Picture"/>
            <a:graphic>
              <a:graphicData uri="http://schemas.openxmlformats.org/drawingml/2006/picture">
                <pic:pic>
                  <pic:nvPicPr>
                    <pic:cNvPr descr="https://rawcdn.githack.com/ktmeaton/plague-phylogeography-projects/e6877b0/denmark/beast/all/chromosome/full/filter30/relaxed_clock/dates/run/site_map.png" id="0" name="Picture"/>
                    <pic:cNvPicPr>
                      <a:picLocks noChangeArrowheads="1" noChangeAspect="1"/>
                    </pic:cNvPicPr>
                  </pic:nvPicPr>
                  <pic:blipFill>
                    <a:blip r:embed="rId30"/>
                    <a:stretch>
                      <a:fillRect/>
                    </a:stretch>
                  </pic:blipFill>
                  <pic:spPr bwMode="auto">
                    <a:xfrm>
                      <a:off x="0" y="0"/>
                      <a:ext cx="2346730" cy="2397148"/>
                    </a:xfrm>
                    <a:prstGeom prst="rect">
                      <a:avLst/>
                    </a:prstGeom>
                    <a:noFill/>
                    <a:ln w="9525">
                      <a:noFill/>
                      <a:headEnd/>
                      <a:tailEnd/>
                    </a:ln>
                  </pic:spPr>
                </pic:pic>
              </a:graphicData>
            </a:graphic>
          </wp:inline>
        </w:drawing>
      </w:r>
      <w:bookmarkEnd w:id="31"/>
    </w:p>
    <w:p>
      <w:pPr>
        <w:pStyle w:val="ImageCaption"/>
      </w:pPr>
      <w:r>
        <w:t xml:space="preserve">Figure 1: Geographic map of archaeological sites by region.</w:t>
      </w:r>
    </w:p>
    <w:bookmarkEnd w:id="0"/>
    <w:p>
      <w:pPr>
        <w:pStyle w:val="Heading2"/>
      </w:pPr>
      <w:bookmarkStart w:id="32" w:name="plague-detection"/>
      <w:r>
        <w:t xml:space="preserve">Plague Detection</w:t>
      </w:r>
      <w:bookmarkEnd w:id="32"/>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 (3X mean coverage).</w:t>
      </w:r>
    </w:p>
    <w:p>
      <w:pPr>
        <w:pStyle w:val="BodyText"/>
      </w:pPr>
      <w:r>
        <w:t xml:space="preserve">The positivity rate for plague was 4% of all individuals, or 8.2% when excluding plague-negative archaeological sites.</w:t>
      </w:r>
    </w:p>
    <w:p>
      <w:pPr>
        <w:pStyle w:val="BodyText"/>
      </w:pPr>
      <w:r>
        <w:rPr>
          <w:i/>
        </w:rPr>
        <w:t xml:space="preserve">Y. pestis</w:t>
      </w:r>
      <w:r>
        <w:t xml:space="preserve"> </w:t>
      </w:r>
      <w:r>
        <w:t xml:space="preserve">was observed exclusively in the Medieval Period, with no evidence of plague in the Viking Age settlements at Ribe Lindegärden (N=20) or the Early Modern cemetery at Horsens (N=50). However, the absence of evidence for plague in these periods may be a false-negative, given that these time periods are sparsely sampled.</w:t>
      </w:r>
    </w:p>
    <w:p>
      <w:pPr>
        <w:pStyle w:val="BlockText"/>
      </w:pPr>
      <w:r>
        <w:rPr>
          <w:b/>
        </w:rPr>
        <w:t xml:space="preserve">Kat’s Notes</w:t>
      </w:r>
      <w:r>
        <w:t xml:space="preserve">:</w:t>
      </w:r>
      <w:r>
        <w:t xml:space="preserve"> </w:t>
      </w:r>
      <w:r>
        <w:t xml:space="preserve">- Are G25A and G25B two individuals from the same grave?</w:t>
      </w:r>
    </w:p>
    <w:bookmarkStart w:id="0" w:name="tbl:plague_positive_high_coverage"/>
    <w:p>
      <w:pPr>
        <w:pStyle w:val="TableCaption"/>
      </w:pPr>
      <w:r>
        <w:t xml:space="preserve">Table 2: Plague positive summary of high coverage genomes.</w:t>
      </w:r>
      <w:r>
        <w:t xml:space="preserve"> </w:t>
      </w:r>
    </w:p>
    <w:tbl>
      <w:tblPr>
        <w:tblStyle w:val="Table"/>
        <w:tblW w:type="pct" w:w="0.0"/>
        <w:tblLook w:firstRow="1"/>
        <w:tblCaption w:val="Table 2: Plague positive summary of high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w:t>
      </w:r>
      <w:r>
        <w:t xml:space="preserve"> </w:t>
      </w:r>
    </w:p>
    <w:tbl>
      <w:tblPr>
        <w:tblStyle w:val="Table"/>
        <w:tblW w:type="pct" w:w="0.0"/>
        <w:tblLook w:firstRow="1"/>
        <w:tblCaption w:val="Table 3: Plague positive summary of low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2"/>
      </w:pPr>
      <w:bookmarkStart w:id="33" w:name="skeletal-dating"/>
      <w:r>
        <w:t xml:space="preserve">Skeletal Dating</w:t>
      </w:r>
      <w:bookmarkEnd w:id="33"/>
    </w:p>
    <w:p>
      <w:pPr>
        <w:pStyle w:val="FirstParagraph"/>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r>
        <w:t xml:space="preserve"> </w:t>
      </w:r>
      <w:r>
        <w:t xml:space="preserve">[</w:t>
      </w:r>
      <w:hyperlink w:anchor="ref-eD3kpkYB">
        <w:r>
          <w:rPr>
            <w:rStyle w:val="Hyperlink"/>
          </w:rPr>
          <w:t xml:space="preserve">1</w:t>
        </w:r>
      </w:hyperlink>
      <w:r>
        <w:t xml:space="preserve">]</w:t>
      </w:r>
      <w:r>
        <w:t xml:space="preserve">.</w:t>
      </w:r>
      <w:r>
        <w:t xml:space="preserve"> </w:t>
      </w:r>
      <w:r>
        <w:t xml:space="preserve">Aspects of dating of cemetery samples has been discussed for Nordby (Skov 2002), Refshale (Snedker 1973), St. Mikkel (Vellev 1979).</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 </w:t>
      </w:r>
      <w:r>
        <w:t xml:space="preserve">[</w:t>
      </w:r>
      <w:hyperlink w:anchor="ref-eD3kpkYB">
        <w:r>
          <w:rPr>
            <w:rStyle w:val="Hyperlink"/>
          </w:rPr>
          <w:t xml:space="preserve">1</w:t>
        </w:r>
      </w:hyperlink>
      <w:r>
        <w:t xml:space="preserve">]</w:t>
      </w:r>
      <w:r>
        <w:t xml:space="preserve">.</w:t>
      </w:r>
    </w:p>
    <w:p>
      <w:pPr>
        <w:pStyle w:val="Heading2"/>
      </w:pPr>
      <w:bookmarkStart w:id="34" w:name="molecular-dating"/>
      <w:r>
        <w:t xml:space="preserve">Molecular Dating</w:t>
      </w:r>
      <w:bookmarkEnd w:id="34"/>
    </w:p>
    <w:p>
      <w:pPr>
        <w:pStyle w:val="FirstParagraph"/>
      </w:pPr>
      <w:r>
        <w:t xml:space="preserve">The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4</w:t>
        </w:r>
      </w:hyperlink>
      <w:r>
        <w:t xml:space="preserve">. All molecular dates had overlap with the expected range of site occupation dates, with the exception of individual G371 from the site of Tirup. To investigate this disparity, we performed 14C radiocarbon dating on this sample (Figure</w:t>
      </w:r>
      <w:r>
        <w:t xml:space="preserve"> </w:t>
      </w:r>
      <w:hyperlink w:anchor="fig:radiocarbon_g371">
        <w:r>
          <w:rPr>
            <w:rStyle w:val="Hyperlink"/>
          </w:rPr>
          <w:t xml:space="preserve">2</w:t>
        </w:r>
      </w:hyperlink>
      <w:r>
        <w:t xml:space="preserve">). The radiocarbon estimate largely agrees with the site occupation date, with an estimated mean date of 1260 CE (+/- 75 yrs with 1 sigma). The 2 sigma distribution of the radiocarbon date extends to 1430 CE which does overlap with the molecular date.</w:t>
      </w:r>
    </w:p>
    <w:bookmarkStart w:id="0" w:name="tbl:tip_dating_summary"/>
    <w:p>
      <w:pPr>
        <w:pStyle w:val="TableCaption"/>
      </w:pPr>
      <w:r>
        <w:t xml:space="preserve">Table 4: Summary of the</w:t>
      </w:r>
      <w:r>
        <w:t xml:space="preserve"> </w:t>
      </w:r>
      <w:r>
        <w:rPr>
          <w:i/>
        </w:rPr>
        <w:t xml:space="preserve">Y. pestis</w:t>
      </w:r>
      <w:r>
        <w:t xml:space="preserve"> </w:t>
      </w:r>
      <w:r>
        <w:t xml:space="preserve">molecular date. The estimated tip date reflects the 95% highest posterior density.</w:t>
      </w:r>
      <w:r>
        <w:t xml:space="preserve"> </w:t>
      </w:r>
    </w:p>
    <w:tbl>
      <w:tblPr>
        <w:tblStyle w:val="Table"/>
        <w:tblW w:type="pct" w:w="0.0"/>
        <w:tblLook w:firstRow="1"/>
        <w:tblCaption w:val="Table 4: Summary of the Y. pestis molecular date.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Sejet</w:t>
            </w:r>
          </w:p>
        </w:tc>
        <w:tc>
          <w:p>
            <w:pPr>
              <w:pStyle w:val="Compact"/>
              <w:jc w:val="center"/>
            </w:pPr>
            <w:r>
              <w:t xml:space="preserve">1150 - 1574</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Tirup</w:t>
            </w:r>
          </w:p>
        </w:tc>
        <w:tc>
          <w:p>
            <w:pPr>
              <w:pStyle w:val="Compact"/>
              <w:jc w:val="center"/>
            </w:pPr>
            <w:r>
              <w:t xml:space="preserve">1150 - 1350</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Faldborg</w:t>
            </w:r>
          </w:p>
        </w:tc>
        <w:tc>
          <w:p>
            <w:pPr>
              <w:pStyle w:val="Compact"/>
              <w:jc w:val="center"/>
            </w:pPr>
            <w:r>
              <w:t xml:space="preserve">1100 - 1600</w:t>
            </w:r>
          </w:p>
        </w:tc>
        <w:tc>
          <w:p>
            <w:pPr>
              <w:pStyle w:val="Compact"/>
              <w:jc w:val="center"/>
            </w:pPr>
            <w:r>
              <w:t xml:space="preserve">1539 - 1655</w:t>
            </w:r>
          </w:p>
        </w:tc>
      </w:tr>
    </w:tbl>
    <w:bookmarkEnd w:id="0"/>
    <w:bookmarkStart w:id="0" w:name="fig:radiocarbon_g371"/>
    <w:p>
      <w:pPr>
        <w:pStyle w:val="CaptionedFigure"/>
      </w:pPr>
      <w:bookmarkStart w:id="36" w:name="fig:radiocarbon_g371"/>
      <w:r>
        <w:drawing>
          <wp:inline>
            <wp:extent cx="2376216" cy="2067339"/>
            <wp:effectExtent b="0" l="0" r="0" t="0"/>
            <wp:docPr descr="Figure 2: Radiocarbon dating of G371." title="" id="1" name="Picture"/>
            <a:graphic>
              <a:graphicData uri="http://schemas.openxmlformats.org/drawingml/2006/picture">
                <pic:pic>
                  <pic:nvPicPr>
                    <pic:cNvPr descr="https://rawcdn.githack.com/ktmeaton/plague-phylogeography-projects/7be6a02/denmark/metadata/all/radiocarbon_G371.png" id="0" name="Picture"/>
                    <pic:cNvPicPr>
                      <a:picLocks noChangeArrowheads="1" noChangeAspect="1"/>
                    </pic:cNvPicPr>
                  </pic:nvPicPr>
                  <pic:blipFill>
                    <a:blip r:embed="rId35"/>
                    <a:stretch>
                      <a:fillRect/>
                    </a:stretch>
                  </pic:blipFill>
                  <pic:spPr bwMode="auto">
                    <a:xfrm>
                      <a:off x="0" y="0"/>
                      <a:ext cx="2376216" cy="2067339"/>
                    </a:xfrm>
                    <a:prstGeom prst="rect">
                      <a:avLst/>
                    </a:prstGeom>
                    <a:noFill/>
                    <a:ln w="9525">
                      <a:noFill/>
                      <a:headEnd/>
                      <a:tailEnd/>
                    </a:ln>
                  </pic:spPr>
                </pic:pic>
              </a:graphicData>
            </a:graphic>
          </wp:inline>
        </w:drawing>
      </w:r>
      <w:bookmarkEnd w:id="36"/>
    </w:p>
    <w:p>
      <w:pPr>
        <w:pStyle w:val="ImageCaption"/>
      </w:pPr>
      <w:r>
        <w:t xml:space="preserve">Figure 2: Radiocarbon dating of G371.</w:t>
      </w:r>
    </w:p>
    <w:bookmarkEnd w:id="0"/>
    <w:bookmarkStart w:id="0" w:name="fig:timeline_sites"/>
    <w:p>
      <w:pPr>
        <w:pStyle w:val="CaptionedFigure"/>
      </w:pPr>
      <w:bookmarkStart w:id="38" w:name="fig:timeline_sites"/>
      <w:r>
        <w:drawing>
          <wp:inline>
            <wp:extent cx="4907433" cy="5913732"/>
            <wp:effectExtent b="0" l="0" r="0" t="0"/>
            <wp:docPr descr="Figure 3: Timeline of archaeological sites and plague-positive individuals. The shaded range spans the highest probability period from the oldest to the youngest sample." title="" id="1" name="Picture"/>
            <a:graphic>
              <a:graphicData uri="http://schemas.openxmlformats.org/drawingml/2006/picture">
                <pic:pic>
                  <pic:nvPicPr>
                    <pic:cNvPr descr="https://rawcdn.githack.com/ktmeaton/plague-phylogeography-projects/e6877b0/denmark/beast/all/chromosome/full/filter30/relaxed_clock/dates/run/site_timeline.png" id="0" name="Picture"/>
                    <pic:cNvPicPr>
                      <a:picLocks noChangeArrowheads="1" noChangeAspect="1"/>
                    </pic:cNvPicPr>
                  </pic:nvPicPr>
                  <pic:blipFill>
                    <a:blip r:embed="rId37"/>
                    <a:stretch>
                      <a:fillRect/>
                    </a:stretch>
                  </pic:blipFill>
                  <pic:spPr bwMode="auto">
                    <a:xfrm>
                      <a:off x="0" y="0"/>
                      <a:ext cx="4907433" cy="5913732"/>
                    </a:xfrm>
                    <a:prstGeom prst="rect">
                      <a:avLst/>
                    </a:prstGeom>
                    <a:noFill/>
                    <a:ln w="9525">
                      <a:noFill/>
                      <a:headEnd/>
                      <a:tailEnd/>
                    </a:ln>
                  </pic:spPr>
                </pic:pic>
              </a:graphicData>
            </a:graphic>
          </wp:inline>
        </w:drawing>
      </w:r>
      <w:bookmarkEnd w:id="38"/>
    </w:p>
    <w:p>
      <w:pPr>
        <w:pStyle w:val="ImageCaption"/>
      </w:pPr>
      <w:r>
        <w:t xml:space="preserve">Figure 3: Timeline of archaeological sites and plague-positive individuals. The shaded range spans the highest probability period from the oldest to the youngest sample.</w:t>
      </w:r>
    </w:p>
    <w:bookmarkEnd w:id="0"/>
    <w:p>
      <w:pPr>
        <w:pStyle w:val="Heading3"/>
      </w:pPr>
      <w:bookmarkStart w:id="39" w:name="phylogeny"/>
      <w:r>
        <w:t xml:space="preserve">Phylogeny</w:t>
      </w:r>
      <w:bookmarkEnd w:id="39"/>
    </w:p>
    <w:p>
      <w:pPr>
        <w:pStyle w:val="FirstParagraph"/>
      </w:pPr>
      <w:r>
        <w:t xml:space="preserve">The time-scaled phylogeny reveals geographic and temporal structure during the Second Pandemic (Figure</w:t>
      </w:r>
      <w:r>
        <w:t xml:space="preserve"> </w:t>
      </w:r>
      <w:hyperlink w:anchor="fig:1.PRE_timetree">
        <w:r>
          <w:rPr>
            <w:rStyle w:val="Hyperlink"/>
          </w:rPr>
          <w:t xml:space="preserve">4</w:t>
        </w:r>
      </w:hyperlink>
      <w:r>
        <w:t xml:space="preserve">).</w:t>
      </w:r>
    </w:p>
    <w:bookmarkStart w:id="0" w:name="fig:1.PRE_timetree"/>
    <w:p>
      <w:pPr>
        <w:pStyle w:val="CaptionedFigure"/>
      </w:pPr>
      <w:bookmarkStart w:id="41" w:name="fig:1.PRE_timetree"/>
      <w:r>
        <w:drawing>
          <wp:inline>
            <wp:extent cx="5943600" cy="5808688"/>
            <wp:effectExtent b="0" l="0" r="0" t="0"/>
            <wp:docPr descr="Figure 4: Bayesian time-scaled phylogeny." title="" id="1" name="Picture"/>
            <a:graphic>
              <a:graphicData uri="http://schemas.openxmlformats.org/drawingml/2006/picture">
                <pic:pic>
                  <pic:nvPicPr>
                    <pic:cNvPr descr="https://rawcdn.githack.com/ktmeaton/plague-phylogeography-projects/137befa/denmark/auspice/all/chromosome/full/filter30/beast/1.PRE_timetree.png" id="0" name="Picture"/>
                    <pic:cNvPicPr>
                      <a:picLocks noChangeArrowheads="1" noChangeAspect="1"/>
                    </pic:cNvPicPr>
                  </pic:nvPicPr>
                  <pic:blipFill>
                    <a:blip r:embed="rId40"/>
                    <a:stretch>
                      <a:fillRect/>
                    </a:stretch>
                  </pic:blipFill>
                  <pic:spPr bwMode="auto">
                    <a:xfrm>
                      <a:off x="0" y="0"/>
                      <a:ext cx="5943600" cy="5808688"/>
                    </a:xfrm>
                    <a:prstGeom prst="rect">
                      <a:avLst/>
                    </a:prstGeom>
                    <a:noFill/>
                    <a:ln w="9525">
                      <a:noFill/>
                      <a:headEnd/>
                      <a:tailEnd/>
                    </a:ln>
                  </pic:spPr>
                </pic:pic>
              </a:graphicData>
            </a:graphic>
          </wp:inline>
        </w:drawing>
      </w:r>
      <w:bookmarkEnd w:id="41"/>
    </w:p>
    <w:p>
      <w:pPr>
        <w:pStyle w:val="ImageCaption"/>
      </w:pPr>
      <w:r>
        <w:t xml:space="preserve">Figure 4: Bayesian time-scaled phylogeny.</w:t>
      </w:r>
    </w:p>
    <w:bookmarkEnd w:id="0"/>
    <w:p>
      <w:pPr>
        <w:pStyle w:val="BlockText"/>
      </w:pPr>
      <w:r>
        <w:rPr>
          <w:b/>
        </w:rPr>
        <w:t xml:space="preserve">Phase 1: 1300-1450</w:t>
      </w:r>
      <w:r>
        <w:t xml:space="preserve"> </w:t>
      </w:r>
      <w:r>
        <w:t xml:space="preserve">- All</w:t>
      </w:r>
      <w:r>
        <w:t xml:space="preserve"> </w:t>
      </w:r>
      <w:r>
        <w:rPr>
          <w:i/>
        </w:rPr>
        <w:t xml:space="preserve">Y. pestis</w:t>
      </w:r>
      <w:r>
        <w:t xml:space="preserve"> </w:t>
      </w:r>
      <w:r>
        <w:t xml:space="preserve">genomes from the 14th century cluster together.</w:t>
      </w:r>
      <w:r>
        <w:t xml:space="preserve"> </w:t>
      </w:r>
      <w:r>
        <w:t xml:space="preserve">- Samples from the early-mid 1300s are widely dispersed across Europe (Figure</w:t>
      </w:r>
      <w:r>
        <w:t xml:space="preserve"> </w:t>
      </w:r>
      <w:hyperlink w:anchor="fig:map_phase_1">
        <w:r>
          <w:rPr>
            <w:rStyle w:val="Hyperlink"/>
          </w:rPr>
          <w:t xml:space="preserve">5</w:t>
        </w:r>
      </w:hyperlink>
      <w:r>
        <w:t xml:space="preserve">), and have highly similar genetic content resulting poorly resolved branching order. This suggests rapid, epidemic spread, thought to be associated with the Black Death.</w:t>
      </w:r>
      <w:r>
        <w:t xml:space="preserve"> </w:t>
      </w:r>
      <w:r>
        <w:t xml:space="preserve">- Samples from the late 1300s also cluster together, and are linked to the</w:t>
      </w:r>
      <w:r>
        <w:t xml:space="preserve"> </w:t>
      </w:r>
      <w:r>
        <w:rPr>
          <w:i/>
        </w:rPr>
        <w:t xml:space="preserve">pestis segunda</w:t>
      </w:r>
      <w:r>
        <w:t xml:space="preserve"> </w:t>
      </w:r>
      <w:r>
        <w:t xml:space="preserve">series of epidemics in Europe.</w:t>
      </w:r>
      <w:r>
        <w:t xml:space="preserve"> </w:t>
      </w:r>
      <w:r>
        <w:t xml:space="preserve">- The only Danish samples in Phase I are from Ribe, and fall within both the Black Death and</w:t>
      </w:r>
      <w:r>
        <w:t xml:space="preserve"> </w:t>
      </w:r>
      <w:r>
        <w:rPr>
          <w:i/>
        </w:rPr>
        <w:t xml:space="preserve">pestis segunda</w:t>
      </w:r>
      <w:r>
        <w:t xml:space="preserve"> </w:t>
      </w:r>
      <w:r>
        <w:t xml:space="preserve">groups.</w:t>
      </w:r>
      <w:r>
        <w:t xml:space="preserve"> </w:t>
      </w:r>
      <w:r>
        <w:t xml:space="preserve">- These are primarily coastal sites, Germany and Russia as the exception.</w:t>
      </w:r>
    </w:p>
    <w:p>
      <w:pPr>
        <w:pStyle w:val="BlockText"/>
      </w:pPr>
      <w:r>
        <w:rPr>
          <w:b/>
        </w:rPr>
        <w:t xml:space="preserve">Phase 2: 1450-1600</w:t>
      </w:r>
      <w:r>
        <w:t xml:space="preserve"> </w:t>
      </w:r>
      <w:r>
        <w:t xml:space="preserve">- A very curious branching pattern, lots of</w:t>
      </w:r>
      <w:r>
        <w:t xml:space="preserve"> </w:t>
      </w:r>
      <w:r>
        <w:t xml:space="preserve">‘</w:t>
      </w:r>
      <w:r>
        <w:t xml:space="preserve">independent</w:t>
      </w:r>
      <w:r>
        <w:t xml:space="preserve">’</w:t>
      </w:r>
      <w:r>
        <w:t xml:space="preserve"> </w:t>
      </w:r>
      <w:r>
        <w:t xml:space="preserve">emergences rather than monophyletic clades.</w:t>
      </w:r>
      <w:r>
        <w:t xml:space="preserve"> </w:t>
      </w:r>
      <w:r>
        <w:t xml:space="preserve">- All Danish samples from the Horsens region fall here, and although they have temporal overlap with each other, the lineages of plague are distinct.</w:t>
      </w:r>
      <w:r>
        <w:t xml:space="preserve"> </w:t>
      </w:r>
      <w:r>
        <w:t xml:space="preserve">- …</w:t>
      </w:r>
    </w:p>
    <w:p>
      <w:pPr>
        <w:pStyle w:val="BlockText"/>
      </w:pPr>
      <w:r>
        <w:rPr>
          <w:b/>
        </w:rPr>
        <w:t xml:space="preserve">Phase 3: 1600-1800</w:t>
      </w:r>
      <w:r>
        <w:t xml:space="preserve"> </w:t>
      </w:r>
      <w:r>
        <w:t xml:space="preserve">- …</w:t>
      </w:r>
    </w:p>
    <w:bookmarkStart w:id="0" w:name="fig:map_phase_1"/>
    <w:p>
      <w:pPr>
        <w:pStyle w:val="CaptionedFigure"/>
      </w:pPr>
      <w:bookmarkStart w:id="43" w:name="fig:map_phase_1"/>
      <w:r>
        <w:drawing>
          <wp:inline>
            <wp:extent cx="5943600" cy="4761023"/>
            <wp:effectExtent b="0" l="0" r="0" t="0"/>
            <wp:docPr descr="Figure 5: Phase 1: 1300 - 1450" title="" id="1" name="Picture"/>
            <a:graphic>
              <a:graphicData uri="http://schemas.openxmlformats.org/drawingml/2006/picture">
                <pic:pic>
                  <pic:nvPicPr>
                    <pic:cNvPr descr="https://rawcdn.githack.com/ktmeaton/obsidian-public/c233139/academic/Map%20Black%20Death%20and%20pestis%20segunda.png" id="0" name="Picture"/>
                    <pic:cNvPicPr>
                      <a:picLocks noChangeArrowheads="1" noChangeAspect="1"/>
                    </pic:cNvPicPr>
                  </pic:nvPicPr>
                  <pic:blipFill>
                    <a:blip r:embed="rId42"/>
                    <a:stretch>
                      <a:fillRect/>
                    </a:stretch>
                  </pic:blipFill>
                  <pic:spPr bwMode="auto">
                    <a:xfrm>
                      <a:off x="0" y="0"/>
                      <a:ext cx="5943600" cy="4761023"/>
                    </a:xfrm>
                    <a:prstGeom prst="rect">
                      <a:avLst/>
                    </a:prstGeom>
                    <a:noFill/>
                    <a:ln w="9525">
                      <a:noFill/>
                      <a:headEnd/>
                      <a:tailEnd/>
                    </a:ln>
                  </pic:spPr>
                </pic:pic>
              </a:graphicData>
            </a:graphic>
          </wp:inline>
        </w:drawing>
      </w:r>
      <w:bookmarkEnd w:id="43"/>
    </w:p>
    <w:p>
      <w:pPr>
        <w:pStyle w:val="ImageCaption"/>
      </w:pPr>
      <w:r>
        <w:t xml:space="preserve">Figure 5: Phase 1: 1300 - 1450</w:t>
      </w:r>
    </w:p>
    <w:bookmarkEnd w:id="0"/>
    <w:bookmarkStart w:id="0" w:name="fig:map_phase_2"/>
    <w:p>
      <w:pPr>
        <w:pStyle w:val="CaptionedFigure"/>
      </w:pPr>
      <w:bookmarkStart w:id="45" w:name="fig:map_phase_2"/>
      <w:r>
        <w:drawing>
          <wp:inline>
            <wp:extent cx="5943600" cy="4753354"/>
            <wp:effectExtent b="0" l="0" r="0" t="0"/>
            <wp:docPr descr="Figure 6: Phase 2: 1450 - 1600" title="" id="1" name="Picture"/>
            <a:graphic>
              <a:graphicData uri="http://schemas.openxmlformats.org/drawingml/2006/picture">
                <pic:pic>
                  <pic:nvPicPr>
                    <pic:cNvPr descr="https://rawcdn.githack.com/ktmeaton/obsidian-public/c233139/academic/Map%20Phase%202.png" id="0" name="Picture"/>
                    <pic:cNvPicPr>
                      <a:picLocks noChangeArrowheads="1" noChangeAspect="1"/>
                    </pic:cNvPicPr>
                  </pic:nvPicPr>
                  <pic:blipFill>
                    <a:blip r:embed="rId44"/>
                    <a:stretch>
                      <a:fillRect/>
                    </a:stretch>
                  </pic:blipFill>
                  <pic:spPr bwMode="auto">
                    <a:xfrm>
                      <a:off x="0" y="0"/>
                      <a:ext cx="5943600" cy="4753354"/>
                    </a:xfrm>
                    <a:prstGeom prst="rect">
                      <a:avLst/>
                    </a:prstGeom>
                    <a:noFill/>
                    <a:ln w="9525">
                      <a:noFill/>
                      <a:headEnd/>
                      <a:tailEnd/>
                    </a:ln>
                  </pic:spPr>
                </pic:pic>
              </a:graphicData>
            </a:graphic>
          </wp:inline>
        </w:drawing>
      </w:r>
      <w:bookmarkEnd w:id="45"/>
    </w:p>
    <w:p>
      <w:pPr>
        <w:pStyle w:val="ImageCaption"/>
      </w:pPr>
      <w:r>
        <w:t xml:space="preserve">Figure 6: Phase 2: 1450 - 1600</w:t>
      </w:r>
    </w:p>
    <w:bookmarkEnd w:id="0"/>
    <w:bookmarkStart w:id="0" w:name="fig:map_phase_3"/>
    <w:p>
      <w:pPr>
        <w:pStyle w:val="CaptionedFigure"/>
      </w:pPr>
      <w:bookmarkStart w:id="47" w:name="fig:map_phase_3"/>
      <w:r>
        <w:drawing>
          <wp:inline>
            <wp:extent cx="5943600" cy="4796454"/>
            <wp:effectExtent b="0" l="0" r="0" t="0"/>
            <wp:docPr descr="Figure 7: Phase 3: 1600 - 1800" title="" id="1" name="Picture"/>
            <a:graphic>
              <a:graphicData uri="http://schemas.openxmlformats.org/drawingml/2006/picture">
                <pic:pic>
                  <pic:nvPicPr>
                    <pic:cNvPr descr="https://rawcdn.githack.com/ktmeaton/obsidian-public/c233139/academic/Map%20Phase%203.png" id="0" name="Picture"/>
                    <pic:cNvPicPr>
                      <a:picLocks noChangeArrowheads="1" noChangeAspect="1"/>
                    </pic:cNvPicPr>
                  </pic:nvPicPr>
                  <pic:blipFill>
                    <a:blip r:embed="rId46"/>
                    <a:stretch>
                      <a:fillRect/>
                    </a:stretch>
                  </pic:blipFill>
                  <pic:spPr bwMode="auto">
                    <a:xfrm>
                      <a:off x="0" y="0"/>
                      <a:ext cx="5943600" cy="4796454"/>
                    </a:xfrm>
                    <a:prstGeom prst="rect">
                      <a:avLst/>
                    </a:prstGeom>
                    <a:noFill/>
                    <a:ln w="9525">
                      <a:noFill/>
                      <a:headEnd/>
                      <a:tailEnd/>
                    </a:ln>
                  </pic:spPr>
                </pic:pic>
              </a:graphicData>
            </a:graphic>
          </wp:inline>
        </w:drawing>
      </w:r>
      <w:bookmarkEnd w:id="47"/>
    </w:p>
    <w:p>
      <w:pPr>
        <w:pStyle w:val="ImageCaption"/>
      </w:pPr>
      <w:r>
        <w:t xml:space="preserve">Figure 7: Phase 3: 1600 - 1800</w:t>
      </w:r>
    </w:p>
    <w:bookmarkEnd w:id="0"/>
    <w:p>
      <w:pPr>
        <w:pStyle w:val="Heading2"/>
      </w:pPr>
      <w:bookmarkStart w:id="48" w:name="references"/>
      <w:r>
        <w:t xml:space="preserve">References</w:t>
      </w:r>
      <w:bookmarkEnd w:id="48"/>
    </w:p>
    <w:bookmarkStart w:id="51" w:name="refs"/>
    <w:bookmarkStart w:id="50" w:name="ref-eD3kpkYB"/>
    <w:p>
      <w:pPr>
        <w:pStyle w:val="Bibliography"/>
      </w:pPr>
      <w:r>
        <w:t xml:space="preserve">1.</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49">
        <w:r>
          <w:rPr>
            <w:rStyle w:val="Hyperlink"/>
          </w:rPr>
          <w:t xml:space="preserve">http://www.jstor.org/stable/29543069</w:t>
        </w:r>
      </w:hyperlink>
    </w:p>
    <w:bookmarkEnd w:id="50"/>
    <w:bookmarkEnd w:id="51"/>
    <w:p>
      <w:pPr>
        <w:pStyle w:val="Heading2"/>
      </w:pPr>
      <w:bookmarkStart w:id="52" w:name="appendix"/>
      <w:r>
        <w:t xml:space="preserve">Appendix</w:t>
      </w:r>
      <w:bookmarkEnd w:id="52"/>
    </w:p>
    <w:p>
      <w:pPr>
        <w:pStyle w:val="Heading3"/>
      </w:pPr>
      <w:bookmarkStart w:id="53" w:name="misc-notes"/>
      <w:r>
        <w:t xml:space="preserve">Misc Notes</w:t>
      </w:r>
      <w:bookmarkEnd w:id="53"/>
    </w:p>
    <w:bookmarkStart w:id="0" w:name="tbl:false_positive_summary"/>
    <w:p>
      <w:pPr>
        <w:pStyle w:val="TableCaption"/>
      </w:pPr>
      <w:r>
        <w:t xml:space="preserve">Table 5: Plague false positive summary.</w:t>
      </w:r>
      <w:r>
        <w:t xml:space="preserve"> </w:t>
      </w:r>
    </w:p>
    <w:tbl>
      <w:tblPr>
        <w:tblStyle w:val="Table"/>
        <w:tblW w:type="pct" w:w="0.0"/>
        <w:tblLook w:firstRow="1"/>
        <w:tblCaption w:val="Table 5: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BodyText"/>
      </w:pPr>
      <w:r>
        <w:t xml:space="preserve">To estimate dates for the plague-positive individuals,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uncorrelated lognormal relaxed clock (UCLN) (Table</w:t>
      </w:r>
      <w:r>
        <w:t xml:space="preserve"> </w:t>
      </w:r>
      <w:hyperlink w:anchor="tbl:bets_summary">
        <w:r>
          <w:rPr>
            <w:rStyle w:val="Hyperlink"/>
          </w:rPr>
          <w:t xml:space="preserve">6</w:t>
        </w:r>
      </w:hyperlink>
      <w:r>
        <w:t xml:space="preserve">). A comparison of the strict vs. relaxed clocks using collection date produced decisive support for the relaxed clock.</w:t>
      </w:r>
    </w:p>
    <w:bookmarkStart w:id="0" w:name="tbl:bets_summary"/>
    <w:p>
      <w:pPr>
        <w:pStyle w:val="TableCaption"/>
      </w:pPr>
      <w:r>
        <w:t xml:space="preserve">Table 6: Bayesian Evaluation of Temporal Signal (BETS) summary.</w:t>
      </w:r>
      <w:r>
        <w:t xml:space="preserve"> </w:t>
      </w:r>
    </w:p>
    <w:tbl>
      <w:tblPr>
        <w:tblStyle w:val="Table"/>
        <w:tblW w:type="pct" w:w="0.0"/>
        <w:tblLook w:firstRow="1"/>
        <w:tblCaption w:val="Table 6: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BodyText"/>
      </w:pPr>
      <w:r>
        <w:t xml:space="preserve">A time-scaled phylogeny with tip-dating was estimated using a relaxed clock and diffuse normal priors centered around the mean collection date.</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49" Target="http://www.jstor.org/stable/29543069"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a8dc0203"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2-0314-4160" TargetMode="External" /><Relationship Type="http://schemas.openxmlformats.org/officeDocument/2006/relationships/hyperlink" Id="rId20" Target="https://rawcdn.githack.com/ktmeaton/obsidian-public/a8dc0203/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49" Target="http://www.jstor.org/stable/29543069"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a8dc0203"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2-0314-4160" TargetMode="External" /><Relationship Type="http://schemas.openxmlformats.org/officeDocument/2006/relationships/hyperlink" Id="rId20" Target="https://rawcdn.githack.com/ktmeaton/obsidian-public/a8dc0203/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2021-07-05T22:38:29Z</dcterms:created>
  <dcterms:modified xsi:type="dcterms:W3CDTF">2021-07-05T22:38:29Z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