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68.png" ContentType="image/png"/>
  <Override PartName="/word/media/rId51.png" ContentType="image/png"/>
  <Override PartName="/word/media/rId46.png" ContentType="image/png"/>
  <Override PartName="/word/media/rId42.png" ContentType="image/png"/>
  <Override PartName="/word/media/rId37.png" ContentType="image/png"/>
  <Override PartName="/word/media/rId48.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ktmeaton/obsidian-public@4d790227</w:t>
        </w:r>
      </w:hyperlink>
      <w:r>
        <w:t xml:space="preserve"> </w:t>
      </w:r>
      <w:r>
        <w:t xml:space="preserve">on July 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0000-0001-7486-757X</w:t>
        </w:r>
      </w:hyperlink>
      <w:r>
        <w:t xml:space="preserve"> </w:t>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0000-0002-2850-0934</w:t>
        </w:r>
      </w:hyperlink>
      <w:r>
        <w:t xml:space="preserve"> </w:t>
      </w:r>
      <w:r>
        <w:t xml:space="preserve"> </w:t>
      </w:r>
      <w:r>
        <w:t xml:space="preserve">University of Southern Denmark; ADBOU</w:t>
      </w:r>
      <w:r>
        <w:t xml:space="preserve"> </w:t>
      </w:r>
    </w:p>
    <w:p>
      <w:pPr>
        <w:numPr>
          <w:ilvl w:val="0"/>
          <w:numId w:val="1001"/>
        </w:numPr>
      </w:pPr>
      <w:r>
        <w:rPr>
          <w:b/>
        </w:rPr>
        <w:t xml:space="preserve">Ann Carmichael</w:t>
      </w:r>
      <w:r>
        <w:t xml:space="preserve"> </w:t>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Heading3"/>
      </w:pPr>
      <w:bookmarkStart w:id="32" w:name="background"/>
      <w:r>
        <w:t xml:space="preserve">Background</w:t>
      </w:r>
      <w:bookmarkEnd w:id="32"/>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3" w:name="problem"/>
      <w:r>
        <w:t xml:space="preserve">Problem</w:t>
      </w:r>
      <w:bookmarkEnd w:id="33"/>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34" w:name="objectives"/>
      <w:r>
        <w:t xml:space="preserve">Objectives</w:t>
      </w:r>
      <w:bookmarkEnd w:id="34"/>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35" w:name="significance"/>
      <w:r>
        <w:t xml:space="preserve">Significance</w:t>
      </w:r>
      <w:bookmarkEnd w:id="35"/>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36" w:name="sites-and-samples"/>
      <w:r>
        <w:t xml:space="preserve">Sites and Samples</w:t>
      </w:r>
      <w:bookmarkEnd w:id="36"/>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8"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7"/>
                    <a:stretch>
                      <a:fillRect/>
                    </a:stretch>
                  </pic:blipFill>
                  <pic:spPr bwMode="auto">
                    <a:xfrm>
                      <a:off x="0" y="0"/>
                      <a:ext cx="2346730" cy="2397148"/>
                    </a:xfrm>
                    <a:prstGeom prst="rect">
                      <a:avLst/>
                    </a:prstGeom>
                    <a:noFill/>
                    <a:ln w="9525">
                      <a:noFill/>
                      <a:headEnd/>
                      <a:tailEnd/>
                    </a:ln>
                  </pic:spPr>
                </pic:pic>
              </a:graphicData>
            </a:graphic>
          </wp:inline>
        </w:drawing>
      </w:r>
      <w:bookmarkEnd w:id="38"/>
    </w:p>
    <w:p>
      <w:pPr>
        <w:pStyle w:val="ImageCaption"/>
      </w:pPr>
      <w:r>
        <w:t xml:space="preserve">Figure 1: Geographic map of archaeological sites by region.</w:t>
      </w:r>
    </w:p>
    <w:bookmarkEnd w:id="0"/>
    <w:p>
      <w:pPr>
        <w:pStyle w:val="Heading2"/>
      </w:pPr>
      <w:bookmarkStart w:id="39" w:name="plague-detection"/>
      <w:r>
        <w:t xml:space="preserve">Plague Detection</w:t>
      </w:r>
      <w:bookmarkEnd w:id="39"/>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of all individuals in this study. When excluding plague-negative archaeological sites, this estimate rises to 8.2%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40" w:name="dating"/>
      <w:r>
        <w:t xml:space="preserve">Dating</w:t>
      </w:r>
      <w:bookmarkEnd w:id="40"/>
    </w:p>
    <w:p>
      <w:pPr>
        <w:pStyle w:val="Heading3"/>
      </w:pPr>
      <w:bookmarkStart w:id="41" w:name="archaeology"/>
      <w:r>
        <w:t xml:space="preserve">Archaeology</w:t>
      </w:r>
      <w:bookmarkEnd w:id="41"/>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3"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2"/>
                    <a:stretch>
                      <a:fillRect/>
                    </a:stretch>
                  </pic:blipFill>
                  <pic:spPr bwMode="auto">
                    <a:xfrm>
                      <a:off x="0" y="0"/>
                      <a:ext cx="5943600" cy="4531777"/>
                    </a:xfrm>
                    <a:prstGeom prst="rect">
                      <a:avLst/>
                    </a:prstGeom>
                    <a:noFill/>
                    <a:ln w="9525">
                      <a:noFill/>
                      <a:headEnd/>
                      <a:tailEnd/>
                    </a:ln>
                  </pic:spPr>
                </pic:pic>
              </a:graphicData>
            </a:graphic>
          </wp:inline>
        </w:drawing>
      </w:r>
      <w:bookmarkEnd w:id="43"/>
    </w:p>
    <w:p>
      <w:pPr>
        <w:pStyle w:val="ImageCaption"/>
      </w:pPr>
      <w:r>
        <w:t xml:space="preserve">Figure 2: Arm position dating.</w:t>
      </w:r>
    </w:p>
    <w:bookmarkEnd w:id="0"/>
    <w:p>
      <w:pPr>
        <w:pStyle w:val="Heading3"/>
      </w:pPr>
      <w:bookmarkStart w:id="44" w:name="molecular"/>
      <w:r>
        <w:t xml:space="preserve">Molecular</w:t>
      </w:r>
      <w:bookmarkEnd w:id="44"/>
    </w:p>
    <w:p>
      <w:pPr>
        <w:pStyle w:val="FirstParagraph"/>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4</w:t>
        </w:r>
      </w:hyperlink>
      <w:r>
        <w:t xml:space="preserve">. Almost all molecular dates had overlap with the archaeological dates as determined by the site occupation period and burial patterns. The exception to this pattern was individual G371 from the site of Tirup.</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Heading3"/>
      </w:pPr>
      <w:bookmarkStart w:id="45" w:name="radiocarbon"/>
      <w:r>
        <w:t xml:space="preserve">Radiocarbon</w:t>
      </w:r>
      <w:bookmarkEnd w:id="45"/>
    </w:p>
    <w:p>
      <w:pPr>
        <w:pStyle w:val="FirstParagraph"/>
      </w:pPr>
      <w:r>
        <w:t xml:space="preserve">To investigate the dating disparity for G371, we performed 14C radiocarbon dating (Figure</w:t>
      </w:r>
      <w:r>
        <w:t xml:space="preserve"> </w:t>
      </w:r>
      <w:hyperlink w:anchor="fig:radiocarbon_g371">
        <w:r>
          <w:rPr>
            <w:rStyle w:val="Hyperlink"/>
          </w:rPr>
          <w:t xml:space="preserve">3</w:t>
        </w:r>
      </w:hyperlink>
      <w:r>
        <w:t xml:space="preserve">). The radiocarbon estimate largely agrees with the archaeological dates, with an estimated mean date of 1260 CE (+/- 75 yrs with 1 sigma). Thus there is robust evidence that the individual lived and died sometime between the late 12th and early 14th century</w:t>
      </w:r>
    </w:p>
    <w:p>
      <w:pPr>
        <w:pStyle w:val="BodyText"/>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fig:radiocarbon_g371"/>
    <w:p>
      <w:pPr>
        <w:pStyle w:val="CaptionedFigure"/>
      </w:pPr>
      <w:bookmarkStart w:id="47" w:name="fig:radiocarbon_g371"/>
      <w:r>
        <w:drawing>
          <wp:inline>
            <wp:extent cx="2376216" cy="2067339"/>
            <wp:effectExtent b="0" l="0" r="0" t="0"/>
            <wp:docPr descr="Figure 3: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46"/>
                    <a:stretch>
                      <a:fillRect/>
                    </a:stretch>
                  </pic:blipFill>
                  <pic:spPr bwMode="auto">
                    <a:xfrm>
                      <a:off x="0" y="0"/>
                      <a:ext cx="2376216" cy="2067339"/>
                    </a:xfrm>
                    <a:prstGeom prst="rect">
                      <a:avLst/>
                    </a:prstGeom>
                    <a:noFill/>
                    <a:ln w="9525">
                      <a:noFill/>
                      <a:headEnd/>
                      <a:tailEnd/>
                    </a:ln>
                  </pic:spPr>
                </pic:pic>
              </a:graphicData>
            </a:graphic>
          </wp:inline>
        </w:drawing>
      </w:r>
      <w:bookmarkEnd w:id="47"/>
    </w:p>
    <w:p>
      <w:pPr>
        <w:pStyle w:val="ImageCaption"/>
      </w:pPr>
      <w:r>
        <w:t xml:space="preserve">Figure 3: Radiocarbon dating of G371.</w:t>
      </w:r>
    </w:p>
    <w:bookmarkEnd w:id="0"/>
    <w:bookmarkStart w:id="0" w:name="fig:timeline_sites"/>
    <w:p>
      <w:pPr>
        <w:pStyle w:val="CaptionedFigure"/>
      </w:pPr>
      <w:bookmarkStart w:id="49" w:name="fig:timeline_sites"/>
      <w:r>
        <w:drawing>
          <wp:inline>
            <wp:extent cx="4907433" cy="5913732"/>
            <wp:effectExtent b="0" l="0" r="0" t="0"/>
            <wp:docPr descr="Figure 4: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48"/>
                    <a:stretch>
                      <a:fillRect/>
                    </a:stretch>
                  </pic:blipFill>
                  <pic:spPr bwMode="auto">
                    <a:xfrm>
                      <a:off x="0" y="0"/>
                      <a:ext cx="4907433" cy="5913732"/>
                    </a:xfrm>
                    <a:prstGeom prst="rect">
                      <a:avLst/>
                    </a:prstGeom>
                    <a:noFill/>
                    <a:ln w="9525">
                      <a:noFill/>
                      <a:headEnd/>
                      <a:tailEnd/>
                    </a:ln>
                  </pic:spPr>
                </pic:pic>
              </a:graphicData>
            </a:graphic>
          </wp:inline>
        </w:drawing>
      </w:r>
      <w:bookmarkEnd w:id="49"/>
    </w:p>
    <w:p>
      <w:pPr>
        <w:pStyle w:val="ImageCaption"/>
      </w:pPr>
      <w:r>
        <w:t xml:space="preserve">Figure 4: Timeline of archaeological sites and plague-positive individuals. The shaded range spans the highest probability period from the oldest to the youngest sample.</w:t>
      </w:r>
    </w:p>
    <w:bookmarkEnd w:id="0"/>
    <w:p>
      <w:pPr>
        <w:pStyle w:val="Heading2"/>
      </w:pPr>
      <w:bookmarkStart w:id="50" w:name="phylogeny"/>
      <w:r>
        <w:t xml:space="preserve">Phylogeny</w:t>
      </w:r>
      <w:bookmarkEnd w:id="50"/>
    </w:p>
    <w:bookmarkStart w:id="0" w:name="fig:1.PRE_timeline"/>
    <w:p>
      <w:pPr>
        <w:pStyle w:val="CaptionedFigure"/>
      </w:pPr>
      <w:bookmarkStart w:id="52" w:name="fig:1.PRE_timeline"/>
      <w:r>
        <w:drawing>
          <wp:inline>
            <wp:extent cx="5943600" cy="2339762"/>
            <wp:effectExtent b="0" l="0" r="0" t="0"/>
            <wp:docPr descr="Figure 5: A timeline phylogeny of the Second Plague Pandemic. Asterisks indicate branches with strong statistical support along the main branch." title="" id="1" name="Picture"/>
            <a:graphic>
              <a:graphicData uri="http://schemas.openxmlformats.org/drawingml/2006/picture">
                <pic:pic>
                  <pic:nvPicPr>
                    <pic:cNvPr descr="https://rawcdn.githack.com/ktmeaton/plague-phylogeography-projects/4550173/denmark/beast/all/chromosome/full/filter30/relaxed_clock/dates/run/1.PRE_timeline.png" id="0" name="Picture"/>
                    <pic:cNvPicPr>
                      <a:picLocks noChangeArrowheads="1" noChangeAspect="1"/>
                    </pic:cNvPicPr>
                  </pic:nvPicPr>
                  <pic:blipFill>
                    <a:blip r:embed="rId51"/>
                    <a:stretch>
                      <a:fillRect/>
                    </a:stretch>
                  </pic:blipFill>
                  <pic:spPr bwMode="auto">
                    <a:xfrm>
                      <a:off x="0" y="0"/>
                      <a:ext cx="5943600" cy="2339762"/>
                    </a:xfrm>
                    <a:prstGeom prst="rect">
                      <a:avLst/>
                    </a:prstGeom>
                    <a:noFill/>
                    <a:ln w="9525">
                      <a:noFill/>
                      <a:headEnd/>
                      <a:tailEnd/>
                    </a:ln>
                  </pic:spPr>
                </pic:pic>
              </a:graphicData>
            </a:graphic>
          </wp:inline>
        </w:drawing>
      </w:r>
      <w:bookmarkEnd w:id="52"/>
    </w:p>
    <w:p>
      <w:pPr>
        <w:pStyle w:val="ImageCaption"/>
      </w:pPr>
      <w:r>
        <w:t xml:space="preserve">Figure 5: A timeline phylogeny of the Second Plague Pandemic. Asterisks indicate branches with strong statistical support along the main branch.</w:t>
      </w:r>
    </w:p>
    <w:bookmarkEnd w:id="0"/>
    <w:p>
      <w:pPr>
        <w:numPr>
          <w:ilvl w:val="0"/>
          <w:numId w:val="1003"/>
        </w:numPr>
        <w:pStyle w:val="Compact"/>
      </w:pPr>
      <w:r>
        <w:t xml:space="preserve">The traditional phylogeny layout can be found in the Appendix in Figures</w:t>
      </w:r>
      <w:r>
        <w:t xml:space="preserve"> </w:t>
      </w:r>
      <w:hyperlink w:anchor="fig:1.PRE_timetree">
        <w:r>
          <w:rPr>
            <w:rStyle w:val="Hyperlink"/>
          </w:rPr>
          <w:t xml:space="preserve">6</w:t>
        </w:r>
      </w:hyperlink>
      <w:r>
        <w:t xml:space="preserve"> </w:t>
      </w:r>
      <w:r>
        <w:t xml:space="preserve">and</w:t>
      </w:r>
      <w:r>
        <w:t xml:space="preserve"> </w:t>
      </w:r>
      <w:hyperlink w:anchor="fig:1.PRE_divtree">
        <w:r>
          <w:rPr>
            <w:rStyle w:val="Hyperlink"/>
          </w:rPr>
          <w:t xml:space="preserve">7</w:t>
        </w:r>
      </w:hyperlink>
      <w:r>
        <w:t xml:space="preserve">.</w:t>
      </w:r>
    </w:p>
    <w:p>
      <w:pPr>
        <w:pStyle w:val="Heading3"/>
      </w:pPr>
      <w:bookmarkStart w:id="53" w:name="the-black-death-burst"/>
      <w:r>
        <w:t xml:space="preserve">The Black Death</w:t>
      </w:r>
      <w:r>
        <w:t xml:space="preserve"> </w:t>
      </w:r>
      <w:r>
        <w:t xml:space="preserve">“</w:t>
      </w:r>
      <w:r>
        <w:t xml:space="preserve">Burst</w:t>
      </w:r>
      <w:r>
        <w:t xml:space="preserve">”</w:t>
      </w:r>
      <w:bookmarkEnd w:id="53"/>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is congruent with historical records that document the arrival of the Black Death in Ribe in 1349</w:t>
      </w:r>
      <w:r>
        <w:t xml:space="preserve"> </w:t>
      </w:r>
      <w:r>
        <w:t xml:space="preserve">[</w:t>
      </w:r>
      <w:hyperlink w:anchor="ref-1G9pdnarW">
        <w:r>
          <w:rPr>
            <w:rStyle w:val="Hyperlink"/>
          </w:rPr>
          <w:t xml:space="preserve">2</w:t>
        </w:r>
      </w:hyperlink>
      <w:r>
        <w:t xml:space="preserve">]</w:t>
      </w:r>
      <w:r>
        <w:t xml:space="preserve">.</w:t>
      </w:r>
    </w:p>
    <w:p>
      <w:pPr>
        <w:pStyle w:val="BodyText"/>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If true, this would imply an immunologically naive population and may have important implications for the study of health and immunity in both past and present Denmark.</w:t>
      </w:r>
    </w:p>
    <w:p>
      <w:pPr>
        <w:pStyle w:val="BodyText"/>
      </w:pPr>
      <w:r>
        <w:t xml:space="preserve">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p>
    <w:p>
      <w:pPr>
        <w:pStyle w:val="Heading3"/>
      </w:pPr>
      <w:bookmarkStart w:id="54" w:name="ancestors-of-the-third-pandemic"/>
      <w:r>
        <w:t xml:space="preserve">Ancestors of the Third Pandemic</w:t>
      </w:r>
      <w:bookmarkEnd w:id="54"/>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Branch 1, which includes the Third Pandemic of plague.</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numPr>
          <w:ilvl w:val="0"/>
          <w:numId w:val="1004"/>
        </w:numPr>
        <w:pStyle w:val="Compact"/>
      </w:pPr>
      <w:r>
        <w:t xml:space="preserve">Note: The resolution of this clade was not reproduced in the genetic distance phylogeny (Figure</w:t>
      </w:r>
      <w:r>
        <w:t xml:space="preserve"> </w:t>
      </w:r>
      <w:hyperlink w:anchor="fig:1.PRE_divtree">
        <w:r>
          <w:rPr>
            <w:rStyle w:val="Hyperlink"/>
          </w:rPr>
          <w:t xml:space="preserve">7</w:t>
        </w:r>
      </w:hyperlink>
      <w:r>
        <w:t xml:space="preserve">).</w:t>
      </w:r>
    </w:p>
    <w:p>
      <w:pPr>
        <w:pStyle w:val="Heading3"/>
      </w:pPr>
      <w:bookmarkStart w:id="55" w:name="post-black-death"/>
      <w:r>
        <w:t xml:space="preserve">Post Black Death</w:t>
      </w:r>
      <w:bookmarkEnd w:id="55"/>
    </w:p>
    <w:p>
      <w:pPr>
        <w:pStyle w:val="FirstParagraph"/>
      </w:pPr>
      <w:r>
        <w:t xml:space="preserve">In contrast to the genetic homogeneity observed across Europe during the Black Death period,</w:t>
      </w:r>
      <w:r>
        <w:t xml:space="preserve"> </w:t>
      </w:r>
      <w:r>
        <w:t xml:space="preserve">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This mechanism of evolution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w:t>
      </w:r>
    </w:p>
    <w:p>
      <w:pPr>
        <w:pStyle w:val="BodyText"/>
      </w:pPr>
      <w:r>
        <w:t xml:space="preserve">Again, the geographic origins and dispersal of plague during this period are challenging to reconstruct, given that the number of genomes (N=7) is sparsely sampled relative to the minimum number of countries (N=4) that are implicated. However, this broad geographic dispersal may suggest that plague outbreaks in Denmark during this period were not locally derived, but instead shared transmission with neighboring European countries.</w:t>
      </w:r>
    </w:p>
    <w:p>
      <w:pPr>
        <w:numPr>
          <w:ilvl w:val="0"/>
          <w:numId w:val="1005"/>
        </w:numPr>
        <w:pStyle w:val="Compact"/>
      </w:pPr>
      <w:r>
        <w:t xml:space="preserve">Epidemiologically, I don’t know the significance of this. But I think it’s interesting!</w:t>
      </w:r>
    </w:p>
    <w:p>
      <w:pPr>
        <w:pStyle w:val="Heading3"/>
      </w:pPr>
      <w:bookmarkStart w:id="56" w:name="early-modern-plague"/>
      <w:r>
        <w:t xml:space="preserve">Early Modern Plague</w:t>
      </w:r>
      <w:bookmarkEnd w:id="56"/>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pathogens between them.</w:t>
      </w:r>
    </w:p>
    <w:p>
      <w:pPr>
        <w:pStyle w:val="Heading2"/>
      </w:pPr>
      <w:bookmarkStart w:id="57" w:name="references"/>
      <w:r>
        <w:t xml:space="preserve">References</w:t>
      </w:r>
      <w:bookmarkEnd w:id="57"/>
    </w:p>
    <w:bookmarkStart w:id="63" w:name="refs"/>
    <w:bookmarkStart w:id="59"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58">
        <w:r>
          <w:rPr>
            <w:rStyle w:val="Hyperlink"/>
          </w:rPr>
          <w:t xml:space="preserve">http://www.jstor.org/stable/29543069</w:t>
        </w:r>
      </w:hyperlink>
    </w:p>
    <w:bookmarkEnd w:id="59"/>
    <w:bookmarkStart w:id="62" w:name="ref-1G9pdnarW"/>
    <w:p>
      <w:pPr>
        <w:pStyle w:val="Bibliography"/>
      </w:pPr>
      <w:r>
        <w:t xml:space="preserve">2.</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60">
        <w:r>
          <w:rPr>
            <w:rStyle w:val="Hyperlink"/>
          </w:rPr>
          <w:t xml:space="preserve">https://journals.scholarsportal.info/details/03468755/v41i0001/54_tbd.xml</w:t>
        </w:r>
      </w:hyperlink>
      <w:r>
        <w:t xml:space="preserve"> </w:t>
      </w:r>
      <w:r>
        <w:br/>
      </w:r>
      <w:r>
        <w:t xml:space="preserve">DOI:</w:t>
      </w:r>
      <w:r>
        <w:t xml:space="preserve"> </w:t>
      </w:r>
      <w:hyperlink r:id="rId61">
        <w:r>
          <w:rPr>
            <w:rStyle w:val="Hyperlink"/>
          </w:rPr>
          <w:t xml:space="preserve">10.1080/03468755.2015.1110533</w:t>
        </w:r>
      </w:hyperlink>
    </w:p>
    <w:bookmarkEnd w:id="62"/>
    <w:bookmarkEnd w:id="63"/>
    <w:p>
      <w:pPr>
        <w:pStyle w:val="Heading2"/>
      </w:pPr>
      <w:bookmarkStart w:id="64" w:name="appendix"/>
      <w:r>
        <w:t xml:space="preserve">Appendix</w:t>
      </w:r>
      <w:bookmarkEnd w:id="64"/>
    </w:p>
    <w:p>
      <w:pPr>
        <w:pStyle w:val="Heading3"/>
      </w:pPr>
      <w:bookmarkStart w:id="65" w:name="phylogeny-1"/>
      <w:r>
        <w:t xml:space="preserve">Phylogeny</w:t>
      </w:r>
      <w:bookmarkEnd w:id="65"/>
    </w:p>
    <w:bookmarkStart w:id="0" w:name="fig:1.PRE_timetree"/>
    <w:p>
      <w:pPr>
        <w:pStyle w:val="CaptionedFigure"/>
      </w:pPr>
      <w:bookmarkStart w:id="67" w:name="fig:1.PRE_timetree"/>
      <w:r>
        <w:drawing>
          <wp:inline>
            <wp:extent cx="5943600" cy="6270120"/>
            <wp:effectExtent b="0" l="0" r="0" t="0"/>
            <wp:docPr descr="Figure 6: A tim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beast/1.PRE_timetree.png" id="0" name="Picture"/>
                    <pic:cNvPicPr>
                      <a:picLocks noChangeArrowheads="1" noChangeAspect="1"/>
                    </pic:cNvPicPr>
                  </pic:nvPicPr>
                  <pic:blipFill>
                    <a:blip r:embed="rId66"/>
                    <a:stretch>
                      <a:fillRect/>
                    </a:stretch>
                  </pic:blipFill>
                  <pic:spPr bwMode="auto">
                    <a:xfrm>
                      <a:off x="0" y="0"/>
                      <a:ext cx="5943600" cy="6270120"/>
                    </a:xfrm>
                    <a:prstGeom prst="rect">
                      <a:avLst/>
                    </a:prstGeom>
                    <a:noFill/>
                    <a:ln w="9525">
                      <a:noFill/>
                      <a:headEnd/>
                      <a:tailEnd/>
                    </a:ln>
                  </pic:spPr>
                </pic:pic>
              </a:graphicData>
            </a:graphic>
          </wp:inline>
        </w:drawing>
      </w:r>
      <w:bookmarkEnd w:id="67"/>
    </w:p>
    <w:p>
      <w:pPr>
        <w:pStyle w:val="ImageCaption"/>
      </w:pPr>
      <w:r>
        <w:t xml:space="preserve">Figure 6: A time-scaled phylogeny of the Second Plague Pandemic. Asterisks indicate branches with strong statistical support.</w:t>
      </w:r>
    </w:p>
    <w:bookmarkEnd w:id="0"/>
    <w:bookmarkStart w:id="0" w:name="fig:1.PRE_divtree"/>
    <w:p>
      <w:pPr>
        <w:pStyle w:val="CaptionedFigure"/>
      </w:pPr>
      <w:bookmarkStart w:id="69" w:name="fig:1.PRE_divtree"/>
      <w:r>
        <w:drawing>
          <wp:inline>
            <wp:extent cx="5943600" cy="7300039"/>
            <wp:effectExtent b="0" l="0" r="0" t="0"/>
            <wp:docPr descr="Figure 7: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68"/>
                    <a:stretch>
                      <a:fillRect/>
                    </a:stretch>
                  </pic:blipFill>
                  <pic:spPr bwMode="auto">
                    <a:xfrm>
                      <a:off x="0" y="0"/>
                      <a:ext cx="5943600" cy="7300039"/>
                    </a:xfrm>
                    <a:prstGeom prst="rect">
                      <a:avLst/>
                    </a:prstGeom>
                    <a:noFill/>
                    <a:ln w="9525">
                      <a:noFill/>
                      <a:headEnd/>
                      <a:tailEnd/>
                    </a:ln>
                  </pic:spPr>
                </pic:pic>
              </a:graphicData>
            </a:graphic>
          </wp:inline>
        </w:drawing>
      </w:r>
      <w:bookmarkEnd w:id="69"/>
    </w:p>
    <w:p>
      <w:pPr>
        <w:pStyle w:val="ImageCaption"/>
      </w:pPr>
      <w:r>
        <w:t xml:space="preserve">Figure 7: A divergence-scaled phylogeny of the Second Plague Pandemic. Asterisks indicate branches with strong statistical support.</w:t>
      </w:r>
    </w:p>
    <w:bookmarkEnd w:id="0"/>
    <w:p>
      <w:pPr>
        <w:pStyle w:val="Heading3"/>
      </w:pPr>
      <w:bookmarkStart w:id="70" w:name="miscellaneous"/>
      <w:r>
        <w:t xml:space="preserve">Miscellaneous</w:t>
      </w:r>
      <w:bookmarkEnd w:id="70"/>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71" w:name="methods"/>
      <w:r>
        <w:t xml:space="preserve">Methods</w:t>
      </w:r>
      <w:bookmarkEnd w:id="71"/>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58" Target="http://www.jstor.org/stable/29543069" TargetMode="External" /><Relationship Type="http://schemas.openxmlformats.org/officeDocument/2006/relationships/hyperlink" Id="rId61"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4d790227" TargetMode="External" /><Relationship Type="http://schemas.openxmlformats.org/officeDocument/2006/relationships/hyperlink" Id="rId60"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4d790227/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58" Target="http://www.jstor.org/stable/29543069" TargetMode="External" /><Relationship Type="http://schemas.openxmlformats.org/officeDocument/2006/relationships/hyperlink" Id="rId61"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4d790227" TargetMode="External" /><Relationship Type="http://schemas.openxmlformats.org/officeDocument/2006/relationships/hyperlink" Id="rId60"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4d790227/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2021-07-08T18:49:25Z</dcterms:created>
  <dcterms:modified xsi:type="dcterms:W3CDTF">2021-07-08T18:49:25Z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