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46.png" ContentType="image/png"/>
  <Override PartName="/word/media/rId66.png" ContentType="image/png"/>
  <Override PartName="/word/media/rId51.png" ContentType="image/png"/>
  <Override PartName="/word/media/rId42.png" ContentType="image/png"/>
  <Override PartName="/word/media/rId37.png" ContentType="image/png"/>
  <Override PartName="/word/media/rId48.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ktmeaton/obsidian-public@c2a1c0b1</w:t>
        </w:r>
      </w:hyperlink>
      <w:r>
        <w:t xml:space="preserve"> </w:t>
      </w:r>
      <w:r>
        <w:t xml:space="preserve">on July 7,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0000-0001-7486-757X</w:t>
        </w:r>
      </w:hyperlink>
      <w:r>
        <w:t xml:space="preserve"> </w:t>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0000-0002-2850-0934</w:t>
        </w:r>
      </w:hyperlink>
      <w:r>
        <w:t xml:space="preserve"> </w:t>
      </w:r>
      <w:r>
        <w:t xml:space="preserve"> </w:t>
      </w:r>
      <w:r>
        <w:t xml:space="preserve">University of Southern Denmark; ADBOU</w:t>
      </w:r>
      <w:r>
        <w:t xml:space="preserve"> </w:t>
      </w:r>
    </w:p>
    <w:p>
      <w:pPr>
        <w:numPr>
          <w:ilvl w:val="0"/>
          <w:numId w:val="1001"/>
        </w:numPr>
      </w:pPr>
      <w:r>
        <w:rPr>
          <w:b/>
        </w:rPr>
        <w:t xml:space="preserve">Ann Carmichael</w:t>
      </w:r>
      <w:r>
        <w:t xml:space="preserve"> </w:t>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0000-0001-6870-5945</w:t>
        </w:r>
      </w:hyperlink>
      <w:r>
        <w:t xml:space="preserve"> </w:t>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abstract"/>
      <w:r>
        <w:t xml:space="preserve">Abstract</w:t>
      </w:r>
      <w:bookmarkEnd w:id="31"/>
    </w:p>
    <w:p>
      <w:pPr>
        <w:pStyle w:val="Heading3"/>
      </w:pPr>
      <w:bookmarkStart w:id="32" w:name="background"/>
      <w:r>
        <w:t xml:space="preserve">Background</w:t>
      </w:r>
      <w:bookmarkEnd w:id="32"/>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33" w:name="problem"/>
      <w:r>
        <w:t xml:space="preserve">Problem</w:t>
      </w:r>
      <w:bookmarkEnd w:id="33"/>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34" w:name="objectives"/>
      <w:r>
        <w:t xml:space="preserve">Objectives</w:t>
      </w:r>
      <w:bookmarkEnd w:id="34"/>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35" w:name="significance"/>
      <w:r>
        <w:t xml:space="preserve">Significance</w:t>
      </w:r>
      <w:bookmarkEnd w:id="35"/>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36" w:name="sites-and-samples"/>
      <w:r>
        <w:t xml:space="preserve">Sites and Samples</w:t>
      </w:r>
      <w:bookmarkEnd w:id="36"/>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8"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7"/>
                    <a:stretch>
                      <a:fillRect/>
                    </a:stretch>
                  </pic:blipFill>
                  <pic:spPr bwMode="auto">
                    <a:xfrm>
                      <a:off x="0" y="0"/>
                      <a:ext cx="2346730" cy="2397148"/>
                    </a:xfrm>
                    <a:prstGeom prst="rect">
                      <a:avLst/>
                    </a:prstGeom>
                    <a:noFill/>
                    <a:ln w="9525">
                      <a:noFill/>
                      <a:headEnd/>
                      <a:tailEnd/>
                    </a:ln>
                  </pic:spPr>
                </pic:pic>
              </a:graphicData>
            </a:graphic>
          </wp:inline>
        </w:drawing>
      </w:r>
      <w:bookmarkEnd w:id="38"/>
    </w:p>
    <w:p>
      <w:pPr>
        <w:pStyle w:val="ImageCaption"/>
      </w:pPr>
      <w:r>
        <w:t xml:space="preserve">Figure 1: Geographic map of archaeological sites by region.</w:t>
      </w:r>
    </w:p>
    <w:bookmarkEnd w:id="0"/>
    <w:p>
      <w:pPr>
        <w:pStyle w:val="Heading2"/>
      </w:pPr>
      <w:bookmarkStart w:id="39" w:name="plague-detection"/>
      <w:r>
        <w:t xml:space="preserve">Plague Detection</w:t>
      </w:r>
      <w:bookmarkEnd w:id="39"/>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of all individuals in this study. When excluding plague-negative archaeological sites, this estimate rises to 8.2% of individuals.</w:t>
      </w:r>
      <w:r>
        <w:t xml:space="preserve"> </w:t>
      </w:r>
      <w:r>
        <w:rPr>
          <w:i/>
        </w:rPr>
        <w:t xml:space="preserve">Y. pestis</w:t>
      </w:r>
      <w:r>
        <w:t xml:space="preserve"> </w:t>
      </w:r>
      <w:r>
        <w:t xml:space="preserve">was observed exclusively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40" w:name="dating"/>
      <w:r>
        <w:t xml:space="preserve">Dating</w:t>
      </w:r>
      <w:bookmarkEnd w:id="40"/>
    </w:p>
    <w:p>
      <w:pPr>
        <w:pStyle w:val="Heading3"/>
      </w:pPr>
      <w:bookmarkStart w:id="41" w:name="archaeology"/>
      <w:r>
        <w:t xml:space="preserve">Archaeology</w:t>
      </w:r>
      <w:bookmarkEnd w:id="41"/>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3"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2"/>
                    <a:stretch>
                      <a:fillRect/>
                    </a:stretch>
                  </pic:blipFill>
                  <pic:spPr bwMode="auto">
                    <a:xfrm>
                      <a:off x="0" y="0"/>
                      <a:ext cx="5943600" cy="4531777"/>
                    </a:xfrm>
                    <a:prstGeom prst="rect">
                      <a:avLst/>
                    </a:prstGeom>
                    <a:noFill/>
                    <a:ln w="9525">
                      <a:noFill/>
                      <a:headEnd/>
                      <a:tailEnd/>
                    </a:ln>
                  </pic:spPr>
                </pic:pic>
              </a:graphicData>
            </a:graphic>
          </wp:inline>
        </w:drawing>
      </w:r>
      <w:bookmarkEnd w:id="43"/>
    </w:p>
    <w:p>
      <w:pPr>
        <w:pStyle w:val="ImageCaption"/>
      </w:pPr>
      <w:r>
        <w:t xml:space="preserve">Figure 2: Arm position dating.</w:t>
      </w:r>
    </w:p>
    <w:bookmarkEnd w:id="0"/>
    <w:p>
      <w:pPr>
        <w:pStyle w:val="Heading3"/>
      </w:pPr>
      <w:bookmarkStart w:id="44" w:name="molecular"/>
      <w:r>
        <w:t xml:space="preserve">Molecular</w:t>
      </w:r>
      <w:bookmarkEnd w:id="44"/>
    </w:p>
    <w:p>
      <w:pPr>
        <w:pStyle w:val="FirstParagraph"/>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4</w:t>
        </w:r>
      </w:hyperlink>
      <w:r>
        <w:t xml:space="preserve">. Almost all molecular dates had overlap with the archaeological dates as determined by the site occupation period and burial patterns. The exception to this pattern was individual G371 from the site of Tirup.</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Heading3"/>
      </w:pPr>
      <w:bookmarkStart w:id="45" w:name="radiocarbon"/>
      <w:r>
        <w:t xml:space="preserve">Radiocarbon</w:t>
      </w:r>
      <w:bookmarkEnd w:id="45"/>
    </w:p>
    <w:p>
      <w:pPr>
        <w:pStyle w:val="FirstParagraph"/>
      </w:pPr>
      <w:r>
        <w:t xml:space="preserve">To investigate the dating disparity for G371, we performed 14C radiocarbon dating (Figure</w:t>
      </w:r>
      <w:r>
        <w:t xml:space="preserve"> </w:t>
      </w:r>
      <w:hyperlink w:anchor="fig:radiocarbon_g371">
        <w:r>
          <w:rPr>
            <w:rStyle w:val="Hyperlink"/>
          </w:rPr>
          <w:t xml:space="preserve">3</w:t>
        </w:r>
      </w:hyperlink>
      <w:r>
        <w:t xml:space="preserve">). The radiocarbon estimate largely agrees with the archaeological dates, with an estimated mean date of 1260 CE (+/- 75 yrs with 1 sigma). Thus there is robust evidence that the individual lived and died sometime between the late 12th and early 14th century</w:t>
      </w:r>
    </w:p>
    <w:p>
      <w:pPr>
        <w:pStyle w:val="BodyText"/>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w:t>
      </w:r>
    </w:p>
    <w:bookmarkStart w:id="0" w:name="fig:radiocarbon_g371"/>
    <w:p>
      <w:pPr>
        <w:pStyle w:val="CaptionedFigure"/>
      </w:pPr>
      <w:bookmarkStart w:id="47" w:name="fig:radiocarbon_g371"/>
      <w:r>
        <w:drawing>
          <wp:inline>
            <wp:extent cx="2376216" cy="2067339"/>
            <wp:effectExtent b="0" l="0" r="0" t="0"/>
            <wp:docPr descr="Figure 3: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46"/>
                    <a:stretch>
                      <a:fillRect/>
                    </a:stretch>
                  </pic:blipFill>
                  <pic:spPr bwMode="auto">
                    <a:xfrm>
                      <a:off x="0" y="0"/>
                      <a:ext cx="2376216" cy="2067339"/>
                    </a:xfrm>
                    <a:prstGeom prst="rect">
                      <a:avLst/>
                    </a:prstGeom>
                    <a:noFill/>
                    <a:ln w="9525">
                      <a:noFill/>
                      <a:headEnd/>
                      <a:tailEnd/>
                    </a:ln>
                  </pic:spPr>
                </pic:pic>
              </a:graphicData>
            </a:graphic>
          </wp:inline>
        </w:drawing>
      </w:r>
      <w:bookmarkEnd w:id="47"/>
    </w:p>
    <w:p>
      <w:pPr>
        <w:pStyle w:val="ImageCaption"/>
      </w:pPr>
      <w:r>
        <w:t xml:space="preserve">Figure 3: Radiocarbon dating of G371.</w:t>
      </w:r>
    </w:p>
    <w:bookmarkEnd w:id="0"/>
    <w:bookmarkStart w:id="0" w:name="fig:timeline_sites"/>
    <w:p>
      <w:pPr>
        <w:pStyle w:val="CaptionedFigure"/>
      </w:pPr>
      <w:bookmarkStart w:id="49" w:name="fig:timeline_sites"/>
      <w:r>
        <w:drawing>
          <wp:inline>
            <wp:extent cx="4907433" cy="5913732"/>
            <wp:effectExtent b="0" l="0" r="0" t="0"/>
            <wp:docPr descr="Figure 4: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48"/>
                    <a:stretch>
                      <a:fillRect/>
                    </a:stretch>
                  </pic:blipFill>
                  <pic:spPr bwMode="auto">
                    <a:xfrm>
                      <a:off x="0" y="0"/>
                      <a:ext cx="4907433" cy="5913732"/>
                    </a:xfrm>
                    <a:prstGeom prst="rect">
                      <a:avLst/>
                    </a:prstGeom>
                    <a:noFill/>
                    <a:ln w="9525">
                      <a:noFill/>
                      <a:headEnd/>
                      <a:tailEnd/>
                    </a:ln>
                  </pic:spPr>
                </pic:pic>
              </a:graphicData>
            </a:graphic>
          </wp:inline>
        </w:drawing>
      </w:r>
      <w:bookmarkEnd w:id="49"/>
    </w:p>
    <w:p>
      <w:pPr>
        <w:pStyle w:val="ImageCaption"/>
      </w:pPr>
      <w:r>
        <w:t xml:space="preserve">Figure 4: Timeline of archaeological sites and plague-positive individuals. The shaded range spans the highest probability period from the oldest to the youngest sample.</w:t>
      </w:r>
    </w:p>
    <w:bookmarkEnd w:id="0"/>
    <w:p>
      <w:pPr>
        <w:pStyle w:val="Heading2"/>
      </w:pPr>
      <w:bookmarkStart w:id="50" w:name="phylogeny"/>
      <w:r>
        <w:t xml:space="preserve">Phylogeny</w:t>
      </w:r>
      <w:bookmarkEnd w:id="50"/>
    </w:p>
    <w:bookmarkStart w:id="0" w:name="fig:1.PRE_timeline"/>
    <w:p>
      <w:pPr>
        <w:pStyle w:val="CaptionedFigure"/>
      </w:pPr>
      <w:bookmarkStart w:id="52" w:name="fig:1.PRE_timeline"/>
      <w:r>
        <w:drawing>
          <wp:inline>
            <wp:extent cx="5943600" cy="2339762"/>
            <wp:effectExtent b="0" l="0" r="0" t="0"/>
            <wp:docPr descr="Figure 5: A timeline phylogeny of the Second Plague Pandemic. Asterisks indicate branches with strong statistical support along the main branch." title="" id="1" name="Picture"/>
            <a:graphic>
              <a:graphicData uri="http://schemas.openxmlformats.org/drawingml/2006/picture">
                <pic:pic>
                  <pic:nvPicPr>
                    <pic:cNvPr descr="https://rawcdn.githack.com/ktmeaton/plague-phylogeography-projects/8cdeab8/denmark/beast/all/chromosome/full/filter30/relaxed_clock/dates/run/1.PRE_timeline.png" id="0" name="Picture"/>
                    <pic:cNvPicPr>
                      <a:picLocks noChangeArrowheads="1" noChangeAspect="1"/>
                    </pic:cNvPicPr>
                  </pic:nvPicPr>
                  <pic:blipFill>
                    <a:blip r:embed="rId51"/>
                    <a:stretch>
                      <a:fillRect/>
                    </a:stretch>
                  </pic:blipFill>
                  <pic:spPr bwMode="auto">
                    <a:xfrm>
                      <a:off x="0" y="0"/>
                      <a:ext cx="5943600" cy="2339762"/>
                    </a:xfrm>
                    <a:prstGeom prst="rect">
                      <a:avLst/>
                    </a:prstGeom>
                    <a:noFill/>
                    <a:ln w="9525">
                      <a:noFill/>
                      <a:headEnd/>
                      <a:tailEnd/>
                    </a:ln>
                  </pic:spPr>
                </pic:pic>
              </a:graphicData>
            </a:graphic>
          </wp:inline>
        </w:drawing>
      </w:r>
      <w:bookmarkEnd w:id="52"/>
    </w:p>
    <w:p>
      <w:pPr>
        <w:pStyle w:val="ImageCaption"/>
      </w:pPr>
      <w:r>
        <w:t xml:space="preserve">Figure 5: A timeline phylogeny of the Second Plague Pandemic. Asterisks indicate branches with strong statistical support along the main branch.</w:t>
      </w:r>
    </w:p>
    <w:bookmarkEnd w:id="0"/>
    <w:p>
      <w:pPr>
        <w:pStyle w:val="Heading3"/>
      </w:pPr>
      <w:bookmarkStart w:id="53" w:name="denmark-and-the-black-death"/>
      <w:r>
        <w:t xml:space="preserve">Denmark and the Black Death</w:t>
      </w:r>
      <w:bookmarkEnd w:id="53"/>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as the genomes are nearly identical and have been isolated from all across Europe, including France, Spain, England, Germany, and Norway.</w:t>
      </w:r>
      <w:r>
        <w:t xml:space="preserve"> </w:t>
      </w:r>
      <w:r>
        <w:rPr>
          <w:i/>
        </w:rPr>
        <w:t xml:space="preserve">Y. pestis</w:t>
      </w:r>
      <w:r>
        <w:t xml:space="preserve"> </w:t>
      </w:r>
      <w:r>
        <w:t xml:space="preserve">in this cluster is nearly indistinguishable, thus indicating rapid geographic dispersal faster than mutations could accrue. Given this high degree of genetic similarity, the branching order and thus migration patterns of this epidemic clade cannot be resolved. Our understanding of this event is therefore that of a</w:t>
      </w:r>
      <w:r>
        <w:t xml:space="preserve"> </w:t>
      </w:r>
      <w:r>
        <w:t xml:space="preserve">“</w:t>
      </w:r>
      <w:r>
        <w:t xml:space="preserve">burst</w:t>
      </w:r>
      <w:r>
        <w:t xml:space="preserve">”</w:t>
      </w:r>
      <w:r>
        <w:t xml:space="preserve"> </w:t>
      </w:r>
      <w:r>
        <w:t xml:space="preserve">radiation and it is challenging to identify whether there is a single wave or multiple lineages dispersing in this period.</w:t>
      </w:r>
    </w:p>
    <w:p>
      <w:pPr>
        <w:pStyle w:val="Heading3"/>
      </w:pPr>
      <w:bookmarkStart w:id="54" w:name="the-ancestors-of-the-third-pandemic"/>
      <w:r>
        <w:t xml:space="preserve">The Ancestors of the Third Pandemic</w:t>
      </w:r>
      <w:bookmarkEnd w:id="54"/>
    </w:p>
    <w:p>
      <w:pPr>
        <w:pStyle w:val="FirstParagraph"/>
      </w:pPr>
      <w:r>
        <w:t xml:space="preserve">Interestingly, the</w:t>
      </w:r>
      <w:r>
        <w:t xml:space="preserve"> </w:t>
      </w:r>
      <w:r>
        <w:rPr>
          <w:i/>
        </w:rPr>
        <w:t xml:space="preserve">Y. pestis</w:t>
      </w:r>
      <w:r>
        <w:t xml:space="preserve"> </w:t>
      </w:r>
      <w:r>
        <w:t xml:space="preserve">genome associated with individual G25Bx98 from Ribe (who was found in the same grave as G25A?) is genetically distinct from the earlier strains from this region. This isolate falls within a clade of high epidemiological significance, which is the ancestral group giving rise to the Third Pandemic of plague. This clade was previously hypothesized to reflect a backward migration of plague from Northern Europe into Asia. The</w:t>
      </w:r>
      <w:r>
        <w:t xml:space="preserve"> </w:t>
      </w:r>
      <w:r>
        <w:rPr>
          <w:i/>
        </w:rPr>
        <w:t xml:space="preserve">Y. pestis</w:t>
      </w:r>
      <w:r>
        <w:t xml:space="preserve"> </w:t>
      </w:r>
      <w:r>
        <w:t xml:space="preserve">genome retrieved from G25Bx98 tentatively supports hypothesis, as it falls basal to the more derived strains from The Netherlands and Russia.</w:t>
      </w:r>
    </w:p>
    <w:p>
      <w:pPr>
        <w:numPr>
          <w:ilvl w:val="0"/>
          <w:numId w:val="1003"/>
        </w:numPr>
        <w:pStyle w:val="Compact"/>
      </w:pPr>
      <w:r>
        <w:t xml:space="preserve">The resolution of this clade was not reproduced in the divergence-scaled phylogeny (Figure</w:t>
      </w:r>
      <w:r>
        <w:t xml:space="preserve"> </w:t>
      </w:r>
      <w:hyperlink w:anchor="fig:1.PRE_divtree">
        <w:r>
          <w:rPr>
            <w:rStyle w:val="Hyperlink"/>
          </w:rPr>
          <w:t xml:space="preserve">7</w:t>
        </w:r>
      </w:hyperlink>
      <w:r>
        <w:t xml:space="preserve">).</w:t>
      </w:r>
    </w:p>
    <w:p>
      <w:pPr>
        <w:pStyle w:val="Heading3"/>
      </w:pPr>
      <w:bookmarkStart w:id="55" w:name="medieval-plague"/>
      <w:r>
        <w:t xml:space="preserve">Medieval Plague</w:t>
      </w:r>
      <w:bookmarkEnd w:id="55"/>
    </w:p>
    <w:p>
      <w:pPr>
        <w:pStyle w:val="FirstParagraph"/>
      </w:pPr>
      <w:r>
        <w:t xml:space="preserve">In contrast to the genetic homogeneity observed across Europe during the Black Death period, later isolates of plague from the Medieval period are easily distinguished.</w:t>
      </w:r>
      <w:r>
        <w:t xml:space="preserve"> </w:t>
      </w:r>
      <w:r>
        <w:rPr>
          <w:i/>
        </w:rPr>
        <w:t xml:space="preserve">Y. pestis</w:t>
      </w:r>
      <w:r>
        <w:t xml:space="preserve"> </w:t>
      </w:r>
      <w:r>
        <w:t xml:space="preserve">collected from sites near Horsens and Ribe form distinct lineages that are interspersed with plague collected from other countries. This intra-regional diversity has also been observed in Germany and England, as</w:t>
      </w:r>
      <w:r>
        <w:t xml:space="preserve"> </w:t>
      </w:r>
      <w:r>
        <w:rPr>
          <w:i/>
        </w:rPr>
        <w:t xml:space="preserve">Y. pestis</w:t>
      </w:r>
      <w:r>
        <w:t xml:space="preserve"> </w:t>
      </w:r>
      <w:r>
        <w:t xml:space="preserve">from these countries can be found throughout the Second Pandemic phylogeny. Medieval plague therefore exhibits cryptic geographic structure as the</w:t>
      </w:r>
    </w:p>
    <w:p>
      <w:pPr>
        <w:pStyle w:val="BodyText"/>
      </w:pPr>
      <w:r>
        <w:t xml:space="preserve">. Instead, lineages of plague typically cluster by time period up until the 16th century.</w:t>
      </w:r>
    </w:p>
    <w:p>
      <w:pPr>
        <w:pStyle w:val="BodyText"/>
      </w:pPr>
      <w:r>
        <w:t xml:space="preserve">The clustering patterns observed in the phylogeny are better explained by similar</w:t>
      </w:r>
    </w:p>
    <w:p>
      <w:pPr>
        <w:pStyle w:val="BodyText"/>
      </w:pPr>
      <w:r>
        <w:t xml:space="preserve">This suggests that outbreaks of plague in Denmark were not localized epidemics. Rather, they were connected to the rest of Europe. Interconnected network of disease dispersal.</w:t>
      </w:r>
    </w:p>
    <w:p>
      <w:pPr>
        <w:pStyle w:val="Heading3"/>
      </w:pPr>
      <w:bookmarkStart w:id="56" w:name="early-modern-plague"/>
      <w:r>
        <w:t xml:space="preserve">Early Modern Plague</w:t>
      </w:r>
      <w:bookmarkEnd w:id="56"/>
    </w:p>
    <w:p>
      <w:pPr>
        <w:pStyle w:val="FirstParagraph"/>
      </w:pPr>
      <w:r>
        <w:t xml:space="preserve">By the onset of the Early Modern Period (16th century), European plague splits into 2 distinct lineages.</w:t>
      </w:r>
      <w:r>
        <w:t xml:space="preserve"> </w:t>
      </w:r>
      <w:r>
        <w:t xml:space="preserve">1. The Baltic countries (Lithuania, Poland, Germany) and the Alps (Switzerland)</w:t>
      </w:r>
      <w:r>
        <w:t xml:space="preserve"> </w:t>
      </w:r>
      <w:r>
        <w:t xml:space="preserve">2. England, France, Russia</w:t>
      </w:r>
    </w:p>
    <w:p>
      <w:pPr>
        <w:pStyle w:val="Heading3"/>
      </w:pPr>
      <w:bookmarkStart w:id="57" w:name="cycles-of-plague"/>
      <w:r>
        <w:t xml:space="preserve">Cycles of Plague</w:t>
      </w:r>
      <w:bookmarkEnd w:id="57"/>
    </w:p>
    <w:p>
      <w:pPr>
        <w:pStyle w:val="FirstParagraph"/>
      </w:pPr>
      <w:r>
        <w:t xml:space="preserve">Reapparance/re-emergence of plague in Ribe</w:t>
      </w:r>
    </w:p>
    <w:p>
      <w:pPr>
        <w:pStyle w:val="Heading2"/>
      </w:pPr>
      <w:bookmarkStart w:id="58" w:name="references"/>
      <w:r>
        <w:t xml:space="preserve">References</w:t>
      </w:r>
      <w:bookmarkEnd w:id="58"/>
    </w:p>
    <w:bookmarkStart w:id="61" w:name="refs"/>
    <w:bookmarkStart w:id="60"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59">
        <w:r>
          <w:rPr>
            <w:rStyle w:val="Hyperlink"/>
          </w:rPr>
          <w:t xml:space="preserve">http://www.jstor.org/stable/29543069</w:t>
        </w:r>
      </w:hyperlink>
    </w:p>
    <w:bookmarkEnd w:id="60"/>
    <w:bookmarkEnd w:id="61"/>
    <w:p>
      <w:pPr>
        <w:pStyle w:val="Heading2"/>
      </w:pPr>
      <w:bookmarkStart w:id="62" w:name="appendix"/>
      <w:r>
        <w:t xml:space="preserve">Appendix</w:t>
      </w:r>
      <w:bookmarkEnd w:id="62"/>
    </w:p>
    <w:p>
      <w:pPr>
        <w:pStyle w:val="Heading3"/>
      </w:pPr>
      <w:bookmarkStart w:id="63" w:name="phylogeny-1"/>
      <w:r>
        <w:t xml:space="preserve">Phylogeny</w:t>
      </w:r>
      <w:bookmarkEnd w:id="63"/>
    </w:p>
    <w:bookmarkStart w:id="0" w:name="fig:1.PRE_timetree"/>
    <w:p>
      <w:pPr>
        <w:pStyle w:val="CaptionedFigure"/>
      </w:pPr>
      <w:bookmarkStart w:id="65" w:name="fig:1.PRE_timetree"/>
      <w:r>
        <w:drawing>
          <wp:inline>
            <wp:extent cx="5943600" cy="6397450"/>
            <wp:effectExtent b="0" l="0" r="0" t="0"/>
            <wp:docPr descr="Figure 6: A tim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a3c1bd/denmark/auspice/all/chromosome/full/filter30/beast/1.PRE_timetree.png" id="0" name="Picture"/>
                    <pic:cNvPicPr>
                      <a:picLocks noChangeArrowheads="1" noChangeAspect="1"/>
                    </pic:cNvPicPr>
                  </pic:nvPicPr>
                  <pic:blipFill>
                    <a:blip r:embed="rId64"/>
                    <a:stretch>
                      <a:fillRect/>
                    </a:stretch>
                  </pic:blipFill>
                  <pic:spPr bwMode="auto">
                    <a:xfrm>
                      <a:off x="0" y="0"/>
                      <a:ext cx="5943600" cy="6397450"/>
                    </a:xfrm>
                    <a:prstGeom prst="rect">
                      <a:avLst/>
                    </a:prstGeom>
                    <a:noFill/>
                    <a:ln w="9525">
                      <a:noFill/>
                      <a:headEnd/>
                      <a:tailEnd/>
                    </a:ln>
                  </pic:spPr>
                </pic:pic>
              </a:graphicData>
            </a:graphic>
          </wp:inline>
        </w:drawing>
      </w:r>
      <w:bookmarkEnd w:id="65"/>
    </w:p>
    <w:p>
      <w:pPr>
        <w:pStyle w:val="ImageCaption"/>
      </w:pPr>
      <w:r>
        <w:t xml:space="preserve">Figure 6: A time-scaled phylogeny of the Second Plague Pandemic. Asterisks indicate branches with strong statistical support.</w:t>
      </w:r>
    </w:p>
    <w:bookmarkEnd w:id="0"/>
    <w:bookmarkStart w:id="0" w:name="fig:1.PRE_divtree"/>
    <w:p>
      <w:pPr>
        <w:pStyle w:val="CaptionedFigure"/>
      </w:pPr>
      <w:bookmarkStart w:id="67" w:name="fig:1.PRE_divtree"/>
      <w:r>
        <w:drawing>
          <wp:inline>
            <wp:extent cx="5943600" cy="7300039"/>
            <wp:effectExtent b="0" l="0" r="0" t="0"/>
            <wp:docPr descr="Figure 7: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8cdeab8/denmark/auspice/all/chromosome/full/filter30/ml/1.PRE_divtree.png" id="0" name="Picture"/>
                    <pic:cNvPicPr>
                      <a:picLocks noChangeArrowheads="1" noChangeAspect="1"/>
                    </pic:cNvPicPr>
                  </pic:nvPicPr>
                  <pic:blipFill>
                    <a:blip r:embed="rId66"/>
                    <a:stretch>
                      <a:fillRect/>
                    </a:stretch>
                  </pic:blipFill>
                  <pic:spPr bwMode="auto">
                    <a:xfrm>
                      <a:off x="0" y="0"/>
                      <a:ext cx="5943600" cy="7300039"/>
                    </a:xfrm>
                    <a:prstGeom prst="rect">
                      <a:avLst/>
                    </a:prstGeom>
                    <a:noFill/>
                    <a:ln w="9525">
                      <a:noFill/>
                      <a:headEnd/>
                      <a:tailEnd/>
                    </a:ln>
                  </pic:spPr>
                </pic:pic>
              </a:graphicData>
            </a:graphic>
          </wp:inline>
        </w:drawing>
      </w:r>
      <w:bookmarkEnd w:id="67"/>
    </w:p>
    <w:p>
      <w:pPr>
        <w:pStyle w:val="ImageCaption"/>
      </w:pPr>
      <w:r>
        <w:t xml:space="preserve">Figure 7: A divergence-scaled phylogeny of the Second Plague Pandemic. Asterisks indicate branches with strong statistical support.</w:t>
      </w:r>
    </w:p>
    <w:bookmarkEnd w:id="0"/>
    <w:p>
      <w:pPr>
        <w:pStyle w:val="Heading3"/>
      </w:pPr>
      <w:bookmarkStart w:id="68" w:name="miscellaneous"/>
      <w:r>
        <w:t xml:space="preserve">Miscellaneous</w:t>
      </w:r>
      <w:bookmarkEnd w:id="68"/>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69" w:name="methods"/>
      <w:r>
        <w:t xml:space="preserve">Methods</w:t>
      </w:r>
      <w:bookmarkEnd w:id="69"/>
    </w:p>
    <w:p>
      <w:pPr>
        <w:pStyle w:val="FirstParagraph"/>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59"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c2a1c0b1"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c2a1c0b1/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59"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c2a1c0b1"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c2a1c0b1/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2021-07-07T21:49:55Z</dcterms:created>
  <dcterms:modified xsi:type="dcterms:W3CDTF">2021-07-07T21:49:55Z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