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162.png" ContentType="image/png"/>
  <Override PartName="/word/media/rId54.png" ContentType="image/png"/>
  <Override PartName="/word/media/rId168.png" ContentType="image/png"/>
  <Override PartName="/word/media/rId165.png" ContentType="image/png"/>
  <Override PartName="/word/media/rId73.png" ContentType="image/png"/>
  <Override PartName="/word/media/rId71.png" ContentType="image/png"/>
  <Override PartName="/word/media/rId50.png" ContentType="image/png"/>
  <Override PartName="/word/media/rId52.png" ContentType="image/png"/>
  <Override PartName="/word/media/rId77.png" ContentType="image/png"/>
  <Override PartName="/word/media/rId44.png" ContentType="image/png"/>
  <Override PartName="/word/media/rId59.png" ContentType="image/png"/>
  <Override PartName="/word/media/rId47.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900-year</w:t>
      </w:r>
      <w:r>
        <w:t xml:space="preserve"> </w:t>
      </w:r>
      <w:r>
        <w:t xml:space="preserve">longitudinal</w:t>
      </w:r>
      <w:r>
        <w:t xml:space="preserve"> </w:t>
      </w:r>
      <w:r>
        <w:t xml:space="preserve">study</w:t>
      </w:r>
      <w:r>
        <w:t xml:space="preserve"> </w:t>
      </w:r>
      <w:r>
        <w:t xml:space="preserve">of</w:t>
      </w:r>
      <w:r>
        <w:t xml:space="preserve"> </w:t>
      </w:r>
      <w:r>
        <w:rPr>
          <w:i/>
        </w:rPr>
        <w:t xml:space="preserve">Yersinia</w:t>
      </w:r>
      <w:r>
        <w:rPr>
          <w:i/>
        </w:rPr>
        <w:t xml:space="preserve"> </w:t>
      </w:r>
      <w:r>
        <w:rPr>
          <w:i/>
        </w:rPr>
        <w:t xml:space="preserve">pestis</w:t>
      </w:r>
      <w:r>
        <w:t xml:space="preserve"> </w:t>
      </w:r>
      <w:r>
        <w:t xml:space="preserve">in</w:t>
      </w:r>
      <w:r>
        <w:t xml:space="preserve"> </w:t>
      </w:r>
      <w:r>
        <w:t xml:space="preserve">Denmark</w:t>
      </w:r>
      <w:r>
        <w:t xml:space="preserve"> </w:t>
      </w:r>
      <w:r>
        <w:t xml:space="preserve">captures</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w:t>
      </w:r>
      <w:r>
        <w:t xml:space="preserve"> </w:t>
      </w:r>
      <w:r>
        <w:t xml:space="preserve">a</w:t>
      </w:r>
      <w:r>
        <w:t xml:space="preserve"> </w:t>
      </w:r>
      <w:r>
        <w:t xml:space="preserve">plague</w:t>
      </w:r>
      <w:r>
        <w:t xml:space="preserve"> </w:t>
      </w:r>
      <w:r>
        <w:t xml:space="preserve">pandemic.</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ktmeaton/obsidian-public@70d1bcd4</w:t>
        </w:r>
      </w:hyperlink>
      <w:r>
        <w:t xml:space="preserve"> </w:t>
      </w:r>
      <w:r>
        <w:t xml:space="preserve">on July 16,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0000-0002-0314-4160</w:t>
        </w:r>
      </w:hyperlink>
      <w:r>
        <w:br/>
      </w:r>
      <w:r>
        <w:t xml:space="preserve"> </w:t>
      </w:r>
      <w:r>
        <w:t xml:space="preserve">McMaster University</w:t>
      </w:r>
      <w:r>
        <w:t xml:space="preserve"> </w:t>
      </w:r>
    </w:p>
    <w:p>
      <w:pPr>
        <w:pStyle w:val="Heading2"/>
      </w:pPr>
      <w:bookmarkStart w:id="37" w:name="introduction"/>
      <w:r>
        <w:t xml:space="preserve">Introduction</w:t>
      </w:r>
      <w:bookmarkEnd w:id="37"/>
    </w:p>
    <w:p>
      <w:pPr>
        <w:pStyle w:val="FirstParagraph"/>
      </w:pPr>
      <w:r>
        <w:rPr>
          <w:i/>
        </w:rPr>
        <w:t xml:space="preserve">Yersinia pestis</w:t>
      </w:r>
      <w:r>
        <w:t xml:space="preserve">, the causative agent of plague, is the most intensively sequenced ancient pathogen to date. Comparative analyses of ancient</w:t>
      </w:r>
      <w:r>
        <w:t xml:space="preserve"> </w:t>
      </w:r>
      <w:r>
        <w:rPr>
          <w:i/>
        </w:rPr>
        <w:t xml:space="preserve">Y. pestis</w:t>
      </w:r>
      <w:r>
        <w:t xml:space="preserve"> </w:t>
      </w:r>
      <w:r>
        <w:t xml:space="preserve">genomes have significantly advanced our understanding of past pandemics, by shifting discourse on the fluctuating patterns of virulence, geographic dispersal, and local persistence. In particular, genomics research has revealed how historical plagues of the past, such as the First Pandemic (6th-8th century) and the Second Pandemic (14th-19th century), were linked to by novel lineages of</w:t>
      </w:r>
      <w:r>
        <w:t xml:space="preserve"> </w:t>
      </w:r>
      <w:r>
        <w:rPr>
          <w:i/>
        </w:rPr>
        <w:t xml:space="preserve">Y. pestis</w:t>
      </w:r>
      <w:r>
        <w:t xml:space="preserve"> </w:t>
      </w:r>
      <w:r>
        <w:t xml:space="preserve">that persisted for multiple centuries before eventually going extinct.</w:t>
      </w:r>
    </w:p>
    <w:p>
      <w:pPr>
        <w:pStyle w:val="BodyText"/>
      </w:pPr>
      <w:r>
        <w:t xml:space="preserve">This curious dynamic of long-term epidemic cycling, followed by centuries of inactivity, is a distinctive feature of plague in Europe, where plague has been identified in both pandemic and pre-pandemic periods. As one of the oldest known strains of plague was discovered in Scandinavia</w:t>
      </w:r>
      <w:r>
        <w:t xml:space="preserve"> </w:t>
      </w:r>
      <w:r>
        <w:t xml:space="preserve">[</w:t>
      </w:r>
      <w:hyperlink w:anchor="ref-AQa9Tn4j">
        <w:r>
          <w:rPr>
            <w:rStyle w:val="Hyperlink"/>
          </w:rPr>
          <w:t xml:space="preserve">1</w:t>
        </w:r>
      </w:hyperlink>
      <w:r>
        <w:t xml:space="preserve">]</w:t>
      </w:r>
      <w:r>
        <w:t xml:space="preserve">, there is great potential for an intensive examination of</w:t>
      </w:r>
      <w:r>
        <w:t xml:space="preserve"> </w:t>
      </w:r>
      <w:r>
        <w:rPr>
          <w:i/>
        </w:rPr>
        <w:t xml:space="preserve">Y. pestis</w:t>
      </w:r>
      <w:r>
        <w:t xml:space="preserve"> </w:t>
      </w:r>
      <w:r>
        <w:t xml:space="preserve">in this region to reveal novel insight into the long-term epidemiology of plague.</w:t>
      </w:r>
    </w:p>
    <w:p>
      <w:pPr>
        <w:pStyle w:val="BodyText"/>
      </w:pPr>
      <w:r>
        <w:t xml:space="preserve">Despite the recent boom in ancient</w:t>
      </w:r>
      <w:r>
        <w:t xml:space="preserve"> </w:t>
      </w:r>
      <w:r>
        <w:rPr>
          <w:i/>
        </w:rPr>
        <w:t xml:space="preserve">Y. pestis</w:t>
      </w:r>
      <w:r>
        <w:t xml:space="preserve"> </w:t>
      </w:r>
      <w:r>
        <w:t xml:space="preserve">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w:t>
      </w:r>
      <w:r>
        <w:t xml:space="preserve"> </w:t>
      </w:r>
      <w:r>
        <w:rPr>
          <w:i/>
        </w:rPr>
        <w:t xml:space="preserve">Y. pestis</w:t>
      </w:r>
      <w:r>
        <w:t xml:space="preserve"> </w:t>
      </w:r>
      <w:r>
        <w:t xml:space="preserve">to have been present in this region outside of historically documented pandemics. Furthermore, the available historical documentation primarily derives from large commercial centres whereas Scandinavia archives, such as those in the Denmark, have retained limited information about the plague and its impact on society</w:t>
      </w:r>
      <w:r>
        <w:t xml:space="preserve"> </w:t>
      </w:r>
      <w:r>
        <w:t xml:space="preserve">[</w:t>
      </w:r>
      <w:hyperlink w:anchor="ref-NS5uCsyk">
        <w:r>
          <w:rPr>
            <w:rStyle w:val="Hyperlink"/>
          </w:rPr>
          <w:t xml:space="preserve">2</w:t>
        </w:r>
      </w:hyperlink>
      <w:r>
        <w:t xml:space="preserve">]</w:t>
      </w:r>
      <w:r>
        <w:t xml:space="preserve">.</w:t>
      </w:r>
    </w:p>
    <w:p>
      <w:pPr>
        <w:pStyle w:val="BodyText"/>
      </w:pPr>
      <w:r>
        <w:t xml:space="preserve">In response to this region’s historical importance and lack of genomic representation, this study samples and screens skeletal remains from Danish archaeological sites occupied over nearly a millenium, to detect the presence of</w:t>
      </w:r>
      <w:r>
        <w:t xml:space="preserve"> </w:t>
      </w:r>
      <w:r>
        <w:rPr>
          <w:i/>
        </w:rPr>
        <w:t xml:space="preserve">Y. pestis</w:t>
      </w:r>
      <w:r>
        <w:t xml:space="preserve">. Following genomic capture of</w:t>
      </w:r>
      <w:r>
        <w:t xml:space="preserve"> </w:t>
      </w:r>
      <w:r>
        <w:rPr>
          <w:i/>
        </w:rPr>
        <w:t xml:space="preserve">Y. pestis</w:t>
      </w:r>
      <w:r>
        <w:t xml:space="preserve"> </w:t>
      </w:r>
      <w:r>
        <w:t xml:space="preserve">from plague-positive individuals, we examine the temporal and geographic structure of Danish plague within a global context.</w:t>
      </w:r>
    </w:p>
    <w:p>
      <w:pPr>
        <w:pStyle w:val="BlockText"/>
      </w:pPr>
      <w:r>
        <w:rPr>
          <w:b/>
        </w:rPr>
        <w:t xml:space="preserve">Kat’s Notes</w:t>
      </w:r>
      <w:r>
        <w:t xml:space="preserve">: To be expanded upon further and refined following co-author discussion.</w:t>
      </w:r>
    </w:p>
    <w:p>
      <w:pPr>
        <w:pStyle w:val="Heading2"/>
      </w:pPr>
      <w:bookmarkStart w:id="38" w:name="results"/>
      <w:r>
        <w:t xml:space="preserve">Results</w:t>
      </w:r>
      <w:bookmarkEnd w:id="38"/>
    </w:p>
    <w:p>
      <w:pPr>
        <w:pStyle w:val="Heading3"/>
      </w:pPr>
      <w:bookmarkStart w:id="39" w:name="sites-and-samples"/>
      <w:r>
        <w:t xml:space="preserve">Sites and Samples</w:t>
      </w:r>
      <w:bookmarkEnd w:id="39"/>
    </w:p>
    <w:p>
      <w:pPr>
        <w:pStyle w:val="FirstParagraph"/>
      </w:pPr>
      <w:r>
        <w:t xml:space="preserve">325 individuals were sampled across 6 regions from 14 archaeological sites (Table</w:t>
      </w:r>
      <w:r>
        <w:t xml:space="preserve"> </w:t>
      </w:r>
      <w:hyperlink w:anchor="tbl:site_summary">
        <w:r>
          <w:rPr>
            <w:rStyle w:val="Hyperlink"/>
          </w:rPr>
          <w:t xml:space="preserve">1</w:t>
        </w:r>
      </w:hyperlink>
      <w:r>
        <w:t xml:space="preserve">, Figure</w:t>
      </w:r>
      <w:r>
        <w:t xml:space="preserve"> </w:t>
      </w:r>
      <w:hyperlink w:anchor="fig:map_sites">
        <w:r>
          <w:rPr>
            <w:rStyle w:val="Hyperlink"/>
          </w:rPr>
          <w:t xml:space="preserve">1</w:t>
        </w:r>
      </w:hyperlink>
      <w:r>
        <w:t xml:space="preserve">). The site occupation dates span from the 10th to 18th centuries which encompasses the Viking Age (9th - 11th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c>
          <w:tcPr>
            <w:tcBorders>
              <w:bottom w:val="single"/>
            </w:tcBorders>
            <w:vAlign w:val="bottom"/>
          </w:tcPr>
          <w:p>
            <w:pPr>
              <w:pStyle w:val="Compact"/>
              <w:jc w:val="center"/>
            </w:pPr>
            <w:r>
              <w:t xml:space="preserve">Plague Positive</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c>
          <w:p>
            <w:pPr>
              <w:pStyle w:val="Compact"/>
              <w:jc w:val="center"/>
            </w:pPr>
            <w:r>
              <w:t xml:space="preserve">5</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c>
          <w:p>
            <w:pPr>
              <w:pStyle w:val="Compact"/>
              <w:jc w:val="center"/>
            </w:pPr>
            <w:r>
              <w:t xml:space="preserve">0</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c>
          <w:p>
            <w:pPr>
              <w:pStyle w:val="Compact"/>
              <w:jc w:val="center"/>
            </w:pPr>
            <w:r>
              <w:t xml:space="preserve">0</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c>
          <w:p>
            <w:pPr>
              <w:pStyle w:val="Compact"/>
              <w:jc w:val="center"/>
            </w:pPr>
            <w:r>
              <w:t xml:space="preserve">1</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c>
          <w:p>
            <w:pPr>
              <w:pStyle w:val="Compact"/>
              <w:jc w:val="center"/>
            </w:pPr>
            <w:r>
              <w:t xml:space="preserve">0</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c>
          <w:p>
            <w:pPr>
              <w:pStyle w:val="Compact"/>
              <w:jc w:val="center"/>
            </w:pPr>
            <w:r>
              <w:t xml:space="preserve">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c>
          <w:p>
            <w:pPr>
              <w:pStyle w:val="Compact"/>
              <w:jc w:val="center"/>
            </w:pPr>
            <w:r>
              <w:t xml:space="preserve">2</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c>
          <w:p>
            <w:pPr>
              <w:pStyle w:val="Compact"/>
              <w:jc w:val="center"/>
            </w:pPr>
            <w:r>
              <w:t xml:space="preserve">1</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c>
          <w:p>
            <w:pPr>
              <w:pStyle w:val="Compact"/>
              <w:jc w:val="center"/>
            </w:pPr>
            <w:r>
              <w:t xml:space="preserve">1</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c>
          <w:p>
            <w:pPr>
              <w:pStyle w:val="Compact"/>
              <w:jc w:val="center"/>
            </w:pPr>
            <w:r>
              <w:t xml:space="preserve">1</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c>
          <w:p>
            <w:pPr>
              <w:pStyle w:val="Compact"/>
              <w:jc w:val="center"/>
            </w:pPr>
            <w:r>
              <w:t xml:space="preserve">0</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c>
          <w:p>
            <w:pPr>
              <w:pStyle w:val="Compact"/>
              <w:jc w:val="center"/>
            </w:pPr>
            <w:r>
              <w:t xml:space="preserve">0</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c>
          <w:p>
            <w:pPr>
              <w:pStyle w:val="Compact"/>
              <w:jc w:val="center"/>
            </w:pPr>
            <w:r>
              <w:t xml:space="preserve">0</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c>
          <w:p>
            <w:pPr>
              <w:pStyle w:val="Compact"/>
              <w:jc w:val="center"/>
            </w:pPr>
            <w:r>
              <w:t xml:space="preserve">2</w:t>
            </w:r>
          </w:p>
        </w:tc>
      </w:tr>
      <w:tr>
        <w:tc>
          <w:p>
            <w:pPr>
              <w:pStyle w:val="Compact"/>
              <w:jc w:val="center"/>
            </w:pPr>
            <w:r>
              <w:rPr>
                <w:b/>
              </w:rPr>
              <w:t xml:space="preserve">Total</w:t>
            </w:r>
          </w:p>
        </w:tc>
        <w:tc>
          <w:p/>
        </w:tc>
        <w:tc>
          <w:p/>
        </w:tc>
        <w:tc>
          <w:p/>
        </w:tc>
        <w:tc>
          <w:p>
            <w:pPr>
              <w:pStyle w:val="Compact"/>
              <w:jc w:val="center"/>
            </w:pPr>
            <w:r>
              <w:t xml:space="preserve">325</w:t>
            </w:r>
          </w:p>
        </w:tc>
        <w:tc>
          <w:p>
            <w:pPr>
              <w:pStyle w:val="Compact"/>
              <w:jc w:val="center"/>
            </w:pPr>
            <w:r>
              <w:t xml:space="preserve">13</w:t>
            </w:r>
          </w:p>
        </w:tc>
      </w:tr>
    </w:tbl>
    <w:bookmarkEnd w:id="0"/>
    <w:p>
      <w:pPr>
        <w:pStyle w:val="BlockText"/>
      </w:pPr>
      <w:r>
        <w:rPr>
          <w:b/>
        </w:rPr>
        <w:t xml:space="preserve">Kat’s Note</w:t>
      </w:r>
      <w:r>
        <w:t xml:space="preserve">:</w:t>
      </w:r>
      <w:r>
        <w:t xml:space="preserve"> </w:t>
      </w:r>
      <w:r>
        <w:t xml:space="preserve"> </w:t>
      </w:r>
      <w:r>
        <w:t xml:space="preserve">If we are able to refine the skeletal estimates, I can provide narrower time intervals and sample sizes for these sites.</w:t>
      </w:r>
    </w:p>
    <w:bookmarkStart w:id="0" w:name="fig:map_sites"/>
    <w:p>
      <w:pPr>
        <w:pStyle w:val="CaptionedFigure"/>
      </w:pPr>
      <w:bookmarkStart w:id="41"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0"/>
                    <a:stretch>
                      <a:fillRect/>
                    </a:stretch>
                  </pic:blipFill>
                  <pic:spPr bwMode="auto">
                    <a:xfrm>
                      <a:off x="0" y="0"/>
                      <a:ext cx="2351751" cy="2400682"/>
                    </a:xfrm>
                    <a:prstGeom prst="rect">
                      <a:avLst/>
                    </a:prstGeom>
                    <a:noFill/>
                    <a:ln w="9525">
                      <a:noFill/>
                      <a:headEnd/>
                      <a:tailEnd/>
                    </a:ln>
                  </pic:spPr>
                </pic:pic>
              </a:graphicData>
            </a:graphic>
          </wp:inline>
        </w:drawing>
      </w:r>
      <w:bookmarkEnd w:id="41"/>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p>
      <w:pPr>
        <w:pStyle w:val="Heading3"/>
      </w:pPr>
      <w:bookmarkStart w:id="42" w:name="plague-detection"/>
      <w:r>
        <w:t xml:space="preserve">Plague Detection</w:t>
      </w:r>
      <w:bookmarkEnd w:id="42"/>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(&gt;= 3X mean depth).</w:t>
      </w:r>
    </w:p>
    <w:p>
      <w:pPr>
        <w:pStyle w:val="BodyText"/>
      </w:pPr>
      <w:r>
        <w:t xml:space="preserve">Overall, plague was detected in 4% (13/325)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 However, these positivity rates suggest that the absence of plague in Viking settlements could be a false negative as the Viking period is sparsely sampled (N=20). Absence of plague in the Monastery Church at Horsens (1600-1800) is less likely to be a false negative, as the site represents the second largest sample size (N=50) and plague was detected in every other site from the Horsens region.</w:t>
      </w:r>
    </w:p>
    <w:p>
      <w:pPr>
        <w:pStyle w:val="BlockText"/>
      </w:pPr>
      <w:r>
        <w:rPr>
          <w:b/>
        </w:rPr>
        <w:t xml:space="preserve">Questions for Julia Gamble</w:t>
      </w:r>
      <w:r>
        <w:t xml:space="preserve"> </w:t>
      </w:r>
      <w:r>
        <w:t xml:space="preserve">- Do you have sex and age estimates for these individuals? Some are missing in the database.</w:t>
      </w:r>
      <w:r>
        <w:t xml:space="preserve"> </w:t>
      </w:r>
      <w:r>
        <w:t xml:space="preserve">- Are G25A and G25B two individuals from the same grave? If so, very interesting!</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3" w:name="skeletal-dating"/>
      <w:r>
        <w:t xml:space="preserve">Skeletal Dating</w:t>
      </w:r>
      <w:bookmarkEnd w:id="43"/>
    </w:p>
    <w:p>
      <w:pPr>
        <w:pStyle w:val="FirstParagraph"/>
      </w:pPr>
      <w:r>
        <w:t xml:space="preserve">I’m relying heavily on the discussion in Boldsen (2009)</w:t>
      </w:r>
      <w:r>
        <w:t xml:space="preserve"> </w:t>
      </w:r>
      <w:r>
        <w:t xml:space="preserve">[</w:t>
      </w:r>
      <w:hyperlink w:anchor="ref-eD3kpkYB">
        <w:r>
          <w:rPr>
            <w:rStyle w:val="Hyperlink"/>
          </w:rPr>
          <w:t xml:space="preserve">3</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5"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4"/>
                    <a:stretch>
                      <a:fillRect/>
                    </a:stretch>
                  </pic:blipFill>
                  <pic:spPr bwMode="auto">
                    <a:xfrm>
                      <a:off x="0" y="0"/>
                      <a:ext cx="5943600" cy="4531777"/>
                    </a:xfrm>
                    <a:prstGeom prst="rect">
                      <a:avLst/>
                    </a:prstGeom>
                    <a:noFill/>
                    <a:ln w="9525">
                      <a:noFill/>
                      <a:headEnd/>
                      <a:tailEnd/>
                    </a:ln>
                  </pic:spPr>
                </pic:pic>
              </a:graphicData>
            </a:graphic>
          </wp:inline>
        </w:drawing>
      </w:r>
      <w:bookmarkEnd w:id="45"/>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Heading3"/>
      </w:pPr>
      <w:bookmarkStart w:id="46" w:name="molecular-dating"/>
      <w:r>
        <w:t xml:space="preserve">Molecular Dating</w:t>
      </w:r>
      <w:bookmarkEnd w:id="46"/>
    </w:p>
    <w:p>
      <w:pPr>
        <w:pStyle w:val="FirstParagraph"/>
      </w:pPr>
      <w:r>
        <w:t xml:space="preserve">A Bayesian Evaluation of Temporal Signal (BETS) revealed decisive support for temporal signal during the Second Pandemic, with the relaxed clock model having the highest likelihood (Table</w:t>
      </w:r>
      <w:r>
        <w:t xml:space="preserve"> </w:t>
      </w:r>
      <w:hyperlink w:anchor="tbl:bets_summary">
        <w:r>
          <w:rPr>
            <w:rStyle w:val="Hyperlink"/>
          </w:rPr>
          <w:t xml:space="preserve">4</w:t>
        </w:r>
      </w:hyperlink>
      <w: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w:t>
      </w:r>
      <w:r>
        <w:t xml:space="preserve"> </w:t>
      </w:r>
      <w:hyperlink w:anchor="fig:SAMEA7313243_45_date">
        <w:r>
          <w:rPr>
            <w:rStyle w:val="Hyperlink"/>
          </w:rPr>
          <w:t xml:space="preserve">12</w:t>
        </w:r>
      </w:hyperlink>
      <w:r>
        <w:t xml:space="preserve">).</w:t>
      </w:r>
    </w:p>
    <w:bookmarkStart w:id="0" w:name="tbl:bets_summary"/>
    <w:p>
      <w:pPr>
        <w:pStyle w:val="TableCaption"/>
      </w:pPr>
      <w:r>
        <w:t xml:space="preserve">Table 4: Summary of clock model comparisons using a Bayesian Evaluation of Temporal Signal (BETS) analysis.</w:t>
      </w:r>
      <w:r>
        <w:t xml:space="preserve"> </w:t>
      </w:r>
    </w:p>
    <w:tbl>
      <w:tblPr>
        <w:tblStyle w:val="Table"/>
        <w:tblW w:type="pct" w:w="0.0"/>
        <w:tblLook w:firstRow="1"/>
        <w:tblCaption w:val="Table 4: Summary of clock model comparisons using a Bayesian Evaluation of Temporal Signal (BETS) analysis.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Dates vs. No Dates</w:t>
            </w:r>
          </w:p>
        </w:tc>
        <w:tc>
          <w:tcPr>
            <w:tcBorders>
              <w:bottom w:val="single"/>
            </w:tcBorders>
            <w:vAlign w:val="bottom"/>
          </w:tcPr>
          <w:p>
            <w:pPr>
              <w:pStyle w:val="Compact"/>
              <w:jc w:val="center"/>
            </w:pPr>
            <w:r>
              <w:t xml:space="preserve">Relaxed Clock vs. Strict Clock</w:t>
            </w:r>
          </w:p>
        </w:tc>
      </w:tr>
      <w:tr>
        <w:tc>
          <w:p>
            <w:pPr>
              <w:pStyle w:val="Compact"/>
              <w:jc w:val="center"/>
            </w:pPr>
            <w:r>
              <w:t xml:space="preserve">Relaxed Clock</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174</w:t>
            </w:r>
          </w:p>
        </w:tc>
      </w:tr>
      <w:tr>
        <w:tc>
          <w:p>
            <w:pPr>
              <w:pStyle w:val="Compact"/>
              <w:jc w:val="center"/>
            </w:pPr>
            <w:r>
              <w:t xml:space="preserve">Strict Clock</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bl>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w:t>
      </w:r>
      <w:r>
        <w:t xml:space="preserve"> </w:t>
      </w:r>
      <w:r>
        <w:rPr>
          <w:i/>
        </w:rPr>
        <w:t xml:space="preserve">Y. pestis</w:t>
      </w:r>
      <w:r>
        <w:t xml:space="preserve"> </w:t>
      </w:r>
      <w:r>
        <w:t xml:space="preserve">genome is dated to the 15th century. While the 2 sigma distribution of the radiocarbon date partially extends into the 15th century, there remains a substantial conflict between the date of the host, as estimated through archaeological context and radiocarbon dating, and the DNA of the associated pathogen.</w:t>
      </w:r>
    </w:p>
    <w:p>
      <w:pPr>
        <w:pStyle w:val="BlockText"/>
      </w:pPr>
      <w:r>
        <w:rPr>
          <w:b/>
        </w:rPr>
        <w:t xml:space="preserve">Kat’s Note:</w:t>
      </w:r>
      <w:r>
        <w:t xml:space="preserve"> </w:t>
      </w:r>
      <w:r>
        <w:t xml:space="preserve">It is tempting to just say the</w:t>
      </w:r>
      <w:r>
        <w:t xml:space="preserve"> </w:t>
      </w:r>
      <w:r>
        <w:rPr>
          <w:i/>
        </w:rPr>
        <w:t xml:space="preserve">Y. pestis</w:t>
      </w:r>
      <w:r>
        <w:t xml:space="preserve"> </w:t>
      </w:r>
      <w:r>
        <w:t xml:space="preserve">date is inaccurate. But in all other cases, the skeletal dates and the plague dates agree with each other. The phylogenetic position of G371 groups with other Horsens samples with high posterior support, which means the plague DNA for G371 isn’t an outlier…</w:t>
      </w:r>
    </w:p>
    <w:bookmarkStart w:id="0" w:name="tbl:tip_dating_summary"/>
    <w:p>
      <w:pPr>
        <w:pStyle w:val="TableCaption"/>
      </w:pPr>
      <w:r>
        <w:t xml:space="preserve">Table 5: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5: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lockText"/>
      </w:pPr>
      <w:r>
        <w:rPr>
          <w:b/>
        </w:rPr>
        <w:t xml:space="preserve">Question for Vaughan Grimes.</w:t>
      </w:r>
      <w:r>
        <w:t xml:space="preserve"> </w:t>
      </w:r>
      <w:r>
        <w:t xml:space="preserve">Is the interpretation/visual of the radiocarbon date appropriate?</w:t>
      </w:r>
    </w:p>
    <w:p>
      <w:pPr>
        <w:pStyle w:val="BlockText"/>
      </w:pPr>
      <w:r>
        <w:rPr>
          <w:b/>
        </w:rPr>
        <w:t xml:space="preserve">Kat’s Note</w:t>
      </w:r>
      <w:r>
        <w:t xml:space="preserve"> </w:t>
      </w:r>
      <w:r>
        <w:t xml:space="preserve">This figure still requires substantial edits.</w:t>
      </w:r>
    </w:p>
    <w:bookmarkStart w:id="0" w:name="fig:timeline_sites"/>
    <w:p>
      <w:pPr>
        <w:pStyle w:val="CaptionedFigure"/>
      </w:pPr>
      <w:bookmarkStart w:id="48"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in which Y. pestis was detected.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47"/>
                    <a:stretch>
                      <a:fillRect/>
                    </a:stretch>
                  </pic:blipFill>
                  <pic:spPr bwMode="auto">
                    <a:xfrm>
                      <a:off x="0" y="0"/>
                      <a:ext cx="4746317" cy="6660746"/>
                    </a:xfrm>
                    <a:prstGeom prst="rect">
                      <a:avLst/>
                    </a:prstGeom>
                    <a:noFill/>
                    <a:ln w="9525">
                      <a:noFill/>
                      <a:headEnd/>
                      <a:tailEnd/>
                    </a:ln>
                  </pic:spPr>
                </pic:pic>
              </a:graphicData>
            </a:graphic>
          </wp:inline>
        </w:drawing>
      </w:r>
      <w:bookmarkEnd w:id="48"/>
    </w:p>
    <w:p>
      <w:pPr>
        <w:pStyle w:val="ImageCaption"/>
      </w:pPr>
      <w:r>
        <w:t xml:space="preserve">Figure 3: Timeline of archaeological sites and plague-positive individuals. The blue shaded range spans the highest probability period from the oldest to the youngest sample in which</w:t>
      </w:r>
      <w:r>
        <w:t xml:space="preserve"> </w:t>
      </w:r>
      <w:r>
        <w:rPr>
          <w:i/>
        </w:rPr>
        <w:t xml:space="preserve">Y. pestis</w:t>
      </w:r>
      <w:r>
        <w:t xml:space="preserve"> </w:t>
      </w:r>
      <w:r>
        <w:t xml:space="preserve">was detected. The color orange indicates the sample and site with disparate dates.</w:t>
      </w:r>
    </w:p>
    <w:bookmarkEnd w:id="0"/>
    <w:p>
      <w:pPr>
        <w:pStyle w:val="Heading3"/>
      </w:pPr>
      <w:bookmarkStart w:id="49" w:name="phylogeny"/>
      <w:r>
        <w:t xml:space="preserve">Phylogeny</w:t>
      </w:r>
      <w:bookmarkEnd w:id="49"/>
    </w:p>
    <w:p>
      <w:pPr>
        <w:pStyle w:val="FirstParagraph"/>
      </w:pPr>
      <w:r>
        <w:t xml:space="preserve">A time-scaled phylogeny was estimated to compare the 9 Danish</w:t>
      </w:r>
      <w:r>
        <w:t xml:space="preserve"> </w:t>
      </w:r>
      <w:r>
        <w:rPr>
          <w:i/>
        </w:rPr>
        <w:t xml:space="preserve">Y. pestis</w:t>
      </w:r>
      <w:r>
        <w:t xml:space="preserve"> </w:t>
      </w:r>
      <w:r>
        <w:t xml:space="preserve">genomes to 40 previously published Second Pandemic samples (Figure</w:t>
      </w:r>
      <w:r>
        <w:t xml:space="preserve"> </w:t>
      </w:r>
      <w:hyperlink w:anchor="fig:1.PRE_timetree">
        <w:r>
          <w:rPr>
            <w:rStyle w:val="Hyperlink"/>
          </w:rPr>
          <w:t xml:space="preserve">4</w:t>
        </w:r>
      </w:hyperlink>
      <w:r>
        <w:t xml:space="preserve">). The temporal structure of the Second Pandemic is also visualized as a timeline, which re-orients the time-scaled phylogeny to trace a path from the root to the most recently collected sample (Figure</w:t>
      </w:r>
      <w:r>
        <w:t xml:space="preserve"> </w:t>
      </w:r>
      <w:hyperlink w:anchor="fig:1.PRE_timeline">
        <w:r>
          <w:rPr>
            <w:rStyle w:val="Hyperlink"/>
          </w:rPr>
          <w:t xml:space="preserve">5</w:t>
        </w:r>
      </w:hyperlink>
      <w:r>
        <w:t xml:space="preserve">). The geographic distribution of</w:t>
      </w:r>
      <w:r>
        <w:t xml:space="preserve"> </w:t>
      </w:r>
      <w:r>
        <w:rPr>
          <w:i/>
        </w:rPr>
        <w:t xml:space="preserve">Y. pestis</w:t>
      </w:r>
      <w:r>
        <w:t xml:space="preserve"> </w:t>
      </w:r>
      <w:r>
        <w:t xml:space="preserve">genomes used in the phylogenetic analysis is displayed in Figure</w:t>
      </w:r>
      <w:r>
        <w:t xml:space="preserve"> </w:t>
      </w:r>
      <w:hyperlink w:anchor="fig:1.PRE_map">
        <w:r>
          <w:rPr>
            <w:rStyle w:val="Hyperlink"/>
          </w:rPr>
          <w:t xml:space="preserve">6</w:t>
        </w:r>
      </w:hyperlink>
      <w:r>
        <w:t xml:space="preserve">.</w:t>
      </w:r>
    </w:p>
    <w:p>
      <w:pPr>
        <w:pStyle w:val="BodyText"/>
      </w:pPr>
      <w:r>
        <w:rPr>
          <w:i/>
        </w:rPr>
        <w:t xml:space="preserve">Y. pestis</w:t>
      </w:r>
      <w:r>
        <w:t xml:space="preserve"> </w:t>
      </w:r>
      <w:r>
        <w:t xml:space="preserve">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w:t>
      </w:r>
      <w:r>
        <w:t xml:space="preserve"> </w:t>
      </w:r>
      <w:r>
        <w:t xml:space="preserve">‘</w:t>
      </w:r>
      <w:r>
        <w:t xml:space="preserve">pestilence</w:t>
      </w:r>
      <w:r>
        <w:t xml:space="preserve">’</w:t>
      </w:r>
      <w:r>
        <w:t xml:space="preserve"> </w:t>
      </w:r>
      <w:r>
        <w:t xml:space="preserve">that affected medieval Europe</w:t>
      </w:r>
      <w:r>
        <w:t xml:space="preserve"> </w:t>
      </w:r>
      <w:r>
        <w:t xml:space="preserve">[</w:t>
      </w:r>
      <w:hyperlink w:anchor="ref-13NOJLbvF">
        <w:r>
          <w:rPr>
            <w:rStyle w:val="Hyperlink"/>
          </w:rPr>
          <w:t xml:space="preserve">4</w:t>
        </w:r>
      </w:hyperlink>
      <w:r>
        <w:t xml:space="preserve">]</w:t>
      </w:r>
      <w:r>
        <w:t xml:space="preserve">, and thus we use this theoretical framework to contextualized the observed genetic diversity in Denmark.</w:t>
      </w:r>
    </w:p>
    <w:bookmarkStart w:id="0" w:name="fig:1.PRE_timetree"/>
    <w:p>
      <w:pPr>
        <w:pStyle w:val="CaptionedFigure"/>
      </w:pPr>
      <w:bookmarkStart w:id="51" w:name="fig:1.PRE_timetree"/>
      <w:r>
        <w:drawing>
          <wp:inline>
            <wp:extent cx="5943600" cy="5677239"/>
            <wp:effectExtent b="0" l="0" r="0" t="0"/>
            <wp:docPr descr="Figure 4: A time-scaled phylogeny of the Second Plague Pandemic." title="" id="1" name="Picture"/>
            <a:graphic>
              <a:graphicData uri="http://schemas.openxmlformats.org/drawingml/2006/picture">
                <pic:pic>
                  <pic:nvPicPr>
                    <pic:cNvPr descr="https://rawcdn.githack.com/ktmeaton/plague-phylogeography-projects/aaa5034/denmark/auspice/all/chromosome/full/filter30/beast/1.PRE_timetree.png" id="0" name="Picture"/>
                    <pic:cNvPicPr>
                      <a:picLocks noChangeArrowheads="1" noChangeAspect="1"/>
                    </pic:cNvPicPr>
                  </pic:nvPicPr>
                  <pic:blipFill>
                    <a:blip r:embed="rId50"/>
                    <a:stretch>
                      <a:fillRect/>
                    </a:stretch>
                  </pic:blipFill>
                  <pic:spPr bwMode="auto">
                    <a:xfrm>
                      <a:off x="0" y="0"/>
                      <a:ext cx="5943600" cy="5677239"/>
                    </a:xfrm>
                    <a:prstGeom prst="rect">
                      <a:avLst/>
                    </a:prstGeom>
                    <a:noFill/>
                    <a:ln w="9525">
                      <a:noFill/>
                      <a:headEnd/>
                      <a:tailEnd/>
                    </a:ln>
                  </pic:spPr>
                </pic:pic>
              </a:graphicData>
            </a:graphic>
          </wp:inline>
        </w:drawing>
      </w:r>
      <w:bookmarkEnd w:id="51"/>
    </w:p>
    <w:p>
      <w:pPr>
        <w:pStyle w:val="ImageCaption"/>
      </w:pPr>
      <w:r>
        <w:t xml:space="preserve">Figure 4: A time-scaled phylogeny of the Second Plague Pandemic.</w:t>
      </w:r>
    </w:p>
    <w:bookmarkEnd w:id="0"/>
    <w:bookmarkStart w:id="0" w:name="fig:1.PRE_timeline"/>
    <w:p>
      <w:pPr>
        <w:pStyle w:val="CaptionedFigure"/>
      </w:pPr>
      <w:bookmarkStart w:id="53" w:name="fig:1.PRE_timeline"/>
      <w:r>
        <w:drawing>
          <wp:inline>
            <wp:extent cx="5943600" cy="2348292"/>
            <wp:effectExtent b="0" l="0" r="0" t="0"/>
            <wp:docPr descr="Figure 5: A timeline phylogeny of the Second Plague Pandemic." title="" id="1" name="Picture"/>
            <a:graphic>
              <a:graphicData uri="http://schemas.openxmlformats.org/drawingml/2006/picture">
                <pic:pic>
                  <pic:nvPicPr>
                    <pic:cNvPr descr="https://rawcdn.githack.com/ktmeaton/plague-phylogeography-projects/aaa5034/denmark/beast/all/chromosome/full/filter30/relaxed_clock/dates/run/1.PRE_timeline.png" id="0" name="Picture"/>
                    <pic:cNvPicPr>
                      <a:picLocks noChangeArrowheads="1" noChangeAspect="1"/>
                    </pic:cNvPicPr>
                  </pic:nvPicPr>
                  <pic:blipFill>
                    <a:blip r:embed="rId52"/>
                    <a:stretch>
                      <a:fillRect/>
                    </a:stretch>
                  </pic:blipFill>
                  <pic:spPr bwMode="auto">
                    <a:xfrm>
                      <a:off x="0" y="0"/>
                      <a:ext cx="5943600" cy="2348292"/>
                    </a:xfrm>
                    <a:prstGeom prst="rect">
                      <a:avLst/>
                    </a:prstGeom>
                    <a:noFill/>
                    <a:ln w="9525">
                      <a:noFill/>
                      <a:headEnd/>
                      <a:tailEnd/>
                    </a:ln>
                  </pic:spPr>
                </pic:pic>
              </a:graphicData>
            </a:graphic>
          </wp:inline>
        </w:drawing>
      </w:r>
      <w:bookmarkEnd w:id="53"/>
    </w:p>
    <w:p>
      <w:pPr>
        <w:pStyle w:val="ImageCaption"/>
      </w:pPr>
      <w:r>
        <w:t xml:space="preserve">Figure 5: A timeline phylogeny of the Second Plague Pandemic.</w:t>
      </w:r>
    </w:p>
    <w:bookmarkEnd w:id="0"/>
    <w:bookmarkStart w:id="0" w:name="fig:1.PRE_map"/>
    <w:p>
      <w:pPr>
        <w:pStyle w:val="CaptionedFigure"/>
      </w:pPr>
      <w:bookmarkStart w:id="55" w:name="fig:1.PRE_map"/>
      <w:r>
        <w:drawing>
          <wp:inline>
            <wp:extent cx="5943600" cy="3343274"/>
            <wp:effectExtent b="0" l="0" r="0" t="0"/>
            <wp:docPr descr="Figure 6: Geographic distribution of Second Pandemic samples used in the Yersinia pestis phylogeny." title="" id="1" name="Picture"/>
            <a:graphic>
              <a:graphicData uri="http://schemas.openxmlformats.org/drawingml/2006/picture">
                <pic:pic>
                  <pic:nvPicPr>
                    <pic:cNvPr descr="https://rawcdn.githack.com/ktmeaton/plague-phylogeography-projects/532a976/denmark/auspice/all/chromosome/full/filter30/beast/1.PRE_map.png" id="0" name="Picture"/>
                    <pic:cNvPicPr>
                      <a:picLocks noChangeArrowheads="1" noChangeAspect="1"/>
                    </pic:cNvPicPr>
                  </pic:nvPicPr>
                  <pic:blipFill>
                    <a:blip r:embed="rId54"/>
                    <a:stretch>
                      <a:fillRect/>
                    </a:stretch>
                  </pic:blipFill>
                  <pic:spPr bwMode="auto">
                    <a:xfrm>
                      <a:off x="0" y="0"/>
                      <a:ext cx="5943600" cy="3343274"/>
                    </a:xfrm>
                    <a:prstGeom prst="rect">
                      <a:avLst/>
                    </a:prstGeom>
                    <a:noFill/>
                    <a:ln w="9525">
                      <a:noFill/>
                      <a:headEnd/>
                      <a:tailEnd/>
                    </a:ln>
                  </pic:spPr>
                </pic:pic>
              </a:graphicData>
            </a:graphic>
          </wp:inline>
        </w:drawing>
      </w:r>
      <w:bookmarkEnd w:id="55"/>
    </w:p>
    <w:p>
      <w:pPr>
        <w:pStyle w:val="ImageCaption"/>
      </w:pPr>
      <w:r>
        <w:t xml:space="preserve">Figure 6: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6" w:name="the-first-phase-black-death"/>
      <w:r>
        <w:t xml:space="preserve">The First Phase: Black Death</w:t>
      </w:r>
      <w:bookmarkEnd w:id="56"/>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(Table</w:t>
      </w:r>
      <w:r>
        <w:t xml:space="preserve"> </w:t>
      </w:r>
      <w:hyperlink w:anchor="tbl:dates_black_death">
        <w:r>
          <w:rPr>
            <w:rStyle w:val="Hyperlink"/>
          </w:rPr>
          <w:t xml:space="preserve">10</w:t>
        </w:r>
      </w:hyperlink>
      <w:r>
        <w:t xml:space="preserve">). This cluster is thought to be associated with the infamous Black Death (1346-1353) where mortality estimates ranged from 20-50%</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This association is based upon the observations of temporal overlap and little to no genetic diversity that rapidly dispersed across Europe, including France, Spain, England, Germany, Norway, and now Denmark. Overall, this pattern is typical of epidemic spread</w:t>
      </w:r>
      <w:r>
        <w:t xml:space="preserve"> </w:t>
      </w:r>
      <w:r>
        <w:t xml:space="preserve">[</w:t>
      </w:r>
      <w:r>
        <w:rPr>
          <w:b/>
        </w:rPr>
        <w:t xml:space="preserve">???</w:t>
      </w:r>
      <w:r>
        <w:t xml:space="preserve">]</w:t>
      </w:r>
      <w:r>
        <w:t xml:space="preserve">, and has also been observed at the advent of the Third Plague Pandemic</w:t>
      </w:r>
      <w:r>
        <w:t xml:space="preserve"> </w:t>
      </w:r>
      <w:r>
        <w:t xml:space="preserve">[</w:t>
      </w:r>
      <w:r>
        <w:rPr>
          <w:b/>
        </w:rPr>
        <w:t xml:space="preserve">???</w:t>
      </w:r>
      <w:r>
        <w:t xml:space="preserve">]</w:t>
      </w:r>
      <w:r>
        <w:t xml:space="preserve">.</w:t>
      </w:r>
    </w:p>
    <w:p>
      <w:pPr>
        <w:pStyle w:val="BodyText"/>
      </w:pPr>
      <w:r>
        <w:t xml:space="preserve">Similar to the rest of Western and Northern Europe,</w:t>
      </w:r>
      <w:r>
        <w:t xml:space="preserve"> </w:t>
      </w:r>
      <w:r>
        <w:rPr>
          <w:i/>
        </w:rPr>
        <w:t xml:space="preserve">Y. pestis</w:t>
      </w:r>
      <w:r>
        <w:t xml:space="preserve"> </w:t>
      </w:r>
      <w:r>
        <w:t xml:space="preserve">appears suddenly in Denmark in the 14th century. The genomes from G25A and G16 mark the first observation of</w:t>
      </w:r>
      <w:r>
        <w:t xml:space="preserve"> </w:t>
      </w:r>
      <w:r>
        <w:rPr>
          <w:i/>
        </w:rPr>
        <w:t xml:space="preserve">Y. pestis</w:t>
      </w:r>
      <w:r>
        <w:t xml:space="preserve"> </w:t>
      </w:r>
      <w:r>
        <w:t xml:space="preserve">in Denmark and are congruent with historical records that document the arrival of the Black Death in Ribe in 1349</w:t>
      </w:r>
      <w:r>
        <w:t xml:space="preserve"> </w:t>
      </w:r>
      <w:r>
        <w:t xml:space="preserve">[</w:t>
      </w:r>
      <w:hyperlink w:anchor="ref-1G9pdnarW">
        <w:r>
          <w:rPr>
            <w:rStyle w:val="Hyperlink"/>
          </w:rPr>
          <w:t xml:space="preserve">6</w:t>
        </w:r>
      </w:hyperlink>
      <w:r>
        <w:t xml:space="preserve">]</w:t>
      </w:r>
      <w:r>
        <w:t xml:space="preserve">.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Unfortunately, the high degree of genetic similarity means that the branching patterns, and thus dispersal of</w:t>
      </w:r>
      <w:r>
        <w:t xml:space="preserve"> </w:t>
      </w:r>
      <w:r>
        <w:rPr>
          <w:i/>
        </w:rPr>
        <w:t xml:space="preserve">Y. pestis</w:t>
      </w:r>
      <w:r>
        <w:t xml:space="preserve">, cannot be resolved during this period.</w:t>
      </w:r>
    </w:p>
    <w:p>
      <w:pPr>
        <w:pStyle w:val="BlockText"/>
      </w:pPr>
      <w:r>
        <w:rPr>
          <w:b/>
        </w:rPr>
        <w:t xml:space="preserve">Kat’s Note</w:t>
      </w:r>
      <w:r>
        <w:t xml:space="preserve">:</w:t>
      </w:r>
      <w:r>
        <w:t xml:space="preserve"> </w:t>
      </w:r>
      <w:r>
        <w:t xml:space="preserve">- G25A has the lowest sequencing depth, with a mean chromosomal depth of 3.8 molecules per nucleotide. This might mean that diagnostic positions for the post-Black Death clade are missing as</w:t>
      </w:r>
      <w:r>
        <w:t xml:space="preserve"> </w:t>
      </w:r>
      <w:r>
        <w:t xml:space="preserve">“</w:t>
      </w:r>
      <w:r>
        <w:t xml:space="preserve">false</w:t>
      </w:r>
      <w:r>
        <w:t xml:space="preserve">”</w:t>
      </w:r>
      <w:r>
        <w:t xml:space="preserve"> </w:t>
      </w:r>
      <w:r>
        <w:t xml:space="preserve">negatives. This would make it seem earlier/less-derived if those mutations are</w:t>
      </w:r>
      <w:r>
        <w:t xml:space="preserve"> </w:t>
      </w:r>
      <w:r>
        <w:t xml:space="preserve">‘</w:t>
      </w:r>
      <w:r>
        <w:t xml:space="preserve">missing</w:t>
      </w:r>
      <w:r>
        <w:t xml:space="preserve">’</w:t>
      </w:r>
      <w:r>
        <w:t xml:space="preserve">. I will investigate!</w:t>
      </w:r>
    </w:p>
    <w:p>
      <w:pPr>
        <w:pStyle w:val="Heading4"/>
      </w:pPr>
      <w:bookmarkStart w:id="57" w:name="the-second-phase-pestis-secunda"/>
      <w:r>
        <w:t xml:space="preserve">The Second Phase:</w:t>
      </w:r>
      <w:r>
        <w:t xml:space="preserve"> </w:t>
      </w:r>
      <w:r>
        <w:rPr>
          <w:i/>
        </w:rPr>
        <w:t xml:space="preserve">pestis secunda</w:t>
      </w:r>
      <w:bookmarkEnd w:id="57"/>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 Historically, this clade has been linked to the</w:t>
      </w:r>
      <w:r>
        <w:t xml:space="preserve"> </w:t>
      </w:r>
      <w:r>
        <w:rPr>
          <w:i/>
        </w:rPr>
        <w:t xml:space="preserve">pestis secunda</w:t>
      </w:r>
      <w:r>
        <w:t xml:space="preserve">, a wave of plague outbreaks dated between 1357 to 1366</w:t>
      </w:r>
      <w:r>
        <w:t xml:space="preserve"> </w:t>
      </w:r>
      <w:r>
        <w:t xml:space="preserve">[</w:t>
      </w:r>
      <w:hyperlink w:anchor="ref-P4ttAUpf">
        <w:r>
          <w:rPr>
            <w:rStyle w:val="Hyperlink"/>
          </w:rPr>
          <w:t xml:space="preserve">7</w:t>
        </w:r>
      </w:hyperlink>
      <w:r>
        <w:t xml:space="preserve">,</w:t>
      </w:r>
      <w:hyperlink w:anchor="ref-1BWm60ySL">
        <w:r>
          <w:rPr>
            <w:rStyle w:val="Hyperlink"/>
          </w:rPr>
          <w:t xml:space="preserve">8</w:t>
        </w:r>
      </w:hyperlink>
      <w:r>
        <w:t xml:space="preserve">]</w:t>
      </w:r>
      <w:r>
        <w:t xml:space="preserve">. The estimated molecular dates do overlap with this time period (Table</w:t>
      </w:r>
      <w:r>
        <w:t xml:space="preserve"> </w:t>
      </w:r>
      <w:hyperlink w:anchor="tbl:dates_secunda">
        <w:r>
          <w:rPr>
            <w:rStyle w:val="Hyperlink"/>
          </w:rPr>
          <w:t xml:space="preserve">11</w:t>
        </w:r>
      </w:hyperlink>
      <w:r>
        <w:t xml:space="preserve">) but do not have sufficient resolution and thus offer only weak support of this hypothesis. However the relative position of this monophyletic clade, which post-dates the Black Death with strong posterior support, tentatively suggests that these populations were affected by a new lineage that diverged soon after the Black Death.</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minimally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Danish plague and the only Second Pandemic lineage that is known to persist until the present.</w:t>
      </w:r>
    </w:p>
    <w:p>
      <w:pPr>
        <w:pStyle w:val="Heading4"/>
      </w:pPr>
      <w:bookmarkStart w:id="58" w:name="the-tertiary-phases-pestis-tertia"/>
      <w:r>
        <w:t xml:space="preserve">The Tertiary Phases:</w:t>
      </w:r>
      <w:r>
        <w:t xml:space="preserve"> </w:t>
      </w:r>
      <w:r>
        <w:rPr>
          <w:i/>
        </w:rPr>
        <w:t xml:space="preserve">pestis tertia</w:t>
      </w:r>
      <w:bookmarkEnd w:id="58"/>
    </w:p>
    <w:p>
      <w:pPr>
        <w:pStyle w:val="FirstParagraph"/>
      </w:pPr>
      <w:r>
        <w:t xml:space="preserve">In contrast to the genetic homogeneity observed across Europe during the Black Death period, isolates of plague in the post-Black Death period are easily distinguished. Three Danish genomes (A1480x1480, A1436x3011, and G371) collected from three different sites near Horsens derive from independent emergences, despite having temporal overlap. This has also been observed in Germany as samples collected in relatively close proximity are genetically distinct. The geographic structure of this clade is therefore not readily apparent, in comparison to later epidemics where samples with geographic and temporal overlap form monophyletic clades (ex. Switzerland and France).</w:t>
      </w:r>
    </w:p>
    <w:p>
      <w:pPr>
        <w:pStyle w:val="BodyText"/>
      </w:pPr>
      <w:r>
        <w:t xml:space="preserve">This pattern of independent emergence is the first defining characteristic of plague during this period. The</w:t>
      </w:r>
      <w:r>
        <w:t xml:space="preserve"> </w:t>
      </w:r>
      <w:r>
        <w:rPr>
          <w:i/>
        </w:rPr>
        <w:t xml:space="preserve">Y. pestis</w:t>
      </w:r>
      <w:r>
        <w:t xml:space="preserve"> </w:t>
      </w:r>
      <w:r>
        <w:t xml:space="preserve">genomes within this phase, with estimated dates from the 14th to as late as the early 16th century (Table</w:t>
      </w:r>
      <w:r>
        <w:t xml:space="preserve"> </w:t>
      </w:r>
      <w:hyperlink w:anchor="tbl:dates_tertia">
        <w:r>
          <w:rPr>
            <w:rStyle w:val="Hyperlink"/>
          </w:rPr>
          <w:t xml:space="preserve">12</w:t>
        </w:r>
      </w:hyperlink>
      <w:r>
        <w:t xml:space="preserve">), are thus far all uniquely derived lineages. One interpretation of this pattern is</w:t>
      </w:r>
      <w:r>
        <w:t xml:space="preserve"> </w:t>
      </w:r>
      <w:r>
        <w:t xml:space="preserve">“</w:t>
      </w:r>
      <w:r>
        <w:t xml:space="preserve">boom-bust</w:t>
      </w:r>
      <w:r>
        <w:t xml:space="preserve">”</w:t>
      </w:r>
      <w:r>
        <w:t xml:space="preserve"> </w:t>
      </w:r>
      <w:r>
        <w:t xml:space="preserve">cycling</w:t>
      </w:r>
      <w:r>
        <w:t xml:space="preserve"> </w:t>
      </w:r>
      <w:r>
        <w:t xml:space="preserve">[</w:t>
      </w:r>
      <w:hyperlink w:anchor="ref-11wSWLa1D">
        <w:r>
          <w:rPr>
            <w:rStyle w:val="Hyperlink"/>
          </w:rPr>
          <w:t xml:space="preserve">9</w:t>
        </w:r>
      </w:hyperlink>
      <w:r>
        <w:t xml:space="preserve">]</w:t>
      </w:r>
      <w:r>
        <w:t xml:space="preserve">, in which</w:t>
      </w:r>
      <w:r>
        <w:t xml:space="preserve"> </w:t>
      </w:r>
      <w:r>
        <w:t xml:space="preserve">“</w:t>
      </w:r>
      <w:r>
        <w:t xml:space="preserve">booms</w:t>
      </w:r>
      <w:r>
        <w:t xml:space="preserve">”</w:t>
      </w:r>
      <w:r>
        <w:t xml:space="preserve"> </w:t>
      </w:r>
      <w:r>
        <w:t xml:space="preserve">(epidemics) are frequently sampled when bacterial populations expand, and in the case of zoonoses like plague, spill-over from reservoir species into new hosts</w:t>
      </w:r>
      <w:r>
        <w:t xml:space="preserve"> </w:t>
      </w:r>
      <w:hyperlink w:anchor="ref-lEVhhIPK">
        <w:r>
          <w:rPr>
            <w:rStyle w:val="Hyperlink"/>
          </w:rPr>
          <w:t xml:space="preserve">10</w:t>
        </w:r>
      </w:hyperlink>
      <w:r>
        <w:t xml:space="preserve">. In contrast, the</w:t>
      </w:r>
      <w:r>
        <w:t xml:space="preserve"> </w:t>
      </w:r>
      <w:r>
        <w:t xml:space="preserve">“</w:t>
      </w:r>
      <w:r>
        <w:t xml:space="preserve">bust</w:t>
      </w:r>
      <w:r>
        <w:t xml:space="preserve">”</w:t>
      </w:r>
      <w:r>
        <w:t xml:space="preserve"> </w:t>
      </w:r>
      <w:r>
        <w:t xml:space="preserve">periods are under-sampled where bacterial populations decline and possibly retreat back into wild foci.</w:t>
      </w:r>
    </w:p>
    <w:p>
      <w:pPr>
        <w:pStyle w:val="BodyText"/>
      </w:pPr>
      <w:r>
        <w:t xml:space="preserve">Using this framework, the observed genetic diversity in this phase may reflect serial</w:t>
      </w:r>
      <w:r>
        <w:t xml:space="preserve"> </w:t>
      </w:r>
      <w:r>
        <w:t xml:space="preserve">“</w:t>
      </w:r>
      <w:r>
        <w:t xml:space="preserve">booms</w:t>
      </w:r>
      <w:r>
        <w:t xml:space="preserve">”</w:t>
      </w:r>
      <w:r>
        <w:t xml:space="preserve"> </w:t>
      </w:r>
      <w:r>
        <w:t xml:space="preserve">in which</w:t>
      </w:r>
      <w:r>
        <w:t xml:space="preserve"> </w:t>
      </w:r>
      <w:r>
        <w:rPr>
          <w:i/>
        </w:rPr>
        <w:t xml:space="preserve">Y. pestis</w:t>
      </w:r>
      <w:r>
        <w:t xml:space="preserve"> </w:t>
      </w:r>
      <w:r>
        <w:t xml:space="preserve">continually re-emerges from a reservoir to infect human populations, followed by extinction of the spill-over lineage. This pattern aligns with the hypothesis of tertiary pestilences,</w:t>
      </w:r>
      <w:r>
        <w:t xml:space="preserve"> </w:t>
      </w:r>
      <w:r>
        <w:rPr>
          <w:i/>
        </w:rPr>
        <w:t xml:space="preserve">pestis tertia</w:t>
      </w:r>
      <w:r>
        <w:t xml:space="preserve">, both in terms of temporal overlap and epidemiology. The</w:t>
      </w:r>
      <w:r>
        <w:t xml:space="preserve"> </w:t>
      </w:r>
      <w:r>
        <w:rPr>
          <w:i/>
        </w:rPr>
        <w:t xml:space="preserve">pestis tertia</w:t>
      </w:r>
      <w:r>
        <w:t xml:space="preserve"> </w:t>
      </w:r>
      <w:r>
        <w:t xml:space="preserve">(1364-1376) was followed by subsequent waves of plague that re-occurred every 5-12 years throughout the late 14th and the 15th centuries</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w:t>
      </w:r>
      <w:r>
        <w:t xml:space="preserve">This frequently cycling was also accompanied by a dramatic reduction in mortality estimates, from 20-50% as observed during the Black Death to 5-15%. If this clade of</w:t>
      </w:r>
      <w:r>
        <w:t xml:space="preserve"> </w:t>
      </w:r>
      <w:r>
        <w:rPr>
          <w:i/>
        </w:rPr>
        <w:t xml:space="preserve">Y. pestis</w:t>
      </w:r>
      <w:r>
        <w:t xml:space="preserve"> </w:t>
      </w:r>
      <w:r>
        <w:t xml:space="preserve">is linked to the historical</w:t>
      </w:r>
      <w:r>
        <w:t xml:space="preserve"> </w:t>
      </w:r>
      <w:r>
        <w:rPr>
          <w:i/>
        </w:rPr>
        <w:t xml:space="preserve">pestis tertia</w:t>
      </w:r>
      <w:r>
        <w:t xml:space="preserve">, one might expect to see genomic changes associated with a decline in virulence.</w:t>
      </w:r>
    </w:p>
    <w:p>
      <w:pPr>
        <w:pStyle w:val="BodyText"/>
      </w:pPr>
      <w:r>
        <w:t xml:space="preserve">Indeed, the second defining characteristic of this period is the depletion of a key virulence factor, the</w:t>
      </w:r>
      <w:r>
        <w:t xml:space="preserve"> </w:t>
      </w:r>
      <w:r>
        <w:rPr>
          <w:i/>
        </w:rPr>
        <w:t xml:space="preserve">plasminogen activator</w:t>
      </w:r>
      <w:r>
        <w:t xml:space="preserve"> </w:t>
      </w:r>
      <w:r>
        <w:t xml:space="preserve">(</w:t>
      </w:r>
      <w:r>
        <w:rPr>
          <w:i/>
        </w:rPr>
        <w:t xml:space="preserve">pla</w:t>
      </w:r>
      <w:r>
        <w:t xml:space="preserve">) on the pPCP1 plasmid. Previous work has identified the presence of</w:t>
      </w:r>
      <w:r>
        <w:t xml:space="preserve"> </w:t>
      </w:r>
      <w:r>
        <w:rPr>
          <w:i/>
        </w:rPr>
        <w:t xml:space="preserve">pla</w:t>
      </w:r>
      <w:r>
        <w:t xml:space="preserve">+ and</w:t>
      </w:r>
      <w:r>
        <w:t xml:space="preserve"> </w:t>
      </w:r>
      <w:r>
        <w:rPr>
          <w:i/>
        </w:rPr>
        <w:t xml:space="preserve">pla</w:t>
      </w:r>
      <w:r>
        <w:t xml:space="preserve">- plasmids co-existing in post-Black Death samples</w:t>
      </w:r>
      <w:r>
        <w:t xml:space="preserve"> </w:t>
      </w:r>
      <w:r>
        <w:t xml:space="preserve">[</w:t>
      </w:r>
      <w:hyperlink w:anchor="ref-OLBXS56Z">
        <w:r>
          <w:rPr>
            <w:rStyle w:val="Hyperlink"/>
          </w:rPr>
          <w:t xml:space="preserve">11</w:t>
        </w:r>
      </w:hyperlink>
      <w:r>
        <w:t xml:space="preserve">]</w:t>
      </w:r>
      <w:r>
        <w:t xml:space="preserve">. A re-analysis of publicly available genomes reiterates these results, and reveals two clusters that can be easily distinguished when the sequencing depth of the</w:t>
      </w:r>
      <w:r>
        <w:t xml:space="preserve"> </w:t>
      </w:r>
      <w:r>
        <w:rPr>
          <w:i/>
        </w:rPr>
        <w:t xml:space="preserve">pla</w:t>
      </w:r>
      <w:r>
        <w:t xml:space="preserve"> </w:t>
      </w:r>
      <w:r>
        <w:t xml:space="preserve">gene is compared to the sequencing depth of the</w:t>
      </w:r>
      <w:r>
        <w:t xml:space="preserve"> </w:t>
      </w:r>
      <w:r>
        <w:rPr>
          <w:i/>
        </w:rPr>
        <w:t xml:space="preserve">pst</w:t>
      </w:r>
      <w:r>
        <w:t xml:space="preserve"> </w:t>
      </w:r>
      <w:r>
        <w:t xml:space="preserve">gene, which is also found on the pPCP1 plasmid (Figure</w:t>
      </w:r>
      <w:r>
        <w:t xml:space="preserve"> </w:t>
      </w:r>
      <w:hyperlink w:anchor="fig:depletion_pla">
        <w:r>
          <w:rPr>
            <w:rStyle w:val="Hyperlink"/>
          </w:rPr>
          <w:t xml:space="preserve">7</w:t>
        </w:r>
      </w:hyperlink>
      <w:r>
        <w:t xml:space="preserve">). This depletion event is first observed in strain STA0001 from Germany (1390 - 1476) and is perpetuated in all subsequent strains, with the exception of Gdansk8 from Poland (1461 - 1523) and Rostov2033 from Russia (1762 - 1773). In these two outlier genomes, the</w:t>
      </w:r>
      <w:r>
        <w:t xml:space="preserve"> </w:t>
      </w:r>
      <w:r>
        <w:rPr>
          <w:i/>
        </w:rPr>
        <w:t xml:space="preserve">pla</w:t>
      </w:r>
      <w:r>
        <w:t xml:space="preserve">+ plasmid is possibly restored as the dominant variant or the</w:t>
      </w:r>
      <w:r>
        <w:t xml:space="preserve"> </w:t>
      </w:r>
      <w:r>
        <w:rPr>
          <w:i/>
        </w:rPr>
        <w:t xml:space="preserve">pla</w:t>
      </w:r>
      <w:r>
        <w:t xml:space="preserve">- plasmid is lost.</w:t>
      </w:r>
    </w:p>
    <w:p>
      <w:pPr>
        <w:pStyle w:val="BodyText"/>
      </w:pPr>
      <w:r>
        <w:t xml:space="preserve">Empirical results in a mouse model suggest that</w:t>
      </w:r>
      <w:r>
        <w:t xml:space="preserve"> </w:t>
      </w:r>
      <w:r>
        <w:rPr>
          <w:i/>
        </w:rPr>
        <w:t xml:space="preserve">pla</w:t>
      </w:r>
      <w:r>
        <w:t xml:space="preserve">− mutants are capable of flea-borne transmission, but the transmissibility is reduced</w:t>
      </w:r>
      <w:r>
        <w:t xml:space="preserve"> </w:t>
      </w:r>
      <w:r>
        <w:t xml:space="preserve">[</w:t>
      </w:r>
      <w:hyperlink w:anchor="ref-X3tnQO3i">
        <w:r>
          <w:rPr>
            <w:rStyle w:val="Hyperlink"/>
          </w:rPr>
          <w:t xml:space="preserve">12</w:t>
        </w:r>
      </w:hyperlink>
      <w:r>
        <w:t xml:space="preserve">]</w:t>
      </w:r>
      <w:r>
        <w:t xml:space="preserve">. Furthermore,</w:t>
      </w:r>
      <w:r>
        <w:t xml:space="preserve"> </w:t>
      </w:r>
      <w:r>
        <w:rPr>
          <w:i/>
        </w:rPr>
        <w:t xml:space="preserve">pla</w:t>
      </w:r>
      <w:r>
        <w:t xml:space="preserve">- mutants were incapable of causing bubonic plague but still caused low incidences of primary septicemic plague. This variant also increased the time from infection to terminal disease from 2-5 days in</w:t>
      </w:r>
      <w:r>
        <w:t xml:space="preserve"> </w:t>
      </w:r>
      <w:r>
        <w:rPr>
          <w:i/>
        </w:rPr>
        <w:t xml:space="preserve">pla</w:t>
      </w:r>
      <w:r>
        <w:t xml:space="preserve">+ strains to 4-12 days in</w:t>
      </w:r>
      <w:r>
        <w:t xml:space="preserve"> </w:t>
      </w:r>
      <w:r>
        <w:rPr>
          <w:i/>
        </w:rPr>
        <w:t xml:space="preserve">pla</w:t>
      </w:r>
      <w:r>
        <w:t xml:space="preserve">- strains. From these studies, we hypothesize that ancient</w:t>
      </w:r>
      <w:r>
        <w:t xml:space="preserve"> </w:t>
      </w:r>
      <w:r>
        <w:rPr>
          <w:i/>
        </w:rPr>
        <w:t xml:space="preserve">Y. pestis</w:t>
      </w:r>
      <w:r>
        <w:t xml:space="preserve"> </w:t>
      </w:r>
      <w:r>
        <w:t xml:space="preserve">during this period may have caused a less transmissible disease, with slower progression, and different symptoms than experienced in the previous centuries.</w:t>
      </w:r>
    </w:p>
    <w:bookmarkStart w:id="0" w:name="fig:depletion_pla"/>
    <w:p>
      <w:pPr>
        <w:pStyle w:val="CaptionedFigure"/>
      </w:pPr>
      <w:bookmarkStart w:id="60" w:name="fig:depletion_pla"/>
      <w:r>
        <w:drawing>
          <wp:inline>
            <wp:extent cx="4776898" cy="2192725"/>
            <wp:effectExtent b="0" l="0" r="0" t="0"/>
            <wp:docPr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title="" id="1" name="Picture"/>
            <a:graphic>
              <a:graphicData uri="http://schemas.openxmlformats.org/drawingml/2006/picture">
                <pic:pic>
                  <pic:nvPicPr>
                    <pic:cNvPr descr="https://rawcdn.githack.com/ktmeaton/plague-phylogeography-projects/dc0d6f8/denmark/locus_coverage_collect/all/depletion_pla.png" id="0" name="Picture"/>
                    <pic:cNvPicPr>
                      <a:picLocks noChangeArrowheads="1" noChangeAspect="1"/>
                    </pic:cNvPicPr>
                  </pic:nvPicPr>
                  <pic:blipFill>
                    <a:blip r:embed="rId59"/>
                    <a:stretch>
                      <a:fillRect/>
                    </a:stretch>
                  </pic:blipFill>
                  <pic:spPr bwMode="auto">
                    <a:xfrm>
                      <a:off x="0" y="0"/>
                      <a:ext cx="4776898" cy="2192725"/>
                    </a:xfrm>
                    <a:prstGeom prst="rect">
                      <a:avLst/>
                    </a:prstGeom>
                    <a:noFill/>
                    <a:ln w="9525">
                      <a:noFill/>
                      <a:headEnd/>
                      <a:tailEnd/>
                    </a:ln>
                  </pic:spPr>
                </pic:pic>
              </a:graphicData>
            </a:graphic>
          </wp:inline>
        </w:drawing>
      </w:r>
      <w:bookmarkEnd w:id="60"/>
    </w:p>
    <w:p>
      <w:pPr>
        <w:pStyle w:val="ImageCaption"/>
      </w:pPr>
      <w:r>
        <w:t xml:space="preserve">Figure 7: Relative depletion of the plasminogen activator (</w:t>
      </w:r>
      <w:r>
        <w:rPr>
          <w:i/>
        </w:rPr>
        <w:t xml:space="preserve">pla</w:t>
      </w:r>
      <w:r>
        <w:t xml:space="preserve">) virulence factor. Strains Gdansk8 and Rostov2033 which show putative evidence of</w:t>
      </w:r>
      <w:r>
        <w:t xml:space="preserve"> </w:t>
      </w:r>
      <w:r>
        <w:rPr>
          <w:i/>
        </w:rPr>
        <w:t xml:space="preserve">pla</w:t>
      </w:r>
      <w:r>
        <w:t xml:space="preserve">+ restoration are indicated. A: Linear regression of the depleted gene (</w:t>
      </w:r>
      <w:r>
        <w:rPr>
          <w:i/>
        </w:rPr>
        <w:t xml:space="preserve">pla</w:t>
      </w:r>
      <w:r>
        <w:t xml:space="preserve">) depth on the pPCP1 baseline gene (</w:t>
      </w:r>
      <w:r>
        <w:rPr>
          <w:i/>
        </w:rPr>
        <w:t xml:space="preserve">pst</w:t>
      </w:r>
      <w:r>
        <w:t xml:space="preserve">) depth. B: The distribution of</w:t>
      </w:r>
      <w:r>
        <w:t xml:space="preserve"> </w:t>
      </w:r>
      <w:r>
        <w:rPr>
          <w:i/>
        </w:rPr>
        <w:t xml:space="preserve">pla</w:t>
      </w:r>
      <w:r>
        <w:t xml:space="preserve"> </w:t>
      </w:r>
      <w:r>
        <w:t xml:space="preserve">depletion ratios. C: The relationship between collection date and</w:t>
      </w:r>
      <w:r>
        <w:t xml:space="preserve"> </w:t>
      </w:r>
      <w:r>
        <w:rPr>
          <w:i/>
        </w:rPr>
        <w:t xml:space="preserve">pla</w:t>
      </w:r>
      <w:r>
        <w:t xml:space="preserve"> </w:t>
      </w:r>
      <w:r>
        <w:t xml:space="preserve">depletion. Colored bars represent the 95% HPD on estimated tip date.</w:t>
      </w:r>
    </w:p>
    <w:bookmarkEnd w:id="0"/>
    <w:p>
      <w:pPr>
        <w:pStyle w:val="BodyText"/>
      </w:pPr>
      <w:r>
        <w:t xml:space="preserve">The three Danish genomes from Horsens have temporal overlap with the 15th century and may potentially capture the transition from to a</w:t>
      </w:r>
      <w:r>
        <w:t xml:space="preserve"> </w:t>
      </w:r>
      <w:r>
        <w:rPr>
          <w:i/>
        </w:rPr>
        <w:t xml:space="preserve">pla</w:t>
      </w:r>
      <w:r>
        <w:t xml:space="preserve">-depleted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p>
    <w:p>
      <w:pPr>
        <w:pStyle w:val="BlockText"/>
      </w:pPr>
      <w:r>
        <w:rPr>
          <w:b/>
        </w:rPr>
        <w:t xml:space="preserve">Kat’s Note:</w:t>
      </w:r>
      <w:r>
        <w:t xml:space="preserve"> </w:t>
      </w:r>
      <w:r>
        <w:t xml:space="preserve">Ravneet has completed these experiments, and has exciting results! Stay tuned…</w:t>
      </w:r>
    </w:p>
    <w:p>
      <w:pPr>
        <w:pStyle w:val="Heading4"/>
      </w:pPr>
      <w:bookmarkStart w:id="61" w:name="early-modern-16th---19th-century"/>
      <w:r>
        <w:t xml:space="preserve">Early Modern (16th - 19th Century )</w:t>
      </w:r>
      <w:bookmarkEnd w:id="61"/>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previously observed in the Baltic countries (Lithuania, Poland, Germany) and the Alps (Switzerland). Two Danish genomes from coastal Ribe (G207, G861x1035) and one sample from inland Viborg (Gr GC 15) fall within the Baltic-Alps clade. This localization of genetic diversity is highly congruent with historical documentation noting that the frequency of plague in 15</w:t>
      </w:r>
      <w:r>
        <w:t xml:space="preserve">th</w:t>
      </w:r>
      <w:r>
        <w:t xml:space="preserve"> </w:t>
      </w:r>
      <w:r>
        <w:t xml:space="preserve">century Denmark was similar to the rest of Europe north of the Alps [</w:t>
      </w:r>
      <w:hyperlink w:anchor="ref-NS5uCsyk">
        <w:r>
          <w:rPr>
            <w:rStyle w:val="Hyperlink"/>
          </w:rPr>
          <w:t xml:space="preserve">2</w:t>
        </w:r>
      </w:hyperlink>
      <w:r>
        <w:t xml:space="preserve"> </w:t>
      </w:r>
      <w:r>
        <w:t xml:space="preserve">p. 417. Furthermore, from the 16</w:t>
      </w:r>
      <w:r>
        <w:t xml:space="preserve">th</w:t>
      </w:r>
      <w:r>
        <w:t xml:space="preserve"> </w:t>
      </w:r>
      <w:r>
        <w:t xml:space="preserve">century onward, historical sources often explicitly state that plague came to Denmark from northern Germany and the Baltic region.</w:t>
      </w:r>
    </w:p>
    <w:p>
      <w:pPr>
        <w:pStyle w:val="BodyText"/>
      </w:pPr>
      <w:r>
        <w:t xml:space="preserve">The last appearance of Danish</w:t>
      </w:r>
      <w:r>
        <w:t xml:space="preserve"> </w:t>
      </w:r>
      <w:r>
        <w:rPr>
          <w:i/>
        </w:rPr>
        <w:t xml:space="preserve">Y. pestis</w:t>
      </w:r>
      <w:r>
        <w:t xml:space="preserve"> </w:t>
      </w:r>
      <w:r>
        <w:t xml:space="preserve">in this study is dated to between 1539 and 1655 (Table</w:t>
      </w:r>
      <w:r>
        <w:t xml:space="preserve"> </w:t>
      </w:r>
      <w:hyperlink w:anchor="tbl:dates_baltic_alps">
        <w:r>
          <w:rPr>
            <w:rStyle w:val="Hyperlink"/>
          </w:rPr>
          <w:t xml:space="preserve">13</w:t>
        </w:r>
      </w:hyperlink>
      <w:r>
        <w:t xml:space="preserve">). Furthermore, no</w:t>
      </w:r>
    </w:p>
    <w:p>
      <w:pPr>
        <w:pStyle w:val="BodyText"/>
      </w:pPr>
      <w:r>
        <w:t xml:space="preserve">These Danish genomes therefore strengthens the geographic ties of this lineage to the Baltic Region.</w:t>
      </w:r>
    </w:p>
    <w:p>
      <w:pPr>
        <w:pStyle w:val="BodyText"/>
      </w:pPr>
      <w:r>
        <w:t xml:space="preserve">Last plague outbreak (1654-57)</w:t>
      </w:r>
      <w:r>
        <w:t xml:space="preserve"> </w:t>
      </w:r>
      <w:r>
        <w:t xml:space="preserve">[</w:t>
      </w:r>
      <w:hyperlink w:anchor="ref-NS5uCsyk">
        <w:r>
          <w:rPr>
            <w:rStyle w:val="Hyperlink"/>
          </w:rPr>
          <w:t xml:space="preserve">2</w:t>
        </w:r>
      </w:hyperlink>
      <w:r>
        <w:t xml:space="preserve">,</w:t>
      </w:r>
      <w:hyperlink w:anchor="ref-QoRg40jU">
        <w:r>
          <w:rPr>
            <w:rStyle w:val="Hyperlink"/>
          </w:rPr>
          <w:t xml:space="preserve">13</w:t>
        </w:r>
      </w:hyperlink>
      <w:r>
        <w:t xml:space="preserve">]</w:t>
      </w:r>
      <w:r>
        <w:t xml:space="preserve">.</w:t>
      </w:r>
    </w:p>
    <w:p>
      <w:pPr>
        <w:pStyle w:val="BodyText"/>
      </w:pPr>
      <w:r>
        <w:t xml:space="preserve">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plague between them.</w:t>
      </w:r>
    </w:p>
    <w:p>
      <w:pPr>
        <w:pStyle w:val="Heading2"/>
      </w:pPr>
      <w:bookmarkStart w:id="62" w:name="conclusion"/>
      <w:r>
        <w:t xml:space="preserve">Conclusion</w:t>
      </w:r>
      <w:bookmarkEnd w:id="62"/>
    </w:p>
    <w:p>
      <w:pPr>
        <w:numPr>
          <w:ilvl w:val="0"/>
          <w:numId w:val="1002"/>
        </w:numPr>
      </w:pPr>
      <w:r>
        <w:rPr>
          <w:b/>
        </w:rPr>
        <w:t xml:space="preserve">The earliest evidence of Danish</w:t>
      </w:r>
      <w:r>
        <w:rPr>
          <w:b/>
        </w:rPr>
        <w:t xml:space="preserve"> </w:t>
      </w:r>
      <w:r>
        <w:rPr>
          <w:i/>
          <w:b/>
        </w:rPr>
        <w:t xml:space="preserve">Y. pestis</w:t>
      </w:r>
      <w:r>
        <w:rPr>
          <w:b/>
        </w:rPr>
        <w:t xml:space="preserve"> </w:t>
      </w:r>
      <w:r>
        <w:rPr>
          <w:b/>
        </w:rPr>
        <w:t xml:space="preserve">is found in Ribe and dates to the mid-14th century</w:t>
      </w:r>
      <w:r>
        <w:t xml:space="preserve">.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pPr>
        <w:numPr>
          <w:ilvl w:val="0"/>
          <w:numId w:val="1002"/>
        </w:numPr>
      </w:pPr>
      <w:r>
        <w:rPr>
          <w:i/>
          <w:b/>
        </w:rPr>
        <w:t xml:space="preserve">Y. pestis</w:t>
      </w:r>
      <w:r>
        <w:rPr>
          <w:b/>
        </w:rPr>
        <w:t xml:space="preserve"> </w:t>
      </w:r>
      <w:r>
        <w:rPr>
          <w:b/>
        </w:rPr>
        <w:t xml:space="preserve">in medieval Denmark (14th-15th century) reveals population structure that closely aligns with historically documented pestilence</w:t>
      </w:r>
      <w:r>
        <w:t xml:space="preserve">. Specifically, temporal and geographic patterns are observed that follow the documentation of successive epidemics sweeping across Europe, such as the primary (Black Death), secondary (</w:t>
      </w:r>
      <w:r>
        <w:rPr>
          <w:i/>
        </w:rPr>
        <w:t xml:space="preserve">pestis secunda)</w:t>
      </w:r>
      <w:r>
        <w:t xml:space="preserve">, and tertiary (</w:t>
      </w:r>
      <w:r>
        <w:rPr>
          <w:i/>
        </w:rPr>
        <w:t xml:space="preserve">pestis tertia</w:t>
      </w:r>
      <w:r>
        <w:t xml:space="preserve">) waves.</w:t>
      </w:r>
    </w:p>
    <w:p>
      <w:pPr>
        <w:numPr>
          <w:ilvl w:val="0"/>
          <w:numId w:val="1002"/>
        </w:numPr>
      </w:pPr>
      <w:r>
        <w:rPr>
          <w:i/>
          <w:b/>
        </w:rPr>
        <w:t xml:space="preserve">Y. pestis</w:t>
      </w:r>
      <w:r>
        <w:rPr>
          <w:b/>
        </w:rPr>
        <w:t xml:space="preserve"> </w:t>
      </w:r>
      <w:r>
        <w:rPr>
          <w:b/>
        </w:rPr>
        <w:t xml:space="preserve">in pre-modern Denmark (16th century) forms a geographically-restricted lineage with other samples collected from the Baltic countries and the Alps.</w:t>
      </w:r>
      <w:r>
        <w:t xml:space="preserve"> </w:t>
      </w:r>
      <w:r>
        <w:t xml:space="preserve">This unique geographic structure supports the theory concerning formation of a novel plague reservoir.</w:t>
      </w:r>
    </w:p>
    <w:p>
      <w:pPr>
        <w:numPr>
          <w:ilvl w:val="0"/>
          <w:numId w:val="1002"/>
        </w:numPr>
      </w:pPr>
      <w:r>
        <w:rPr>
          <w:b/>
        </w:rPr>
        <w:t xml:space="preserve">Three sequential genomes from the Horsens region capture a key virulence change, in which the plasminogen activator (</w:t>
      </w:r>
      <w:r>
        <w:rPr>
          <w:i/>
          <w:b/>
        </w:rPr>
        <w:t xml:space="preserve">pla</w:t>
      </w:r>
      <w:r>
        <w:rPr>
          <w:b/>
        </w:rPr>
        <w:t xml:space="preserve">) becomes depleted for the remainder of the Second Pandemic</w:t>
      </w:r>
      <w:r>
        <w:t xml:space="preserve">. Restoration of this virulence factor is not observed again in Denmark, although it is observed to be intermittently restored in Poland and Russia.</w:t>
      </w:r>
    </w:p>
    <w:p>
      <w:pPr>
        <w:numPr>
          <w:ilvl w:val="0"/>
          <w:numId w:val="1002"/>
        </w:numPr>
      </w:pPr>
      <w:r>
        <w:rPr>
          <w:i/>
          <w:b/>
        </w:rPr>
        <w:t xml:space="preserve">Y. pestis</w:t>
      </w:r>
      <w:r>
        <w:rPr>
          <w:b/>
        </w:rPr>
        <w:t xml:space="preserve"> </w:t>
      </w:r>
      <w:r>
        <w:rPr>
          <w:b/>
        </w:rPr>
        <w:t xml:space="preserve">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London.</w:t>
      </w:r>
    </w:p>
    <w:p>
      <w:pPr>
        <w:pStyle w:val="Heading3"/>
      </w:pPr>
      <w:bookmarkStart w:id="63" w:name="significance"/>
      <w:r>
        <w:t xml:space="preserve">Significance</w:t>
      </w:r>
      <w:bookmarkEnd w:id="63"/>
    </w:p>
    <w:p>
      <w:pPr>
        <w:numPr>
          <w:ilvl w:val="0"/>
          <w:numId w:val="1003"/>
        </w:numPr>
        <w:pStyle w:val="Compact"/>
      </w:pPr>
      <w:r>
        <w:t xml:space="preserve">There have been relatively few studies that explore the genetics of plague in Scandinavia across time and geography, particularly in Denmark.</w:t>
      </w:r>
    </w:p>
    <w:p>
      <w:pPr>
        <w:numPr>
          <w:ilvl w:val="0"/>
          <w:numId w:val="1003"/>
        </w:numPr>
        <w:pStyle w:val="Compact"/>
      </w:pPr>
      <w:r>
        <w:t xml:space="preserve">This study is the most intensive longitudinal study of plague in a single region, both in terms of time span and geographic sampling.-</w:t>
      </w:r>
    </w:p>
    <w:p>
      <w:pPr>
        <w:numPr>
          <w:ilvl w:val="0"/>
          <w:numId w:val="1003"/>
        </w:numPr>
        <w:pStyle w:val="Compact"/>
      </w:pPr>
      <w:r>
        <w:t xml:space="preserve">This paper contributes to a larger body of epidemiological literature that considers the patterns and mechanisms by which diseases emerge, propagate, and go extinct.</w:t>
      </w:r>
    </w:p>
    <w:p>
      <w:pPr>
        <w:numPr>
          <w:ilvl w:val="0"/>
          <w:numId w:val="1003"/>
        </w:numPr>
        <w:pStyle w:val="Compact"/>
      </w:pPr>
      <w:r>
        <w:t xml:space="preserve">Additional evidence that</w:t>
      </w:r>
      <w:r>
        <w:t xml:space="preserve"> </w:t>
      </w:r>
      <w:r>
        <w:rPr>
          <w:i/>
        </w:rPr>
        <w:t xml:space="preserve">Y. pestis</w:t>
      </w:r>
      <w:r>
        <w:t xml:space="preserve"> </w:t>
      </w:r>
      <w:r>
        <w:t xml:space="preserve">was a relatively novel pathogen for medieval European populations, may help guide research for immune-related changes in humans.</w:t>
      </w:r>
    </w:p>
    <w:p>
      <w:pPr>
        <w:pStyle w:val="Heading2"/>
      </w:pPr>
      <w:bookmarkStart w:id="64" w:name="methods"/>
      <w:r>
        <w:t xml:space="preserve">Methods</w:t>
      </w:r>
      <w:bookmarkEnd w:id="64"/>
    </w:p>
    <w:p>
      <w:pPr>
        <w:pStyle w:val="Heading3"/>
      </w:pPr>
      <w:bookmarkStart w:id="65" w:name="dna-extraction"/>
      <w:r>
        <w:t xml:space="preserve">DNA Extraction</w:t>
      </w:r>
      <w:bookmarkEnd w:id="65"/>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14</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15</w:t>
        </w:r>
      </w:hyperlink>
      <w:r>
        <w:t xml:space="preserve">]</w:t>
      </w:r>
      <w:r>
        <w:t xml:space="preserve">. Reagent blanks were introduced as negative controls to monitor DNA contamination in subsequent steps.</w:t>
      </w:r>
    </w:p>
    <w:p>
      <w:pPr>
        <w:pStyle w:val="Heading3"/>
      </w:pPr>
      <w:bookmarkStart w:id="66" w:name="yersinia-pestis-pcr-screening"/>
      <w:r>
        <w:rPr>
          <w:i/>
        </w:rPr>
        <w:t xml:space="preserve">Yersinia pestis</w:t>
      </w:r>
      <w:r>
        <w:t xml:space="preserve"> </w:t>
      </w:r>
      <w:r>
        <w:t xml:space="preserve">PCR screening</w:t>
      </w:r>
      <w:bookmarkEnd w:id="66"/>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16</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the</w:t>
      </w:r>
      <w:r>
        <w:t xml:space="preserve"> </w:t>
      </w:r>
      <w:r>
        <w:rPr>
          <w:i/>
        </w:rPr>
        <w:t xml:space="preserve">pla</w:t>
      </w:r>
      <w:r>
        <w:t xml:space="preserve"> </w:t>
      </w:r>
      <w:r>
        <w:t xml:space="preserve">PCR assay was performed for all extracts that amplified in the initial PCR, using the 1:10 dilution in duplicate and the original concentration in duplicate. In total, 6 PCR replicates were performed for each plague-positive sample.</w:t>
      </w:r>
    </w:p>
    <w:p>
      <w:pPr>
        <w:pStyle w:val="Heading3"/>
      </w:pPr>
      <w:bookmarkStart w:id="67" w:name="shotgun-sequencing"/>
      <w:r>
        <w:t xml:space="preserve">Shotgun Sequencing</w:t>
      </w:r>
      <w:bookmarkEnd w:id="67"/>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17</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68" w:name="targeted-sequencing"/>
      <w:r>
        <w:t xml:space="preserve">Targeted Sequencing</w:t>
      </w:r>
      <w:bookmarkEnd w:id="68"/>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16</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69" w:name="comparative-genomes"/>
      <w:r>
        <w:t xml:space="preserve">Comparative Genomes</w:t>
      </w:r>
      <w:bookmarkEnd w:id="69"/>
    </w:p>
    <w:p>
      <w:pPr>
        <w:pStyle w:val="FirstParagraph"/>
      </w:pPr>
      <w:r>
        <w:t xml:space="preserve">Ancient unassembled genomes from the Second Plague Pandemic were identified using NCBImeta</w:t>
      </w:r>
      <w:r>
        <w:t xml:space="preserve"> </w:t>
      </w:r>
      <w:r>
        <w:t xml:space="preserve">[</w:t>
      </w:r>
      <w:hyperlink w:anchor="ref-6YubepsW">
        <w:r>
          <w:rPr>
            <w:rStyle w:val="Hyperlink"/>
          </w:rPr>
          <w:t xml:space="preserve">19</w:t>
        </w:r>
      </w:hyperlink>
      <w:r>
        <w:t xml:space="preserve">]</w:t>
      </w:r>
      <w:r>
        <w:t xml:space="preserve"> </w:t>
      </w:r>
      <w:r>
        <w:t xml:space="preserve">and downloaded from the SRA database in FASTQ format using the SRA Toolkit</w:t>
      </w:r>
      <w:r>
        <w:t xml:space="preserve"> </w:t>
      </w:r>
      <w:r>
        <w:t xml:space="preserve">[</w:t>
      </w:r>
      <w:hyperlink w:anchor="ref-puYDXtJ9">
        <w:r>
          <w:rPr>
            <w:rStyle w:val="Hyperlink"/>
          </w:rPr>
          <w:t xml:space="preserve">20</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r>
        <w:t xml:space="preserve"> </w:t>
      </w: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maximum-likelihood phylogeny (Table</w:t>
      </w:r>
      <w:r>
        <w:t xml:space="preserve"> </w:t>
      </w:r>
      <w:hyperlink w:anchor="tbl:genome_outgroup">
        <w:r>
          <w:rPr>
            <w:rStyle w:val="Hyperlink"/>
          </w:rPr>
          <w:t xml:space="preserve">9</w:t>
        </w:r>
      </w:hyperlink>
      <w:r>
        <w:t xml:space="preserve">).</w:t>
      </w:r>
    </w:p>
    <w:p>
      <w:pPr>
        <w:pStyle w:val="Heading3"/>
      </w:pPr>
      <w:bookmarkStart w:id="70" w:name="genomic-alignment"/>
      <w:r>
        <w:t xml:space="preserve">Genomic Alignment</w:t>
      </w:r>
      <w:bookmarkEnd w:id="70"/>
    </w:p>
    <w:p>
      <w:pPr>
        <w:pStyle w:val="FirstParagraph"/>
      </w:pPr>
      <w:r>
        <w:t xml:space="preserve">Pre-processing and alignment to the reference genome was performed using the</w:t>
      </w:r>
      <w:r>
        <w:t xml:space="preserve"> </w:t>
      </w:r>
      <w:r>
        <w:rPr>
          <w:i/>
        </w:rPr>
        <w:t xml:space="preserve">nf-core/eager</w:t>
      </w:r>
      <w:r>
        <w:t xml:space="preserve"> </w:t>
      </w:r>
      <w:r>
        <w:t xml:space="preserve">pipeline, a reproducible workflow for ancient genome reconstruction</w:t>
      </w:r>
      <w:r>
        <w:t xml:space="preserve"> </w:t>
      </w:r>
      <w:r>
        <w:t xml:space="preserve">[</w:t>
      </w:r>
      <w:hyperlink w:anchor="ref-17yD9OrGW">
        <w:r>
          <w:rPr>
            <w:rStyle w:val="Hyperlink"/>
          </w:rPr>
          <w:t xml:space="preserve">21</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22</w:t>
        </w:r>
      </w:hyperlink>
      <w:r>
        <w:t xml:space="preserve">]</w:t>
      </w:r>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w:t>
      </w:r>
      <w:r>
        <w:t xml:space="preserve"> </w:t>
      </w:r>
      <w:hyperlink w:anchor="fig:aln_missing_data">
        <w:r>
          <w:rPr>
            <w:rStyle w:val="Hyperlink"/>
          </w:rPr>
          <w:t xml:space="preserve">8</w:t>
        </w:r>
      </w:hyperlink>
      <w:r>
        <w:t xml:space="preserve">). Furthermore, a 30% threshold was selected as ambiguous nucleotides made up no more than 10% of the alignment (</w:t>
      </w:r>
      <w:hyperlink w:anchor="fig:aln_ambig_sites">
        <w:r>
          <w:rPr>
            <w:rStyle w:val="Hyperlink"/>
          </w:rPr>
          <w:t xml:space="preserve">9</w:t>
        </w:r>
      </w:hyperlink>
      <w:r>
        <w:t xml:space="preserve">). The filtered chromosomal alignment contained 4,289,810 constant sites, as well as 474 variants when the outgroup clade (0.ANT3) was included and 356 variants when the outgroup was excluded.</w:t>
      </w:r>
    </w:p>
    <w:bookmarkStart w:id="0" w:name="fig:aln_missing_data"/>
    <w:p>
      <w:pPr>
        <w:pStyle w:val="CaptionedFigure"/>
      </w:pPr>
      <w:bookmarkStart w:id="72" w:name="fig:aln_missing_data"/>
      <w:r>
        <w:drawing>
          <wp:inline>
            <wp:extent cx="5943600" cy="3962400"/>
            <wp:effectExtent b="0" l="0" r="0" t="0"/>
            <wp:docPr descr="Figure 8: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1"/>
                    <a:stretch>
                      <a:fillRect/>
                    </a:stretch>
                  </pic:blipFill>
                  <pic:spPr bwMode="auto">
                    <a:xfrm>
                      <a:off x="0" y="0"/>
                      <a:ext cx="5943600" cy="3962400"/>
                    </a:xfrm>
                    <a:prstGeom prst="rect">
                      <a:avLst/>
                    </a:prstGeom>
                    <a:noFill/>
                    <a:ln w="9525">
                      <a:noFill/>
                      <a:headEnd/>
                      <a:tailEnd/>
                    </a:ln>
                  </pic:spPr>
                </pic:pic>
              </a:graphicData>
            </a:graphic>
          </wp:inline>
        </w:drawing>
      </w:r>
      <w:bookmarkEnd w:id="72"/>
    </w:p>
    <w:p>
      <w:pPr>
        <w:pStyle w:val="ImageCaption"/>
      </w:pPr>
      <w:r>
        <w:t xml:space="preserve">Figure 8: The number of variant positions used in the multiple alignment according to different missing data thresholds.</w:t>
      </w:r>
    </w:p>
    <w:bookmarkEnd w:id="0"/>
    <w:bookmarkStart w:id="0" w:name="fig:aln_ambig_sites"/>
    <w:p>
      <w:pPr>
        <w:pStyle w:val="CaptionedFigure"/>
      </w:pPr>
      <w:bookmarkStart w:id="74" w:name="fig:aln_ambig_sites"/>
      <w:r>
        <w:drawing>
          <wp:inline>
            <wp:extent cx="5943600" cy="3962400"/>
            <wp:effectExtent b="0" l="0" r="0" t="0"/>
            <wp:docPr descr="Figure 9: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3"/>
                    <a:stretch>
                      <a:fillRect/>
                    </a:stretch>
                  </pic:blipFill>
                  <pic:spPr bwMode="auto">
                    <a:xfrm>
                      <a:off x="0" y="0"/>
                      <a:ext cx="5943600" cy="3962400"/>
                    </a:xfrm>
                    <a:prstGeom prst="rect">
                      <a:avLst/>
                    </a:prstGeom>
                    <a:noFill/>
                    <a:ln w="9525">
                      <a:noFill/>
                      <a:headEnd/>
                      <a:tailEnd/>
                    </a:ln>
                  </pic:spPr>
                </pic:pic>
              </a:graphicData>
            </a:graphic>
          </wp:inline>
        </w:drawing>
      </w:r>
      <w:bookmarkEnd w:id="74"/>
    </w:p>
    <w:p>
      <w:pPr>
        <w:pStyle w:val="ImageCaption"/>
      </w:pPr>
      <w:r>
        <w:t xml:space="preserve">Figure 9: The number of ambiguous nucleotides used in the multiple alignment according to different missing data thresholds.</w:t>
      </w:r>
    </w:p>
    <w:bookmarkEnd w:id="0"/>
    <w:p>
      <w:pPr>
        <w:pStyle w:val="Heading3"/>
      </w:pPr>
      <w:bookmarkStart w:id="75" w:name="phylogeny-1"/>
      <w:r>
        <w:t xml:space="preserve">Phylogeny</w:t>
      </w:r>
      <w:bookmarkEnd w:id="75"/>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23</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24</w:t>
        </w:r>
      </w:hyperlink>
      <w:r>
        <w:t xml:space="preserve">]</w:t>
      </w:r>
      <w:r>
        <w:t xml:space="preserve">. Branch support was evaluated using 1000 iterations of the ultrafast bootstrap approximation</w:t>
      </w:r>
      <w:r>
        <w:t xml:space="preserve"> </w:t>
      </w:r>
      <w:r>
        <w:t xml:space="preserve">[</w:t>
      </w:r>
      <w:hyperlink w:anchor="ref-12SvE6y3A">
        <w:r>
          <w:rPr>
            <w:rStyle w:val="Hyperlink"/>
          </w:rPr>
          <w:t xml:space="preserve">25</w:t>
        </w:r>
      </w:hyperlink>
      <w:r>
        <w:t xml:space="preserve">]</w:t>
      </w:r>
      <w:r>
        <w:t xml:space="preserve">, with a threshold of 95% required for strong support. The outgroup clade (0.ANT3) was used to estimate the root position and was subsequently pruned from the phylogeny for downstream analysis and visualization.</w:t>
      </w:r>
    </w:p>
    <w:p>
      <w:pPr>
        <w:pStyle w:val="Heading3"/>
      </w:pPr>
      <w:bookmarkStart w:id="76" w:name="phylodynamics"/>
      <w:r>
        <w:t xml:space="preserve">Phylodynamics</w:t>
      </w:r>
      <w:bookmarkEnd w:id="76"/>
    </w:p>
    <w:p>
      <w:pPr>
        <w:pStyle w:val="FirstParagraph"/>
      </w:pPr>
      <w:r>
        <w:t xml:space="preserve">To evaluate the degree of temporal signal present, a Bayesian Evaluation of Temporal Signal (BETS) was first performed using BEAST v2.6.2. As</w:t>
      </w:r>
      <w:r>
        <w:t xml:space="preserve"> </w:t>
      </w:r>
      <w:r>
        <w:rPr>
          <w:i/>
        </w:rPr>
        <w:t xml:space="preserve">Y. pestis</w:t>
      </w:r>
      <w:r>
        <w:t xml:space="preserve"> </w:t>
      </w:r>
      <w:r>
        <w:t xml:space="preserve">exhibits significant rate variation between clades</w:t>
      </w:r>
      <w:r>
        <w:t xml:space="preserve"> </w:t>
      </w:r>
      <w:r>
        <w:t xml:space="preserve">[</w:t>
      </w:r>
      <w:hyperlink w:anchor="ref-ONhNS9aO">
        <w:r>
          <w:rPr>
            <w:rStyle w:val="Hyperlink"/>
          </w:rPr>
          <w:t xml:space="preserve">26</w:t>
        </w:r>
      </w:hyperlink>
      <w:r>
        <w:t xml:space="preserve">]</w:t>
      </w:r>
      <w: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w:t>
      </w:r>
      <w:r>
        <w:t xml:space="preserve"> </w:t>
      </w:r>
      <w:hyperlink w:anchor="fig:1.PRE_divtree">
        <w:r>
          <w:rPr>
            <w:rStyle w:val="Hyperlink"/>
          </w:rPr>
          <w:t xml:space="preserve">11</w:t>
        </w:r>
      </w:hyperlink>
      <w:r>
        <w:t xml:space="preserve">) as well as in previously published analyses</w:t>
      </w:r>
      <w:r>
        <w:t xml:space="preserve"> </w:t>
      </w:r>
      <w:r>
        <w:t xml:space="preserve">[</w:t>
      </w:r>
      <w:hyperlink w:anchor="ref-1CPIgshmC">
        <w:r>
          <w:rPr>
            <w:rStyle w:val="Hyperlink"/>
          </w:rPr>
          <w:t xml:space="preserve">27</w:t>
        </w:r>
      </w:hyperlink>
      <w:r>
        <w:t xml:space="preserve">]</w:t>
      </w:r>
      <w:r>
        <w:t xml:space="preserve">.</w:t>
      </w:r>
    </w:p>
    <w:p>
      <w:pPr>
        <w:pStyle w:val="BodyText"/>
      </w:pPr>
      <w:r>
        <w:t xml:space="preserve">Briefly, each candidate model was tested using the correct collection dates of all samples and then compared to the same model with all collection dates assumed to be contemporaneous. A constant population size was assumed as the coalescent prior to minimize additional parameter variation. Two candidate models were tested: a strict clock and an uncorrelated relaxed lognormal clock with default priors and starting positions.</w:t>
      </w:r>
    </w:p>
    <w:p>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w:t>
      </w:r>
      <w:r>
        <w:t xml:space="preserve"> </w:t>
      </w:r>
      <w:hyperlink w:anchor="fig:prior_denmark">
        <w:r>
          <w:rPr>
            <w:rStyle w:val="Hyperlink"/>
          </w:rPr>
          <w:t xml:space="preserve">10</w:t>
        </w:r>
      </w:hyperlink>
      <w:r>
        <w:t xml:space="preserve">).</w:t>
      </w:r>
    </w:p>
    <w:bookmarkStart w:id="0" w:name="fig:prior_denmark"/>
    <w:p>
      <w:pPr>
        <w:pStyle w:val="CaptionedFigure"/>
      </w:pPr>
      <w:bookmarkStart w:id="78" w:name="fig:prior_denmark"/>
      <w:r>
        <w:drawing>
          <wp:inline>
            <wp:extent cx="2325057" cy="2398576"/>
            <wp:effectExtent b="0" l="0" r="0" t="0"/>
            <wp:docPr descr="Figure 10: Individual tip-date prior used to estimate the collection date of all Danish Y. pestis genomes." title="" id="1" name="Picture"/>
            <a:graphic>
              <a:graphicData uri="http://schemas.openxmlformats.org/drawingml/2006/picture">
                <pic:pic>
                  <pic:nvPicPr>
                    <pic:cNvPr descr="https://rawcdn.githack.com/ktmeaton/plague-phylogeography-projects/b8abc24/denmark/locus_coverage_collect/all/prior_denmark.png" id="0" name="Picture"/>
                    <pic:cNvPicPr>
                      <a:picLocks noChangeArrowheads="1" noChangeAspect="1"/>
                    </pic:cNvPicPr>
                  </pic:nvPicPr>
                  <pic:blipFill>
                    <a:blip r:embed="rId77"/>
                    <a:stretch>
                      <a:fillRect/>
                    </a:stretch>
                  </pic:blipFill>
                  <pic:spPr bwMode="auto">
                    <a:xfrm>
                      <a:off x="0" y="0"/>
                      <a:ext cx="2325057" cy="2398576"/>
                    </a:xfrm>
                    <a:prstGeom prst="rect">
                      <a:avLst/>
                    </a:prstGeom>
                    <a:noFill/>
                    <a:ln w="9525">
                      <a:noFill/>
                      <a:headEnd/>
                      <a:tailEnd/>
                    </a:ln>
                  </pic:spPr>
                </pic:pic>
              </a:graphicData>
            </a:graphic>
          </wp:inline>
        </w:drawing>
      </w:r>
      <w:bookmarkEnd w:id="78"/>
    </w:p>
    <w:p>
      <w:pPr>
        <w:pStyle w:val="ImageCaption"/>
      </w:pPr>
      <w:r>
        <w:t xml:space="preserve">Figure 10: Individual tip-date prior used to estimate the collection date of all Danish</w:t>
      </w:r>
      <w:r>
        <w:t xml:space="preserve"> </w:t>
      </w:r>
      <w:r>
        <w:rPr>
          <w:i/>
        </w:rPr>
        <w:t xml:space="preserve">Y. pestis</w:t>
      </w:r>
      <w:r>
        <w:t xml:space="preserve"> </w:t>
      </w:r>
      <w:r>
        <w:t xml:space="preserve">genomes.</w:t>
      </w:r>
    </w:p>
    <w:bookmarkEnd w:id="0"/>
    <w:p>
      <w:pPr>
        <w:pStyle w:val="BodyText"/>
      </w:pPr>
      <w:r>
        <w:t xml:space="preserve">Bayes factors (BF) were calculated by comparing the marginal likelihoods of each model, as estimated with a generalized stepping stone (GSS) computation across 100 chains each sampled over 1,000,000 generations. The model with the highest marginal likelihood was then run fully for 150,000,000 generations to ensure the effective sample size (ESS) of all relevant parameters was greater than 200.</w:t>
      </w:r>
    </w:p>
    <w:p>
      <w:pPr>
        <w:pStyle w:val="BlockText"/>
      </w:pPr>
      <w:r>
        <w:rPr>
          <w:b/>
        </w:rPr>
        <w:t xml:space="preserve">Kat’s Note:</w:t>
      </w:r>
      <w:r>
        <w:t xml:space="preserve"> </w:t>
      </w:r>
      <w:r>
        <w:t xml:space="preserve">I think I might want to re-run this with no sequence data, only sampling from the prior. From preliminary observations, the data appears to have enough signal that it can</w:t>
      </w:r>
      <w:r>
        <w:t xml:space="preserve"> </w:t>
      </w:r>
      <w:r>
        <w:t xml:space="preserve">‘</w:t>
      </w:r>
      <w:r>
        <w:t xml:space="preserve">overcome</w:t>
      </w:r>
      <w:r>
        <w:t xml:space="preserve">’</w:t>
      </w:r>
      <w:r>
        <w:t xml:space="preserve"> </w:t>
      </w:r>
      <w:r>
        <w:t xml:space="preserve">the prior distribution. However, I noticed that for strain Rostov2033, which has one of the most restrictive priors, the tip-date distribution is essentially identical to the prior distribution. This needs more investigation.</w:t>
      </w:r>
    </w:p>
    <w:p>
      <w:pPr>
        <w:pStyle w:val="Heading2"/>
      </w:pPr>
      <w:bookmarkStart w:id="79" w:name="references"/>
      <w:r>
        <w:t xml:space="preserve">References</w:t>
      </w:r>
      <w:bookmarkEnd w:id="79"/>
    </w:p>
    <w:bookmarkStart w:id="157" w:name="refs"/>
    <w:bookmarkStart w:id="83" w:name="ref-AQa9Tn4j"/>
    <w:p>
      <w:pPr>
        <w:pStyle w:val="Bibliography"/>
      </w:pPr>
      <w:r>
        <w:t xml:space="preserve">1.</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0">
        <w:r>
          <w:rPr>
            <w:rStyle w:val="Hyperlink"/>
          </w:rPr>
          <w:t xml:space="preserve">https://www.cell.com/cell/abstract/S0092-8674(18)31464-8</w:t>
        </w:r>
      </w:hyperlink>
      <w:r>
        <w:t xml:space="preserve"> </w:t>
      </w:r>
      <w:r>
        <w:br/>
      </w:r>
      <w:r>
        <w:t xml:space="preserve">DOI:</w:t>
      </w:r>
      <w:r>
        <w:t xml:space="preserve"> </w:t>
      </w:r>
      <w:hyperlink r:id="rId81">
        <w:r>
          <w:rPr>
            <w:rStyle w:val="Hyperlink"/>
          </w:rPr>
          <w:t xml:space="preserve">10.1016/j.cell.2018.11.005</w:t>
        </w:r>
      </w:hyperlink>
      <w:r>
        <w:t xml:space="preserve"> </w:t>
      </w:r>
      <w:r>
        <w:t xml:space="preserve">· PMID:</w:t>
      </w:r>
      <w:r>
        <w:t xml:space="preserve"> </w:t>
      </w:r>
      <w:hyperlink r:id="rId82">
        <w:r>
          <w:rPr>
            <w:rStyle w:val="Hyperlink"/>
          </w:rPr>
          <w:t xml:space="preserve">30528431</w:t>
        </w:r>
      </w:hyperlink>
    </w:p>
    <w:bookmarkEnd w:id="83"/>
    <w:bookmarkStart w:id="86" w:name="ref-NS5uCsyk"/>
    <w:p>
      <w:pPr>
        <w:pStyle w:val="Bibliography"/>
      </w:pPr>
      <w:r>
        <w:t xml:space="preserve">2.</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84">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85">
        <w:r>
          <w:rPr>
            <w:rStyle w:val="Hyperlink"/>
          </w:rPr>
          <w:t xml:space="preserve">10.1017/s0025727300057331</w:t>
        </w:r>
      </w:hyperlink>
    </w:p>
    <w:bookmarkEnd w:id="86"/>
    <w:bookmarkStart w:id="88" w:name="ref-eD3kpkYB"/>
    <w:p>
      <w:pPr>
        <w:pStyle w:val="Bibliography"/>
      </w:pPr>
      <w:r>
        <w:t xml:space="preserve">3.</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7">
        <w:r>
          <w:rPr>
            <w:rStyle w:val="Hyperlink"/>
          </w:rPr>
          <w:t xml:space="preserve">http://www.jstor.org/stable/29543069</w:t>
        </w:r>
      </w:hyperlink>
    </w:p>
    <w:bookmarkEnd w:id="88"/>
    <w:bookmarkStart w:id="90" w:name="ref-13NOJLbvF"/>
    <w:p>
      <w:pPr>
        <w:pStyle w:val="Bibliography"/>
      </w:pPr>
      <w:r>
        <w:t xml:space="preserve">4.</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89">
        <w:r>
          <w:rPr>
            <w:rStyle w:val="Hyperlink"/>
          </w:rPr>
          <w:t xml:space="preserve">https://doi.org/10.1093/pastj/gtaa028</w:t>
        </w:r>
      </w:hyperlink>
      <w:r>
        <w:t xml:space="preserve"> </w:t>
      </w:r>
      <w:r>
        <w:br/>
      </w:r>
      <w:r>
        <w:t xml:space="preserve">DOI:</w:t>
      </w:r>
      <w:r>
        <w:t xml:space="preserve"> </w:t>
      </w:r>
      <w:hyperlink r:id="rId89">
        <w:r>
          <w:rPr>
            <w:rStyle w:val="Hyperlink"/>
          </w:rPr>
          <w:t xml:space="preserve">10.1093/pastj/gtaa028</w:t>
        </w:r>
      </w:hyperlink>
    </w:p>
    <w:bookmarkEnd w:id="90"/>
    <w:bookmarkStart w:id="93" w:name="ref-MZ9hlNya"/>
    <w:p>
      <w:pPr>
        <w:pStyle w:val="Bibliography"/>
      </w:pPr>
      <w:r>
        <w:t xml:space="preserve">5.</w:t>
      </w:r>
      <w:r>
        <w:t xml:space="preserve"> </w:t>
      </w:r>
      <w:r>
        <w:rPr>
          <w:b/>
        </w:rPr>
        <w:t xml:space="preserve">Black Death</w:t>
      </w:r>
      <w:r>
        <w:t xml:space="preserve"> </w:t>
      </w:r>
      <w:r>
        <w:br/>
      </w:r>
      <w:r>
        <w:t xml:space="preserve">Robert Gottfried</w:t>
      </w:r>
      <w:r>
        <w:br/>
      </w:r>
      <w:r>
        <w:t xml:space="preserve">(1985-03-01)</w:t>
      </w:r>
      <w:r>
        <w:t xml:space="preserve"> </w:t>
      </w:r>
      <w:hyperlink r:id="rId91">
        <w:r>
          <w:rPr>
            <w:rStyle w:val="Hyperlink"/>
          </w:rPr>
          <w:t xml:space="preserve">https://www.simonandschuster.com/books/Black-Death/Robert-S-Gottfried/9780029123706</w:t>
        </w:r>
      </w:hyperlink>
      <w:r>
        <w:t xml:space="preserve"> </w:t>
      </w:r>
      <w:r>
        <w:br/>
      </w:r>
      <w:r>
        <w:t xml:space="preserve">ISBN:</w:t>
      </w:r>
      <w:r>
        <w:t xml:space="preserve"> </w:t>
      </w:r>
      <w:hyperlink r:id="rId92">
        <w:r>
          <w:rPr>
            <w:rStyle w:val="Hyperlink"/>
          </w:rPr>
          <w:t xml:space="preserve">978-0-02-912370-6</w:t>
        </w:r>
      </w:hyperlink>
    </w:p>
    <w:bookmarkEnd w:id="93"/>
    <w:bookmarkStart w:id="96" w:name="ref-1G9pdnarW"/>
    <w:p>
      <w:pPr>
        <w:pStyle w:val="Bibliography"/>
      </w:pPr>
      <w:r>
        <w:t xml:space="preserve">6.</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94">
        <w:r>
          <w:rPr>
            <w:rStyle w:val="Hyperlink"/>
          </w:rPr>
          <w:t xml:space="preserve">https://journals.scholarsportal.info/details/03468755/v41i0001/54_tbd.xml</w:t>
        </w:r>
      </w:hyperlink>
      <w:r>
        <w:t xml:space="preserve"> </w:t>
      </w:r>
      <w:r>
        <w:br/>
      </w:r>
      <w:r>
        <w:t xml:space="preserve">DOI:</w:t>
      </w:r>
      <w:r>
        <w:t xml:space="preserve"> </w:t>
      </w:r>
      <w:hyperlink r:id="rId95">
        <w:r>
          <w:rPr>
            <w:rStyle w:val="Hyperlink"/>
          </w:rPr>
          <w:t xml:space="preserve">10.1080/03468755.2015.1110533</w:t>
        </w:r>
      </w:hyperlink>
    </w:p>
    <w:bookmarkEnd w:id="96"/>
    <w:bookmarkStart w:id="100" w:name="ref-P4ttAUpf"/>
    <w:p>
      <w:pPr>
        <w:pStyle w:val="Bibliography"/>
      </w:pPr>
      <w:r>
        <w:t xml:space="preserve">7.</w:t>
      </w:r>
      <w:r>
        <w:t xml:space="preserve"> </w:t>
      </w:r>
      <w:r>
        <w:rPr>
          <w:b/>
        </w:rPr>
        <w:t xml:space="preserve">A genomic and historical synthesis of plague in 18th century Eurasia</w:t>
      </w:r>
      <w:r>
        <w:t xml:space="preserve"> </w:t>
      </w:r>
      <w:r>
        <w:br/>
      </w:r>
      <w:r>
        <w:t xml:space="preserve">Meriam Guellil, Oliver Kersten, Amine Namouchi, Stefania Luciani, Isolina Marota, Caroline A. Arcini, Elisabeth Iregren, Robert A. Lindemann, Gunnar Warfvinge, Lela Bakanidze, … Barbara Bramanti</w:t>
      </w:r>
      <w:r>
        <w:br/>
      </w:r>
      <w:r>
        <w:rPr>
          <w:i/>
        </w:rPr>
        <w:t xml:space="preserve">Proceedings of the National Academy of Sciences</w:t>
      </w:r>
      <w:r>
        <w:t xml:space="preserve"> </w:t>
      </w:r>
      <w:r>
        <w:t xml:space="preserve">(2020-11-10)</w:t>
      </w:r>
      <w:r>
        <w:t xml:space="preserve"> </w:t>
      </w:r>
      <w:hyperlink r:id="rId97">
        <w:r>
          <w:rPr>
            <w:rStyle w:val="Hyperlink"/>
          </w:rPr>
          <w:t xml:space="preserve">https://www.pnas.org/content/117/45/28328</w:t>
        </w:r>
      </w:hyperlink>
      <w:r>
        <w:t xml:space="preserve"> </w:t>
      </w:r>
      <w:r>
        <w:br/>
      </w:r>
      <w:r>
        <w:t xml:space="preserve">DOI:</w:t>
      </w:r>
      <w:r>
        <w:t xml:space="preserve"> </w:t>
      </w:r>
      <w:hyperlink r:id="rId98">
        <w:r>
          <w:rPr>
            <w:rStyle w:val="Hyperlink"/>
          </w:rPr>
          <w:t xml:space="preserve">10.1073/pnas.2009677117</w:t>
        </w:r>
      </w:hyperlink>
      <w:r>
        <w:t xml:space="preserve"> </w:t>
      </w:r>
      <w:r>
        <w:t xml:space="preserve">· PMID:</w:t>
      </w:r>
      <w:r>
        <w:t xml:space="preserve"> </w:t>
      </w:r>
      <w:hyperlink r:id="rId99">
        <w:r>
          <w:rPr>
            <w:rStyle w:val="Hyperlink"/>
          </w:rPr>
          <w:t xml:space="preserve">33106412</w:t>
        </w:r>
      </w:hyperlink>
    </w:p>
    <w:bookmarkEnd w:id="100"/>
    <w:bookmarkStart w:id="103" w:name="ref-1BWm60ySL"/>
    <w:p>
      <w:pPr>
        <w:pStyle w:val="Bibliography"/>
      </w:pPr>
      <w:r>
        <w:t xml:space="preserve">8.</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101">
        <w:r>
          <w:rPr>
            <w:rStyle w:val="Hyperlink"/>
          </w:rPr>
          <w:t xml:space="preserve">http://www.pnas.org/lookup/doi/10.1073/pnas.1812865115</w:t>
        </w:r>
      </w:hyperlink>
      <w:r>
        <w:t xml:space="preserve"> </w:t>
      </w:r>
      <w:r>
        <w:br/>
      </w:r>
      <w:r>
        <w:t xml:space="preserve">DOI:</w:t>
      </w:r>
      <w:r>
        <w:t xml:space="preserve"> </w:t>
      </w:r>
      <w:hyperlink r:id="rId102">
        <w:r>
          <w:rPr>
            <w:rStyle w:val="Hyperlink"/>
          </w:rPr>
          <w:t xml:space="preserve">10.1073/pnas.1812865115</w:t>
        </w:r>
      </w:hyperlink>
    </w:p>
    <w:bookmarkEnd w:id="103"/>
    <w:bookmarkStart w:id="106" w:name="ref-11wSWLa1D"/>
    <w:p>
      <w:pPr>
        <w:pStyle w:val="Bibliography"/>
      </w:pPr>
      <w:r>
        <w:t xml:space="preserve">9.</w:t>
      </w:r>
      <w:r>
        <w:t xml:space="preserve"> </w:t>
      </w:r>
      <w:r>
        <w:rPr>
          <w:b/>
        </w:rPr>
        <w:t xml:space="preserve">Boom-bust dynamics in biological invasions: towards an improved application of the concept</w:t>
      </w:r>
      <w:r>
        <w:t xml:space="preserve"> </w:t>
      </w:r>
      <w:r>
        <w:br/>
      </w:r>
      <w:r>
        <w:t xml:space="preserve">David L. Strayer, Carla M. D’Antonio, Franz Essl, Mike S. Fowler, Juergen Geist, Sabine Hilt, Ivan Jarić, Klaus Jöhnk, Clive G. Jones, Xavier Lambin, … Jonathan M. Jeschke</w:t>
      </w:r>
      <w:r>
        <w:br/>
      </w:r>
      <w:r>
        <w:rPr>
          <w:i/>
        </w:rPr>
        <w:t xml:space="preserve">Ecology Letters</w:t>
      </w:r>
      <w:r>
        <w:t xml:space="preserve"> </w:t>
      </w:r>
      <w:r>
        <w:t xml:space="preserve">(2017-10)</w:t>
      </w:r>
      <w:r>
        <w:t xml:space="preserve"> </w:t>
      </w:r>
      <w:r>
        <w:br/>
      </w:r>
      <w:r>
        <w:t xml:space="preserve">DOI:</w:t>
      </w:r>
      <w:r>
        <w:t xml:space="preserve"> </w:t>
      </w:r>
      <w:hyperlink r:id="rId104">
        <w:r>
          <w:rPr>
            <w:rStyle w:val="Hyperlink"/>
          </w:rPr>
          <w:t xml:space="preserve">10.1111/ele.12822</w:t>
        </w:r>
      </w:hyperlink>
      <w:r>
        <w:t xml:space="preserve"> </w:t>
      </w:r>
      <w:r>
        <w:t xml:space="preserve">· PMID:</w:t>
      </w:r>
      <w:r>
        <w:t xml:space="preserve"> </w:t>
      </w:r>
      <w:hyperlink r:id="rId105">
        <w:r>
          <w:rPr>
            <w:rStyle w:val="Hyperlink"/>
          </w:rPr>
          <w:t xml:space="preserve">28834087</w:t>
        </w:r>
      </w:hyperlink>
    </w:p>
    <w:bookmarkEnd w:id="106"/>
    <w:bookmarkStart w:id="108" w:name="ref-lEVhhIPK"/>
    <w:p>
      <w:pPr>
        <w:pStyle w:val="Bibliography"/>
      </w:pPr>
      <w:r>
        <w:t xml:space="preserve">10.</w:t>
      </w:r>
      <w:r>
        <w:t xml:space="preserve"> </w:t>
      </w:r>
      <w:r>
        <w:rPr>
          <w:b/>
        </w:rPr>
        <w:t xml:space="preserve">Ecology of rodent outbreaks and zoonotic diseases: common voles in the farmland of north-west spain</w:t>
      </w:r>
      <w:r>
        <w:t xml:space="preserve"> </w:t>
      </w:r>
      <w:r>
        <w:br/>
      </w:r>
      <w:r>
        <w:t xml:space="preserve">Ruth Rodríguez Pastor</w:t>
      </w:r>
      <w:r>
        <w:br/>
      </w:r>
      <w:r>
        <w:rPr>
          <w:i/>
        </w:rPr>
        <w:t xml:space="preserve">Universidad de Valladolid</w:t>
      </w:r>
      <w:r>
        <w:t xml:space="preserve"> </w:t>
      </w:r>
      <w:r>
        <w:t xml:space="preserve">(2018)</w:t>
      </w:r>
      <w:r>
        <w:t xml:space="preserve"> </w:t>
      </w:r>
      <w:hyperlink r:id="rId107">
        <w:r>
          <w:rPr>
            <w:rStyle w:val="Hyperlink"/>
          </w:rPr>
          <w:t xml:space="preserve">https://dialnet.unirioja.es/servlet/tesis?codigo=230751</w:t>
        </w:r>
      </w:hyperlink>
    </w:p>
    <w:bookmarkEnd w:id="108"/>
    <w:bookmarkStart w:id="111" w:name="ref-OLBXS56Z"/>
    <w:p>
      <w:pPr>
        <w:pStyle w:val="Bibliography"/>
      </w:pPr>
      <w:r>
        <w:t xml:space="preserve">11.</w:t>
      </w:r>
      <w:r>
        <w:t xml:space="preserve"> </w:t>
      </w:r>
      <w:r>
        <w:rPr>
          <w:i/>
          <w:b/>
        </w:rPr>
        <w:t xml:space="preserve">Yersinia pestis</w:t>
      </w:r>
      <w:r>
        <w:rPr>
          <w:b/>
        </w:rPr>
        <w:t xml:space="preserve"> </w:t>
      </w:r>
      <w:r>
        <w:rPr>
          <w:b/>
        </w:rPr>
        <w:t xml:space="preserve">strains from Latvia show depletion of the pla virulence gene at the end of the second plague pandemic</w:t>
      </w:r>
      <w:r>
        <w:t xml:space="preserve"> </w:t>
      </w:r>
      <w:r>
        <w:br/>
      </w:r>
      <w:r>
        <w:t xml:space="preserve">Julian Susat, Joanna H. Bonczarowska, Elīna Pētersone-Gordina, Alexander Immel, Almut Nebel, Guntis Gerhards, Ben Krause-Kyora</w:t>
      </w:r>
      <w:r>
        <w:br/>
      </w:r>
      <w:r>
        <w:rPr>
          <w:i/>
        </w:rPr>
        <w:t xml:space="preserve">Scientific Reports</w:t>
      </w:r>
      <w:r>
        <w:t xml:space="preserve"> </w:t>
      </w:r>
      <w:r>
        <w:t xml:space="preserve">(2020-09-03)</w:t>
      </w:r>
      <w:r>
        <w:t xml:space="preserve"> </w:t>
      </w:r>
      <w:hyperlink r:id="rId109">
        <w:r>
          <w:rPr>
            <w:rStyle w:val="Hyperlink"/>
          </w:rPr>
          <w:t xml:space="preserve">https://www.nature.com/articles/s41598-020-71530-9</w:t>
        </w:r>
      </w:hyperlink>
      <w:r>
        <w:t xml:space="preserve"> </w:t>
      </w:r>
      <w:r>
        <w:br/>
      </w:r>
      <w:r>
        <w:t xml:space="preserve">DOI:</w:t>
      </w:r>
      <w:r>
        <w:t xml:space="preserve"> </w:t>
      </w:r>
      <w:hyperlink r:id="rId110">
        <w:r>
          <w:rPr>
            <w:rStyle w:val="Hyperlink"/>
          </w:rPr>
          <w:t xml:space="preserve">10.1038/s41598-020-71530-9</w:t>
        </w:r>
      </w:hyperlink>
    </w:p>
    <w:bookmarkEnd w:id="111"/>
    <w:bookmarkStart w:id="116" w:name="ref-X3tnQO3i"/>
    <w:p>
      <w:pPr>
        <w:pStyle w:val="Bibliography"/>
      </w:pPr>
      <w:r>
        <w:t xml:space="preserve">12.</w:t>
      </w:r>
      <w:r>
        <w:t xml:space="preserve"> </w:t>
      </w:r>
      <w:r>
        <w:rPr>
          <w:b/>
        </w:rPr>
        <w:t xml:space="preserve">Role of the Yersinia pestis plasminogen activator in the incidence of distinct septicemic and bubonic forms of flea-borne plague</w:t>
      </w:r>
      <w:r>
        <w:t xml:space="preserve"> </w:t>
      </w:r>
      <w:r>
        <w:br/>
      </w:r>
      <w:r>
        <w:t xml:space="preserve">Florent Sebbane, Clayton O. Jarrett, Donald Gardner, Daniel Long, B. Joseph Hinnebusch</w:t>
      </w:r>
      <w:r>
        <w:br/>
      </w:r>
      <w:r>
        <w:rPr>
          <w:i/>
        </w:rPr>
        <w:t xml:space="preserve">Proceedings of the National Academy of Sciences of the United States of America</w:t>
      </w:r>
      <w:r>
        <w:t xml:space="preserve"> </w:t>
      </w:r>
      <w:r>
        <w:t xml:space="preserve">(2006-04-04)</w:t>
      </w:r>
      <w:r>
        <w:t xml:space="preserve"> </w:t>
      </w:r>
      <w:hyperlink r:id="rId112">
        <w:r>
          <w:rPr>
            <w:rStyle w:val="Hyperlink"/>
          </w:rPr>
          <w:t xml:space="preserve">https://www.ncbi.nlm.nih.gov/pmc/articles/PMC1414629/</w:t>
        </w:r>
      </w:hyperlink>
      <w:r>
        <w:t xml:space="preserve"> </w:t>
      </w:r>
      <w:r>
        <w:br/>
      </w:r>
      <w:r>
        <w:t xml:space="preserve">DOI:</w:t>
      </w:r>
      <w:r>
        <w:t xml:space="preserve"> </w:t>
      </w:r>
      <w:hyperlink r:id="rId113">
        <w:r>
          <w:rPr>
            <w:rStyle w:val="Hyperlink"/>
          </w:rPr>
          <w:t xml:space="preserve">10.1073/pnas.0509544103</w:t>
        </w:r>
      </w:hyperlink>
      <w:r>
        <w:t xml:space="preserve"> </w:t>
      </w:r>
      <w:r>
        <w:t xml:space="preserve">· PMID:</w:t>
      </w:r>
      <w:r>
        <w:t xml:space="preserve"> </w:t>
      </w:r>
      <w:hyperlink r:id="rId114">
        <w:r>
          <w:rPr>
            <w:rStyle w:val="Hyperlink"/>
          </w:rPr>
          <w:t xml:space="preserve">16567636</w:t>
        </w:r>
      </w:hyperlink>
      <w:r>
        <w:t xml:space="preserve"> </w:t>
      </w:r>
      <w:r>
        <w:t xml:space="preserve">· PMCID:</w:t>
      </w:r>
      <w:r>
        <w:t xml:space="preserve"> </w:t>
      </w:r>
      <w:hyperlink r:id="rId115">
        <w:r>
          <w:rPr>
            <w:rStyle w:val="Hyperlink"/>
          </w:rPr>
          <w:t xml:space="preserve">PMC1414629</w:t>
        </w:r>
      </w:hyperlink>
    </w:p>
    <w:bookmarkEnd w:id="116"/>
    <w:bookmarkStart w:id="118" w:name="ref-QoRg40jU"/>
    <w:p>
      <w:pPr>
        <w:pStyle w:val="Bibliography"/>
      </w:pPr>
      <w:r>
        <w:t xml:space="preserve">13.</w:t>
      </w:r>
      <w:r>
        <w:t xml:space="preserve"> </w:t>
      </w:r>
      <w:r>
        <w:rPr>
          <w:b/>
        </w:rPr>
        <w:t xml:space="preserve">The Last Plague in the Baltic Region 1709-1713</w:t>
      </w:r>
      <w:r>
        <w:t xml:space="preserve"> </w:t>
      </w:r>
      <w:r>
        <w:br/>
      </w:r>
      <w:r>
        <w:t xml:space="preserve">Karl-Erik Frandsen</w:t>
      </w:r>
      <w:r>
        <w:br/>
      </w:r>
      <w:r>
        <w:rPr>
          <w:i/>
        </w:rPr>
        <w:t xml:space="preserve">Museum Tusculanum Press</w:t>
      </w:r>
      <w:r>
        <w:t xml:space="preserve"> </w:t>
      </w:r>
      <w:r>
        <w:t xml:space="preserve">(2010)</w:t>
      </w:r>
      <w:r>
        <w:t xml:space="preserve"> </w:t>
      </w:r>
      <w:r>
        <w:br/>
      </w:r>
      <w:r>
        <w:t xml:space="preserve">ISBN:</w:t>
      </w:r>
      <w:r>
        <w:t xml:space="preserve"> </w:t>
      </w:r>
      <w:hyperlink r:id="rId117">
        <w:r>
          <w:rPr>
            <w:rStyle w:val="Hyperlink"/>
          </w:rPr>
          <w:t xml:space="preserve">978-87-635-0770-7</w:t>
        </w:r>
      </w:hyperlink>
    </w:p>
    <w:bookmarkEnd w:id="118"/>
    <w:bookmarkStart w:id="120" w:name="ref-CToe6ZKY"/>
    <w:p>
      <w:pPr>
        <w:pStyle w:val="Bibliography"/>
      </w:pPr>
      <w:r>
        <w:t xml:space="preserve">14.</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119">
        <w:r>
          <w:rPr>
            <w:rStyle w:val="Hyperlink"/>
          </w:rPr>
          <w:t xml:space="preserve">https://doi.org/10.1093/nar/gkp159</w:t>
        </w:r>
      </w:hyperlink>
      <w:r>
        <w:t xml:space="preserve"> </w:t>
      </w:r>
      <w:r>
        <w:br/>
      </w:r>
      <w:r>
        <w:t xml:space="preserve">DOI:</w:t>
      </w:r>
      <w:r>
        <w:t xml:space="preserve"> </w:t>
      </w:r>
      <w:hyperlink r:id="rId119">
        <w:r>
          <w:rPr>
            <w:rStyle w:val="Hyperlink"/>
          </w:rPr>
          <w:t xml:space="preserve">10.1093/nar/gkp159</w:t>
        </w:r>
      </w:hyperlink>
    </w:p>
    <w:bookmarkEnd w:id="120"/>
    <w:bookmarkStart w:id="123" w:name="ref-9kFCN7oR"/>
    <w:p>
      <w:pPr>
        <w:pStyle w:val="Bibliography"/>
      </w:pPr>
      <w:r>
        <w:t xml:space="preserve">15.</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21">
        <w:r>
          <w:rPr>
            <w:rStyle w:val="Hyperlink"/>
          </w:rPr>
          <w:t xml:space="preserve">http://www.pnas.org/cgi/doi/10.1073/pnas.1314445110</w:t>
        </w:r>
      </w:hyperlink>
      <w:r>
        <w:t xml:space="preserve"> </w:t>
      </w:r>
      <w:r>
        <w:br/>
      </w:r>
      <w:r>
        <w:t xml:space="preserve">DOI:</w:t>
      </w:r>
      <w:r>
        <w:t xml:space="preserve"> </w:t>
      </w:r>
      <w:hyperlink r:id="rId122">
        <w:r>
          <w:rPr>
            <w:rStyle w:val="Hyperlink"/>
          </w:rPr>
          <w:t xml:space="preserve">10.1073/pnas.1314445110</w:t>
        </w:r>
      </w:hyperlink>
    </w:p>
    <w:bookmarkEnd w:id="123"/>
    <w:bookmarkStart w:id="126" w:name="ref-ACt53Sow"/>
    <w:p>
      <w:pPr>
        <w:pStyle w:val="Bibliography"/>
      </w:pPr>
      <w:r>
        <w:t xml:space="preserve">16.</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4">
        <w:r>
          <w:rPr>
            <w:rStyle w:val="Hyperlink"/>
          </w:rPr>
          <w:t xml:space="preserve">https://linkinghub.elsevier.com/retrieve/pii/S1473309913703232</w:t>
        </w:r>
      </w:hyperlink>
      <w:r>
        <w:t xml:space="preserve"> </w:t>
      </w:r>
      <w:r>
        <w:br/>
      </w:r>
      <w:r>
        <w:t xml:space="preserve">DOI:</w:t>
      </w:r>
      <w:r>
        <w:t xml:space="preserve"> </w:t>
      </w:r>
      <w:hyperlink r:id="rId125">
        <w:r>
          <w:rPr>
            <w:rStyle w:val="Hyperlink"/>
          </w:rPr>
          <w:t xml:space="preserve">10.1016/s1473-3099(13)70323-2</w:t>
        </w:r>
      </w:hyperlink>
    </w:p>
    <w:bookmarkEnd w:id="126"/>
    <w:bookmarkStart w:id="129" w:name="ref-uH8TFQKI"/>
    <w:p>
      <w:pPr>
        <w:pStyle w:val="Bibliography"/>
      </w:pPr>
      <w:r>
        <w:t xml:space="preserve">17.</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127">
        <w:r>
          <w:rPr>
            <w:rStyle w:val="Hyperlink"/>
          </w:rPr>
          <w:t xml:space="preserve">http://www.cshprotocols.org/cgi/doi/10.1101/pdb.prot5448</w:t>
        </w:r>
      </w:hyperlink>
      <w:r>
        <w:t xml:space="preserve"> </w:t>
      </w:r>
      <w:r>
        <w:br/>
      </w:r>
      <w:r>
        <w:t xml:space="preserve">DOI:</w:t>
      </w:r>
      <w:r>
        <w:t xml:space="preserve"> </w:t>
      </w:r>
      <w:hyperlink r:id="rId128">
        <w:r>
          <w:rPr>
            <w:rStyle w:val="Hyperlink"/>
          </w:rPr>
          <w:t xml:space="preserve">10.1101/pdb.prot5448</w:t>
        </w:r>
      </w:hyperlink>
    </w:p>
    <w:bookmarkEnd w:id="129"/>
    <w:bookmarkStart w:id="132" w:name="ref-sVvw7Kko"/>
    <w:p>
      <w:pPr>
        <w:pStyle w:val="Bibliography"/>
      </w:pPr>
      <w:r>
        <w:t xml:space="preserve">18.</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30">
        <w:r>
          <w:rPr>
            <w:rStyle w:val="Hyperlink"/>
          </w:rPr>
          <w:t xml:space="preserve">https://academic.oup.com/nar/article/40/1/e3/1287690</w:t>
        </w:r>
      </w:hyperlink>
      <w:r>
        <w:t xml:space="preserve"> </w:t>
      </w:r>
      <w:r>
        <w:br/>
      </w:r>
      <w:r>
        <w:t xml:space="preserve">DOI:</w:t>
      </w:r>
      <w:r>
        <w:t xml:space="preserve"> </w:t>
      </w:r>
      <w:hyperlink r:id="rId131">
        <w:r>
          <w:rPr>
            <w:rStyle w:val="Hyperlink"/>
          </w:rPr>
          <w:t xml:space="preserve">10.1093/nar/gkr771</w:t>
        </w:r>
      </w:hyperlink>
    </w:p>
    <w:bookmarkEnd w:id="132"/>
    <w:bookmarkStart w:id="134" w:name="ref-6YubepsW"/>
    <w:p>
      <w:pPr>
        <w:pStyle w:val="Bibliography"/>
      </w:pPr>
      <w:r>
        <w:t xml:space="preserve">19.</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133">
        <w:r>
          <w:rPr>
            <w:rStyle w:val="Hyperlink"/>
          </w:rPr>
          <w:t xml:space="preserve">https://doi.org/10.21105/joss.01990</w:t>
        </w:r>
      </w:hyperlink>
      <w:r>
        <w:t xml:space="preserve"> </w:t>
      </w:r>
      <w:r>
        <w:br/>
      </w:r>
      <w:r>
        <w:t xml:space="preserve">DOI:</w:t>
      </w:r>
      <w:r>
        <w:t xml:space="preserve"> </w:t>
      </w:r>
      <w:hyperlink r:id="rId133">
        <w:r>
          <w:rPr>
            <w:rStyle w:val="Hyperlink"/>
          </w:rPr>
          <w:t xml:space="preserve">10.21105/joss.01990</w:t>
        </w:r>
      </w:hyperlink>
    </w:p>
    <w:bookmarkEnd w:id="134"/>
    <w:bookmarkStart w:id="136" w:name="ref-puYDXtJ9"/>
    <w:p>
      <w:pPr>
        <w:pStyle w:val="Bibliography"/>
      </w:pPr>
      <w:r>
        <w:t xml:space="preserve">20.</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35">
        <w:r>
          <w:rPr>
            <w:rStyle w:val="Hyperlink"/>
          </w:rPr>
          <w:t xml:space="preserve">https://github.com/ncbi/sra-tools</w:t>
        </w:r>
      </w:hyperlink>
    </w:p>
    <w:bookmarkEnd w:id="136"/>
    <w:bookmarkStart w:id="139" w:name="ref-17yD9OrGW"/>
    <w:p>
      <w:pPr>
        <w:pStyle w:val="Bibliography"/>
      </w:pPr>
      <w:r>
        <w:t xml:space="preserve">21.</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37">
        <w:r>
          <w:rPr>
            <w:rStyle w:val="Hyperlink"/>
          </w:rPr>
          <w:t xml:space="preserve">https://peerj.com/articles/10947</w:t>
        </w:r>
      </w:hyperlink>
      <w:r>
        <w:t xml:space="preserve"> </w:t>
      </w:r>
      <w:r>
        <w:br/>
      </w:r>
      <w:r>
        <w:t xml:space="preserve">DOI:</w:t>
      </w:r>
      <w:r>
        <w:t xml:space="preserve"> </w:t>
      </w:r>
      <w:hyperlink r:id="rId138">
        <w:r>
          <w:rPr>
            <w:rStyle w:val="Hyperlink"/>
          </w:rPr>
          <w:t xml:space="preserve">10.7717/peerj.10947</w:t>
        </w:r>
      </w:hyperlink>
    </w:p>
    <w:bookmarkEnd w:id="139"/>
    <w:bookmarkStart w:id="141" w:name="ref-1DR126iIZ"/>
    <w:p>
      <w:pPr>
        <w:pStyle w:val="Bibliography"/>
      </w:pPr>
      <w:r>
        <w:t xml:space="preserve">22.</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0">
        <w:r>
          <w:rPr>
            <w:rStyle w:val="Hyperlink"/>
          </w:rPr>
          <w:t xml:space="preserve">https://github.com/tseemann/snippy</w:t>
        </w:r>
      </w:hyperlink>
    </w:p>
    <w:bookmarkEnd w:id="141"/>
    <w:bookmarkStart w:id="144" w:name="ref-QZIPWLUx"/>
    <w:p>
      <w:pPr>
        <w:pStyle w:val="Bibliography"/>
      </w:pPr>
      <w:r>
        <w:t xml:space="preserve">23.</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2">
        <w:r>
          <w:rPr>
            <w:rStyle w:val="Hyperlink"/>
          </w:rPr>
          <w:t xml:space="preserve">http://www.nature.com/articles/nmeth.4285</w:t>
        </w:r>
      </w:hyperlink>
      <w:r>
        <w:t xml:space="preserve"> </w:t>
      </w:r>
      <w:r>
        <w:br/>
      </w:r>
      <w:r>
        <w:t xml:space="preserve">DOI:</w:t>
      </w:r>
      <w:r>
        <w:t xml:space="preserve"> </w:t>
      </w:r>
      <w:hyperlink r:id="rId143">
        <w:r>
          <w:rPr>
            <w:rStyle w:val="Hyperlink"/>
          </w:rPr>
          <w:t xml:space="preserve">10.1038/nmeth.4285</w:t>
        </w:r>
      </w:hyperlink>
    </w:p>
    <w:bookmarkEnd w:id="144"/>
    <w:bookmarkStart w:id="147" w:name="ref-mkkgRhHT"/>
    <w:p>
      <w:pPr>
        <w:pStyle w:val="Bibliography"/>
      </w:pPr>
      <w:r>
        <w:t xml:space="preserve">24.</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45">
        <w:r>
          <w:rPr>
            <w:rStyle w:val="Hyperlink"/>
          </w:rPr>
          <w:t xml:space="preserve">https://academic.oup.com/mbe/article/37/5/1530/5721363</w:t>
        </w:r>
      </w:hyperlink>
      <w:r>
        <w:t xml:space="preserve"> </w:t>
      </w:r>
      <w:r>
        <w:br/>
      </w:r>
      <w:r>
        <w:t xml:space="preserve">DOI:</w:t>
      </w:r>
      <w:r>
        <w:t xml:space="preserve"> </w:t>
      </w:r>
      <w:hyperlink r:id="rId146">
        <w:r>
          <w:rPr>
            <w:rStyle w:val="Hyperlink"/>
          </w:rPr>
          <w:t xml:space="preserve">10.1093/molbev/msaa015</w:t>
        </w:r>
      </w:hyperlink>
    </w:p>
    <w:bookmarkEnd w:id="147"/>
    <w:bookmarkStart w:id="150" w:name="ref-12SvE6y3A"/>
    <w:p>
      <w:pPr>
        <w:pStyle w:val="Bibliography"/>
      </w:pPr>
      <w:r>
        <w:t xml:space="preserve">25.</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48">
        <w:r>
          <w:rPr>
            <w:rStyle w:val="Hyperlink"/>
          </w:rPr>
          <w:t xml:space="preserve">https://academic.oup.com/mbe/article/35/2/518/4565479</w:t>
        </w:r>
      </w:hyperlink>
      <w:r>
        <w:t xml:space="preserve"> </w:t>
      </w:r>
      <w:r>
        <w:br/>
      </w:r>
      <w:r>
        <w:t xml:space="preserve">DOI:</w:t>
      </w:r>
      <w:r>
        <w:t xml:space="preserve"> </w:t>
      </w:r>
      <w:hyperlink r:id="rId149">
        <w:r>
          <w:rPr>
            <w:rStyle w:val="Hyperlink"/>
          </w:rPr>
          <w:t xml:space="preserve">10.1093/molbev/msx281</w:t>
        </w:r>
      </w:hyperlink>
    </w:p>
    <w:bookmarkEnd w:id="150"/>
    <w:bookmarkStart w:id="153" w:name="ref-ONhNS9aO"/>
    <w:p>
      <w:pPr>
        <w:pStyle w:val="Bibliography"/>
      </w:pPr>
      <w:r>
        <w:t xml:space="preserve">26.</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51">
        <w:r>
          <w:rPr>
            <w:rStyle w:val="Hyperlink"/>
          </w:rPr>
          <w:t xml:space="preserve">http://www.pnas.org/cgi/doi/10.1073/pnas.1205750110</w:t>
        </w:r>
      </w:hyperlink>
      <w:r>
        <w:t xml:space="preserve"> </w:t>
      </w:r>
      <w:r>
        <w:br/>
      </w:r>
      <w:r>
        <w:t xml:space="preserve">DOI:</w:t>
      </w:r>
      <w:r>
        <w:t xml:space="preserve"> </w:t>
      </w:r>
      <w:hyperlink r:id="rId152">
        <w:r>
          <w:rPr>
            <w:rStyle w:val="Hyperlink"/>
          </w:rPr>
          <w:t xml:space="preserve">10.1073/pnas.1205750110</w:t>
        </w:r>
      </w:hyperlink>
    </w:p>
    <w:bookmarkEnd w:id="153"/>
    <w:bookmarkStart w:id="156" w:name="ref-1CPIgshmC"/>
    <w:p>
      <w:pPr>
        <w:pStyle w:val="Bibliography"/>
      </w:pPr>
      <w:r>
        <w:t xml:space="preserve">27.</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4">
        <w:r>
          <w:rPr>
            <w:rStyle w:val="Hyperlink"/>
          </w:rPr>
          <w:t xml:space="preserve">https://www.nature.com/articles/s41467-019-12154-0</w:t>
        </w:r>
      </w:hyperlink>
      <w:r>
        <w:t xml:space="preserve"> </w:t>
      </w:r>
      <w:r>
        <w:br/>
      </w:r>
      <w:r>
        <w:t xml:space="preserve">DOI:</w:t>
      </w:r>
      <w:r>
        <w:t xml:space="preserve"> </w:t>
      </w:r>
      <w:hyperlink r:id="rId155">
        <w:r>
          <w:rPr>
            <w:rStyle w:val="Hyperlink"/>
          </w:rPr>
          <w:t xml:space="preserve">10.1038/s41467-019-12154-0</w:t>
        </w:r>
      </w:hyperlink>
    </w:p>
    <w:bookmarkEnd w:id="156"/>
    <w:bookmarkEnd w:id="157"/>
    <w:p>
      <w:pPr>
        <w:pStyle w:val="Heading2"/>
      </w:pPr>
      <w:bookmarkStart w:id="158" w:name="appendix"/>
      <w:r>
        <w:t xml:space="preserve">Appendix</w:t>
      </w:r>
      <w:bookmarkEnd w:id="158"/>
    </w:p>
    <w:p>
      <w:pPr>
        <w:pStyle w:val="Heading3"/>
      </w:pPr>
      <w:bookmarkStart w:id="159" w:name="plague-detection-1"/>
      <w:r>
        <w:t xml:space="preserve">Plague Detection</w:t>
      </w:r>
      <w:bookmarkEnd w:id="159"/>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60" w:name="comparative-genomes-1"/>
      <w:r>
        <w:t xml:space="preserve">Comparative Genomes</w:t>
      </w:r>
      <w:bookmarkEnd w:id="160"/>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STN021</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SAMEA5818830</w:t>
            </w:r>
          </w:p>
        </w:tc>
      </w:tr>
      <w:tr>
        <w:tc>
          <w:p>
            <w:pPr>
              <w:pStyle w:val="Compact"/>
              <w:jc w:val="center"/>
            </w:pPr>
            <w:r>
              <w:t xml:space="preserve">STN020</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SAMEA5818829</w:t>
            </w:r>
          </w:p>
        </w:tc>
      </w:tr>
      <w:tr>
        <w:tc>
          <w:p>
            <w:pPr>
              <w:pStyle w:val="Compact"/>
              <w:jc w:val="center"/>
            </w:pPr>
            <w:r>
              <w:t xml:space="preserve">STN019</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SAMEA5818828</w:t>
            </w:r>
          </w:p>
        </w:tc>
      </w:tr>
      <w:tr>
        <w:tc>
          <w:p>
            <w:pPr>
              <w:pStyle w:val="Compact"/>
              <w:jc w:val="center"/>
            </w:pPr>
            <w:r>
              <w:t xml:space="preserve">STN014</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SAMEA5818826</w:t>
            </w:r>
          </w:p>
        </w:tc>
      </w:tr>
      <w:tr>
        <w:tc>
          <w:p>
            <w:pPr>
              <w:pStyle w:val="Compact"/>
              <w:jc w:val="center"/>
            </w:pPr>
            <w:r>
              <w:t xml:space="preserve">STN013</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SAMEA5818825</w:t>
            </w:r>
          </w:p>
        </w:tc>
      </w:tr>
      <w:tr>
        <w:tc>
          <w:p>
            <w:pPr>
              <w:pStyle w:val="Compact"/>
              <w:jc w:val="center"/>
            </w:pPr>
            <w:r>
              <w:t xml:space="preserve">STN008</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SAMEA5818822</w:t>
            </w:r>
          </w:p>
        </w:tc>
      </w:tr>
      <w:tr>
        <w:tc>
          <w:p>
            <w:pPr>
              <w:pStyle w:val="Compact"/>
              <w:jc w:val="center"/>
            </w:pPr>
            <w:r>
              <w:t xml:space="preserve">STN007</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SAMEA5818821</w:t>
            </w:r>
          </w:p>
        </w:tc>
      </w:tr>
      <w:tr>
        <w:tc>
          <w:p>
            <w:pPr>
              <w:pStyle w:val="Compact"/>
              <w:jc w:val="center"/>
            </w:pPr>
            <w:r>
              <w:t xml:space="preserve">STN002</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SAMEA5818818</w:t>
            </w:r>
          </w:p>
        </w:tc>
      </w:tr>
      <w:tr>
        <w:tc>
          <w:p>
            <w:pPr>
              <w:pStyle w:val="Compact"/>
              <w:jc w:val="center"/>
            </w:pPr>
            <w:r>
              <w:t xml:space="preserve">STA001</w:t>
            </w:r>
          </w:p>
        </w:tc>
        <w:tc>
          <w:p>
            <w:pPr>
              <w:pStyle w:val="Compact"/>
              <w:jc w:val="center"/>
            </w:pPr>
            <w:r>
              <w:t xml:space="preserve">1420 - 1630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SAMEA5818817</w:t>
            </w:r>
          </w:p>
        </w:tc>
      </w:tr>
      <w:tr>
        <w:tc>
          <w:p>
            <w:pPr>
              <w:pStyle w:val="Compact"/>
              <w:jc w:val="center"/>
            </w:pPr>
            <w:r>
              <w:t xml:space="preserve">NMS002</w:t>
            </w:r>
          </w:p>
        </w:tc>
        <w:tc>
          <w:p>
            <w:pPr>
              <w:pStyle w:val="Compact"/>
              <w:jc w:val="center"/>
            </w:pPr>
            <w:r>
              <w:t xml:space="preserve">1475 - 1536</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SAMEA5818815</w:t>
            </w:r>
          </w:p>
        </w:tc>
      </w:tr>
      <w:tr>
        <w:tc>
          <w:p>
            <w:pPr>
              <w:pStyle w:val="Compact"/>
              <w:jc w:val="center"/>
            </w:pPr>
            <w:r>
              <w:t xml:space="preserve">NAB003</w:t>
            </w:r>
          </w:p>
        </w:tc>
        <w:tc>
          <w:p>
            <w:pPr>
              <w:pStyle w:val="Compact"/>
              <w:jc w:val="center"/>
            </w:pPr>
            <w:r>
              <w:t xml:space="preserve">1292 - 1392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SAMEA5818811</w:t>
            </w:r>
          </w:p>
        </w:tc>
      </w:tr>
      <w:tr>
        <w:tc>
          <w:p>
            <w:pPr>
              <w:pStyle w:val="Compact"/>
              <w:jc w:val="center"/>
            </w:pPr>
            <w:r>
              <w:t xml:space="preserve">MAN008</w:t>
            </w:r>
          </w:p>
        </w:tc>
        <w:tc>
          <w:p>
            <w:pPr>
              <w:pStyle w:val="Compact"/>
              <w:jc w:val="center"/>
            </w:pPr>
            <w:r>
              <w:t xml:space="preserve">1283 - 1390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SAMEA5818809</w:t>
            </w:r>
          </w:p>
        </w:tc>
      </w:tr>
      <w:tr>
        <w:tc>
          <w:p>
            <w:pPr>
              <w:pStyle w:val="Compact"/>
              <w:jc w:val="center"/>
            </w:pPr>
            <w:r>
              <w:t xml:space="preserve">LBG002</w:t>
            </w:r>
          </w:p>
        </w:tc>
        <w:tc>
          <w:p>
            <w:pPr>
              <w:pStyle w:val="Compact"/>
              <w:jc w:val="center"/>
            </w:pPr>
            <w:r>
              <w:t xml:space="preserve">1455 - 1632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SAMEA5818808</w:t>
            </w:r>
          </w:p>
        </w:tc>
      </w:tr>
      <w:tr>
        <w:tc>
          <w:p>
            <w:pPr>
              <w:pStyle w:val="Compact"/>
              <w:jc w:val="center"/>
            </w:pPr>
            <w:r>
              <w:t xml:space="preserve">LAI009</w:t>
            </w:r>
          </w:p>
        </w:tc>
        <w:tc>
          <w:p>
            <w:pPr>
              <w:pStyle w:val="Compact"/>
              <w:jc w:val="center"/>
            </w:pPr>
            <w:r>
              <w:t xml:space="preserve">1300 - 1400</w:t>
            </w:r>
          </w:p>
        </w:tc>
        <w:tc>
          <w:p>
            <w:pPr>
              <w:pStyle w:val="Compact"/>
              <w:jc w:val="center"/>
            </w:pPr>
            <w:r>
              <w:t xml:space="preserve">1.PRE0</w:t>
            </w:r>
          </w:p>
        </w:tc>
        <w:tc>
          <w:p>
            <w:pPr>
              <w:pStyle w:val="Compact"/>
              <w:jc w:val="center"/>
            </w:pPr>
            <w:r>
              <w:t xml:space="preserve">Russia</w:t>
            </w:r>
          </w:p>
        </w:tc>
        <w:tc>
          <w:p>
            <w:pPr>
              <w:pStyle w:val="Compact"/>
              <w:jc w:val="center"/>
            </w:pPr>
            <w:r>
              <w:t xml:space="preserve">SAMEA5818806</w:t>
            </w:r>
          </w:p>
        </w:tc>
      </w:tr>
      <w:tr>
        <w:tc>
          <w:p>
            <w:pPr>
              <w:pStyle w:val="Compact"/>
              <w:jc w:val="center"/>
            </w:pPr>
            <w:r>
              <w:t xml:space="preserve">ELW098</w:t>
            </w:r>
          </w:p>
        </w:tc>
        <w:tc>
          <w:p>
            <w:pPr>
              <w:pStyle w:val="Compact"/>
              <w:jc w:val="center"/>
            </w:pPr>
            <w:r>
              <w:t xml:space="preserve">1485 - 1627</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SAMEA5818805</w:t>
            </w:r>
          </w:p>
        </w:tc>
      </w:tr>
      <w:tr>
        <w:tc>
          <w:p>
            <w:pPr>
              <w:pStyle w:val="Compact"/>
              <w:jc w:val="center"/>
            </w:pPr>
            <w:r>
              <w:t xml:space="preserve">BRA001</w:t>
            </w:r>
          </w:p>
        </w:tc>
        <w:tc>
          <w:p>
            <w:pPr>
              <w:pStyle w:val="Compact"/>
              <w:jc w:val="center"/>
            </w:pPr>
            <w:r>
              <w:t xml:space="preserve">1618 - 1648</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SAMEA5818803</w:t>
            </w:r>
          </w:p>
        </w:tc>
      </w:tr>
      <w:tr>
        <w:tc>
          <w:p>
            <w:pPr>
              <w:pStyle w:val="Compact"/>
              <w:jc w:val="center"/>
            </w:pPr>
            <w:r>
              <w:t xml:space="preserve">BED034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SAMEA5818801</w:t>
            </w:r>
          </w:p>
        </w:tc>
      </w:tr>
      <w:tr>
        <w:tc>
          <w:p>
            <w:pPr>
              <w:pStyle w:val="Compact"/>
              <w:jc w:val="center"/>
            </w:pPr>
            <w:r>
              <w:t xml:space="preserve">BED030</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SAMEA5818800</w:t>
            </w:r>
          </w:p>
        </w:tc>
      </w:tr>
      <w:tr>
        <w:tc>
          <w:p>
            <w:pPr>
              <w:pStyle w:val="Compact"/>
              <w:jc w:val="center"/>
            </w:pPr>
            <w:r>
              <w:t xml:space="preserve">BED028</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SAMEA5818799</w:t>
            </w:r>
          </w:p>
        </w:tc>
      </w:tr>
      <w:tr>
        <w:tc>
          <w:p>
            <w:pPr>
              <w:pStyle w:val="Compact"/>
              <w:jc w:val="center"/>
            </w:pPr>
            <w:r>
              <w:t xml:space="preserve">BED024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SAMEA5818798</w:t>
            </w:r>
          </w:p>
        </w:tc>
      </w:tr>
      <w:tr>
        <w:tc>
          <w:p>
            <w:pPr>
              <w:pStyle w:val="Compact"/>
              <w:jc w:val="center"/>
            </w:pPr>
            <w:r>
              <w:t xml:space="preserve">SLC1006</w:t>
            </w:r>
          </w:p>
        </w:tc>
        <w:tc>
          <w:p>
            <w:pPr>
              <w:pStyle w:val="Compact"/>
              <w:jc w:val="center"/>
            </w:pPr>
            <w:r>
              <w:t xml:space="preserve">1279 - 1389</w:t>
            </w:r>
          </w:p>
        </w:tc>
        <w:tc>
          <w:p>
            <w:pPr>
              <w:pStyle w:val="Compact"/>
              <w:jc w:val="center"/>
            </w:pPr>
            <w:r>
              <w:t xml:space="preserve">1.PRE1</w:t>
            </w:r>
          </w:p>
        </w:tc>
        <w:tc>
          <w:p>
            <w:pPr>
              <w:pStyle w:val="Compact"/>
              <w:jc w:val="center"/>
            </w:pPr>
            <w:r>
              <w:t xml:space="preserve">France</w:t>
            </w:r>
          </w:p>
        </w:tc>
        <w:tc>
          <w:p>
            <w:pPr>
              <w:pStyle w:val="Compact"/>
              <w:jc w:val="center"/>
            </w:pPr>
            <w:r>
              <w:t xml:space="preserve">SAMEA5054093</w:t>
            </w:r>
          </w:p>
        </w:tc>
      </w:tr>
      <w:tr>
        <w:tc>
          <w:p>
            <w:pPr>
              <w:pStyle w:val="Compact"/>
              <w:jc w:val="center"/>
            </w:pPr>
            <w:r>
              <w:t xml:space="preserve">OSL1</w:t>
            </w:r>
          </w:p>
        </w:tc>
        <w:tc>
          <w:p>
            <w:pPr>
              <w:pStyle w:val="Compact"/>
              <w:jc w:val="center"/>
            </w:pPr>
            <w:r>
              <w:t xml:space="preserve">1270 - 1390</w:t>
            </w:r>
          </w:p>
        </w:tc>
        <w:tc>
          <w:p>
            <w:pPr>
              <w:pStyle w:val="Compact"/>
              <w:jc w:val="center"/>
            </w:pPr>
            <w:r>
              <w:t xml:space="preserve">1.PRE1</w:t>
            </w:r>
          </w:p>
        </w:tc>
        <w:tc>
          <w:p>
            <w:pPr>
              <w:pStyle w:val="Compact"/>
              <w:jc w:val="center"/>
            </w:pPr>
            <w:r>
              <w:t xml:space="preserve">Norway</w:t>
            </w:r>
          </w:p>
        </w:tc>
        <w:tc>
          <w:p>
            <w:pPr>
              <w:pStyle w:val="Compact"/>
              <w:jc w:val="center"/>
            </w:pPr>
            <w:r>
              <w:t xml:space="preserve">SAMEA5054092</w:t>
            </w:r>
          </w:p>
        </w:tc>
      </w:tr>
      <w:tr>
        <w:tc>
          <w:p>
            <w:pPr>
              <w:pStyle w:val="Compact"/>
              <w:jc w:val="center"/>
            </w:pPr>
            <w:r>
              <w:t xml:space="preserve">Ber45</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SAMEA5054090</w:t>
            </w:r>
          </w:p>
        </w:tc>
      </w:tr>
      <w:tr>
        <w:tc>
          <w:p>
            <w:pPr>
              <w:pStyle w:val="Compact"/>
              <w:jc w:val="center"/>
            </w:pPr>
            <w:r>
              <w:t xml:space="preserve">Ber37</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SAMEA5054089</w:t>
            </w:r>
          </w:p>
        </w:tc>
      </w:tr>
      <w:tr>
        <w:tc>
          <w:p>
            <w:pPr>
              <w:pStyle w:val="Compact"/>
              <w:jc w:val="center"/>
            </w:pPr>
            <w:r>
              <w:t xml:space="preserve">BolgarCity2370</w:t>
            </w:r>
          </w:p>
        </w:tc>
        <w:tc>
          <w:p>
            <w:pPr>
              <w:pStyle w:val="Compact"/>
              <w:jc w:val="center"/>
            </w:pPr>
            <w:r>
              <w:t xml:space="preserve">1362 - 1400</w:t>
            </w:r>
          </w:p>
        </w:tc>
        <w:tc>
          <w:p>
            <w:pPr>
              <w:pStyle w:val="Compact"/>
              <w:jc w:val="center"/>
            </w:pPr>
            <w:r>
              <w:t xml:space="preserve">1.PRE3</w:t>
            </w:r>
          </w:p>
        </w:tc>
        <w:tc>
          <w:p>
            <w:pPr>
              <w:pStyle w:val="Compact"/>
              <w:jc w:val="center"/>
            </w:pPr>
            <w:r>
              <w:t xml:space="preserve">Russia</w:t>
            </w:r>
          </w:p>
        </w:tc>
        <w:tc>
          <w:p>
            <w:pPr>
              <w:pStyle w:val="Compact"/>
              <w:jc w:val="center"/>
            </w:pPr>
            <w:r>
              <w:t xml:space="preserve">SAMEA3937654</w:t>
            </w:r>
          </w:p>
        </w:tc>
      </w:tr>
      <w:tr>
        <w:tc>
          <w:p>
            <w:pPr>
              <w:pStyle w:val="Compact"/>
              <w:jc w:val="center"/>
            </w:pPr>
            <w:r>
              <w:t xml:space="preserve">Barcelona3031</w:t>
            </w:r>
          </w:p>
        </w:tc>
        <w:tc>
          <w:p>
            <w:pPr>
              <w:pStyle w:val="Compact"/>
              <w:jc w:val="center"/>
            </w:pPr>
            <w:r>
              <w:t xml:space="preserve">1300 - 1420</w:t>
            </w:r>
          </w:p>
        </w:tc>
        <w:tc>
          <w:p>
            <w:pPr>
              <w:pStyle w:val="Compact"/>
              <w:jc w:val="center"/>
            </w:pPr>
            <w:r>
              <w:t xml:space="preserve">1.PRE1</w:t>
            </w:r>
          </w:p>
        </w:tc>
        <w:tc>
          <w:p>
            <w:pPr>
              <w:pStyle w:val="Compact"/>
              <w:jc w:val="center"/>
            </w:pPr>
            <w:r>
              <w:t xml:space="preserve">Spain</w:t>
            </w:r>
          </w:p>
        </w:tc>
        <w:tc>
          <w:p>
            <w:pPr>
              <w:pStyle w:val="Compact"/>
              <w:jc w:val="center"/>
            </w:pPr>
            <w:r>
              <w:t xml:space="preserve">SAMEA3937653</w:t>
            </w:r>
          </w:p>
        </w:tc>
      </w:tr>
      <w:tr>
        <w:tc>
          <w:p>
            <w:pPr>
              <w:pStyle w:val="Compact"/>
              <w:jc w:val="center"/>
            </w:pPr>
            <w:r>
              <w:t xml:space="preserve">OBS137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SAMEA3713715</w:t>
            </w:r>
          </w:p>
        </w:tc>
      </w:tr>
      <w:tr>
        <w:tc>
          <w:p>
            <w:pPr>
              <w:pStyle w:val="Compact"/>
              <w:jc w:val="center"/>
            </w:pPr>
            <w:r>
              <w:t xml:space="preserve">OBS124</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SAMEA3713714</w:t>
            </w:r>
          </w:p>
        </w:tc>
      </w:tr>
      <w:tr>
        <w:tc>
          <w:p>
            <w:pPr>
              <w:pStyle w:val="Compact"/>
              <w:jc w:val="center"/>
            </w:pPr>
            <w:r>
              <w:t xml:space="preserve">OBS116</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SAMEA3713713</w:t>
            </w:r>
          </w:p>
        </w:tc>
      </w:tr>
      <w:tr>
        <w:tc>
          <w:p>
            <w:pPr>
              <w:pStyle w:val="Compact"/>
              <w:jc w:val="center"/>
            </w:pPr>
            <w:r>
              <w:t xml:space="preserve">OBS110</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SAMEA3713712</w:t>
            </w:r>
          </w:p>
        </w:tc>
      </w:tr>
      <w:tr>
        <w:tc>
          <w:p>
            <w:pPr>
              <w:pStyle w:val="Compact"/>
              <w:jc w:val="center"/>
            </w:pPr>
            <w:r>
              <w:t xml:space="preserve">OBS107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SAMEA3713711</w:t>
            </w:r>
          </w:p>
        </w:tc>
      </w:tr>
      <w:tr>
        <w:tc>
          <w:p>
            <w:pPr>
              <w:pStyle w:val="Compact"/>
              <w:jc w:val="center"/>
            </w:pPr>
            <w:r>
              <w:t xml:space="preserve">8291</w:t>
            </w:r>
          </w:p>
        </w:tc>
        <w:tc>
          <w:p>
            <w:pPr>
              <w:pStyle w:val="Compact"/>
              <w:jc w:val="center"/>
            </w:pPr>
            <w:r>
              <w:t xml:space="preserve">1348-1350</w:t>
            </w:r>
          </w:p>
        </w:tc>
        <w:tc>
          <w:p>
            <w:pPr>
              <w:pStyle w:val="Compact"/>
              <w:jc w:val="center"/>
            </w:pPr>
            <w:r>
              <w:t xml:space="preserve">1.PRE1</w:t>
            </w:r>
          </w:p>
        </w:tc>
        <w:tc>
          <w:p>
            <w:pPr>
              <w:pStyle w:val="Compact"/>
              <w:jc w:val="center"/>
            </w:pPr>
            <w:r>
              <w:t xml:space="preserve">England</w:t>
            </w:r>
          </w:p>
        </w:tc>
        <w:tc>
          <w:p>
            <w:pPr>
              <w:pStyle w:val="Compact"/>
              <w:jc w:val="center"/>
            </w:pPr>
            <w:r>
              <w:t xml:space="preserve">SAMN00715800</w:t>
            </w:r>
          </w:p>
        </w:tc>
      </w:tr>
      <w:tr>
        <w:tc>
          <w:p>
            <w:pPr>
              <w:pStyle w:val="Compact"/>
              <w:jc w:val="center"/>
            </w:pPr>
            <w:r>
              <w:t xml:space="preserve">COL001</w:t>
            </w:r>
          </w:p>
        </w:tc>
        <w:tc>
          <w:p>
            <w:pPr>
              <w:pStyle w:val="Compact"/>
              <w:jc w:val="center"/>
            </w:pPr>
            <w:r>
              <w:t xml:space="preserve">1300 - 1400</w:t>
            </w:r>
          </w:p>
        </w:tc>
        <w:tc>
          <w:p>
            <w:pPr>
              <w:pStyle w:val="Compact"/>
              <w:jc w:val="center"/>
            </w:pPr>
            <w:r>
              <w:t xml:space="preserve">1.PRE1</w:t>
            </w:r>
          </w:p>
        </w:tc>
        <w:tc>
          <w:p>
            <w:pPr>
              <w:pStyle w:val="Compact"/>
              <w:jc w:val="center"/>
            </w:pPr>
            <w:r>
              <w:t xml:space="preserve">Italy</w:t>
            </w:r>
          </w:p>
        </w:tc>
        <w:tc>
          <w:p>
            <w:pPr>
              <w:pStyle w:val="Compact"/>
              <w:jc w:val="center"/>
            </w:pPr>
            <w:r>
              <w:t xml:space="preserve">SAMEA7293136</w:t>
            </w:r>
          </w:p>
        </w:tc>
      </w:tr>
      <w:tr>
        <w:tc>
          <w:p>
            <w:pPr>
              <w:pStyle w:val="Compact"/>
              <w:jc w:val="center"/>
            </w:pPr>
            <w:r>
              <w:t xml:space="preserve">CHE1</w:t>
            </w:r>
          </w:p>
        </w:tc>
        <w:tc>
          <w:p>
            <w:pPr>
              <w:pStyle w:val="Compact"/>
              <w:jc w:val="center"/>
            </w:pPr>
            <w:r>
              <w:t xml:space="preserve">1500 - 1800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SAMEA7293135</w:t>
            </w:r>
          </w:p>
        </w:tc>
      </w:tr>
      <w:tr>
        <w:tc>
          <w:p>
            <w:pPr>
              <w:pStyle w:val="Compact"/>
              <w:jc w:val="center"/>
            </w:pPr>
            <w:r>
              <w:t xml:space="preserve">Rostov2033</w:t>
            </w:r>
          </w:p>
        </w:tc>
        <w:tc>
          <w:p>
            <w:pPr>
              <w:pStyle w:val="Compact"/>
              <w:jc w:val="center"/>
            </w:pPr>
            <w:r>
              <w:t xml:space="preserve">1762 - 1773</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SAMEA7313236_38</w:t>
            </w:r>
          </w:p>
        </w:tc>
      </w:tr>
      <w:tr>
        <w:tc>
          <w:p>
            <w:pPr>
              <w:pStyle w:val="Compact"/>
              <w:jc w:val="center"/>
            </w:pPr>
            <w:r>
              <w:t xml:space="preserve">Azov38</w:t>
            </w:r>
          </w:p>
        </w:tc>
        <w:tc>
          <w:p>
            <w:pPr>
              <w:pStyle w:val="Compact"/>
              <w:jc w:val="center"/>
            </w:pPr>
            <w:r>
              <w:t xml:space="preserve">1400 - 1700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SAMEA7313243_45</w:t>
            </w:r>
          </w:p>
        </w:tc>
      </w:tr>
      <w:tr>
        <w:tc>
          <w:p>
            <w:pPr>
              <w:pStyle w:val="Compact"/>
              <w:jc w:val="center"/>
            </w:pPr>
            <w:r>
              <w:t xml:space="preserve">Gdansk8</w:t>
            </w:r>
          </w:p>
        </w:tc>
        <w:tc>
          <w:p>
            <w:pPr>
              <w:pStyle w:val="Compact"/>
              <w:jc w:val="center"/>
            </w:pPr>
            <w:r>
              <w:t xml:space="preserve">1400 - 1700</w:t>
            </w:r>
          </w:p>
        </w:tc>
        <w:tc>
          <w:p>
            <w:pPr>
              <w:pStyle w:val="Compact"/>
              <w:jc w:val="center"/>
            </w:pPr>
            <w:r>
              <w:t xml:space="preserve">1.PRE1</w:t>
            </w:r>
          </w:p>
        </w:tc>
        <w:tc>
          <w:p>
            <w:pPr>
              <w:pStyle w:val="Compact"/>
              <w:jc w:val="center"/>
            </w:pPr>
            <w:r>
              <w:t xml:space="preserve">Poland</w:t>
            </w:r>
          </w:p>
        </w:tc>
        <w:tc>
          <w:p>
            <w:pPr>
              <w:pStyle w:val="Compact"/>
              <w:jc w:val="center"/>
            </w:pPr>
            <w:r>
              <w:t xml:space="preserve">SAMEA7313246_49</w:t>
            </w:r>
          </w:p>
        </w:tc>
      </w:tr>
      <w:tr>
        <w:tc>
          <w:p>
            <w:pPr>
              <w:pStyle w:val="Compact"/>
              <w:jc w:val="center"/>
            </w:pPr>
            <w:r>
              <w:t xml:space="preserve">AGU010</w:t>
            </w:r>
          </w:p>
        </w:tc>
        <w:tc>
          <w:p>
            <w:pPr>
              <w:pStyle w:val="Compact"/>
              <w:jc w:val="center"/>
            </w:pPr>
            <w:r>
              <w:t xml:space="preserve">1435 - 1477</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SAMEA6651390</w:t>
            </w:r>
          </w:p>
        </w:tc>
      </w:tr>
      <w:tr>
        <w:tc>
          <w:p>
            <w:pPr>
              <w:pStyle w:val="Compact"/>
              <w:jc w:val="center"/>
            </w:pPr>
            <w:r>
              <w:t xml:space="preserve">AGU025</w:t>
            </w:r>
          </w:p>
        </w:tc>
        <w:tc>
          <w:p>
            <w:pPr>
              <w:pStyle w:val="Compact"/>
              <w:jc w:val="center"/>
            </w:pPr>
            <w:r>
              <w:t xml:space="preserve">1441 - 1612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SAMEA6637004</w:t>
            </w:r>
          </w:p>
        </w:tc>
      </w:tr>
      <w:tr>
        <w:tc>
          <w:p>
            <w:pPr>
              <w:pStyle w:val="Compact"/>
              <w:jc w:val="center"/>
            </w:pPr>
            <w:r>
              <w:t xml:space="preserve">AGU007B</w:t>
            </w:r>
          </w:p>
        </w:tc>
        <w:tc>
          <w:p>
            <w:pPr>
              <w:pStyle w:val="Compact"/>
              <w:jc w:val="center"/>
            </w:pPr>
            <w:r>
              <w:t xml:space="preserve">1463 - 1632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61" w:name="phylogeny-2"/>
      <w:r>
        <w:t xml:space="preserve">Phylogeny</w:t>
      </w:r>
      <w:bookmarkEnd w:id="161"/>
    </w:p>
    <w:bookmarkStart w:id="0" w:name="fig:1.PRE_divtree"/>
    <w:p>
      <w:pPr>
        <w:pStyle w:val="CaptionedFigure"/>
      </w:pPr>
      <w:bookmarkStart w:id="163" w:name="fig:1.PRE_divtree"/>
      <w:r>
        <w:drawing>
          <wp:inline>
            <wp:extent cx="5943600" cy="7300039"/>
            <wp:effectExtent b="0" l="0" r="0" t="0"/>
            <wp:docPr descr="Figure 11: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62"/>
                    <a:stretch>
                      <a:fillRect/>
                    </a:stretch>
                  </pic:blipFill>
                  <pic:spPr bwMode="auto">
                    <a:xfrm>
                      <a:off x="0" y="0"/>
                      <a:ext cx="5943600" cy="7300039"/>
                    </a:xfrm>
                    <a:prstGeom prst="rect">
                      <a:avLst/>
                    </a:prstGeom>
                    <a:noFill/>
                    <a:ln w="9525">
                      <a:noFill/>
                      <a:headEnd/>
                      <a:tailEnd/>
                    </a:ln>
                  </pic:spPr>
                </pic:pic>
              </a:graphicData>
            </a:graphic>
          </wp:inline>
        </w:drawing>
      </w:r>
      <w:bookmarkEnd w:id="163"/>
    </w:p>
    <w:p>
      <w:pPr>
        <w:pStyle w:val="ImageCaption"/>
      </w:pPr>
      <w:r>
        <w:t xml:space="preserve">Figure 11: A divergence-scaled phylogeny of the Second Plague Pandemic. Asterisks indicate branches with strong statistical support.</w:t>
      </w:r>
    </w:p>
    <w:bookmarkEnd w:id="0"/>
    <w:p>
      <w:pPr>
        <w:pStyle w:val="Heading3"/>
      </w:pPr>
      <w:bookmarkStart w:id="164" w:name="phylodynamics-1"/>
      <w:r>
        <w:t xml:space="preserve">Phylodynamics</w:t>
      </w:r>
      <w:bookmarkEnd w:id="164"/>
    </w:p>
    <w:bookmarkStart w:id="0" w:name="fig:SAMEA7313243_45_date"/>
    <w:p>
      <w:pPr>
        <w:pStyle w:val="CaptionedFigure"/>
      </w:pPr>
      <w:bookmarkStart w:id="166" w:name="fig:SAMEA7313243_45_date"/>
      <w:r>
        <w:drawing>
          <wp:inline>
            <wp:extent cx="5943600" cy="4413517"/>
            <wp:effectExtent b="0" l="0" r="0" t="0"/>
            <wp:docPr descr="Figure 12: Tip-dating uncertainty for strain Azov38." title="" id="1" name="Picture"/>
            <a:graphic>
              <a:graphicData uri="http://schemas.openxmlformats.org/drawingml/2006/picture">
                <pic:pic>
                  <pic:nvPicPr>
                    <pic:cNvPr descr="https://rawcdn.githack.com/ktmeaton/plague-phylogeography-projects/a08a83f/denmark/beast/all/chromosome/full/filter30/relaxed_clock/dates/run/SAMEA7313243_45_date_trace.png" id="0" name="Picture"/>
                    <pic:cNvPicPr>
                      <a:picLocks noChangeArrowheads="1" noChangeAspect="1"/>
                    </pic:cNvPicPr>
                  </pic:nvPicPr>
                  <pic:blipFill>
                    <a:blip r:embed="rId165"/>
                    <a:stretch>
                      <a:fillRect/>
                    </a:stretch>
                  </pic:blipFill>
                  <pic:spPr bwMode="auto">
                    <a:xfrm>
                      <a:off x="0" y="0"/>
                      <a:ext cx="5943600" cy="4413517"/>
                    </a:xfrm>
                    <a:prstGeom prst="rect">
                      <a:avLst/>
                    </a:prstGeom>
                    <a:noFill/>
                    <a:ln w="9525">
                      <a:noFill/>
                      <a:headEnd/>
                      <a:tailEnd/>
                    </a:ln>
                  </pic:spPr>
                </pic:pic>
              </a:graphicData>
            </a:graphic>
          </wp:inline>
        </w:drawing>
      </w:r>
      <w:bookmarkEnd w:id="166"/>
    </w:p>
    <w:p>
      <w:pPr>
        <w:pStyle w:val="ImageCaption"/>
      </w:pPr>
      <w:r>
        <w:t xml:space="preserve">Figure 12: Tip-dating uncertainty for strain Azov38.</w:t>
      </w:r>
    </w:p>
    <w:bookmarkEnd w:id="0"/>
    <w:bookmarkStart w:id="0" w:name="tbl:dates_black_death"/>
    <w:p>
      <w:pPr>
        <w:pStyle w:val="TableCaption"/>
      </w:pPr>
      <w:r>
        <w:t xml:space="preserve">Table 10: Estimated tip-dates for the Black Death clade. Strain 8291 was assumed to have a fixed date of 1349, given the archaeological dates of 1348-1350.</w:t>
      </w:r>
      <w:r>
        <w:t xml:space="preserve"> </w:t>
      </w:r>
    </w:p>
    <w:tbl>
      <w:tblPr>
        <w:tblStyle w:val="Table"/>
        <w:tblW w:type="pct" w:w="0.0"/>
        <w:tblLook w:firstRow="1"/>
        <w:tblCaption w:val="Table 10: Estimated tip-dates for the Black Death clade. Strain 8291 was assumed to have a fixed date of 1349, given the archaeological dates of 1348-1350.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G25A</w:t>
            </w:r>
          </w:p>
        </w:tc>
        <w:tc>
          <w:p>
            <w:pPr>
              <w:pStyle w:val="Compact"/>
              <w:jc w:val="center"/>
            </w:pPr>
            <w:r>
              <w:t xml:space="preserve">1295 - 1375</w:t>
            </w:r>
          </w:p>
        </w:tc>
      </w:tr>
      <w:tr>
        <w:tc>
          <w:p>
            <w:pPr>
              <w:pStyle w:val="Compact"/>
              <w:jc w:val="center"/>
            </w:pPr>
            <w:r>
              <w:t xml:space="preserve">Norway</w:t>
            </w:r>
          </w:p>
        </w:tc>
        <w:tc>
          <w:p>
            <w:pPr>
              <w:pStyle w:val="Compact"/>
              <w:jc w:val="center"/>
            </w:pPr>
            <w:r>
              <w:t xml:space="preserve">OSL1</w:t>
            </w:r>
          </w:p>
        </w:tc>
        <w:tc>
          <w:p>
            <w:pPr>
              <w:pStyle w:val="Compact"/>
              <w:jc w:val="center"/>
            </w:pPr>
            <w:r>
              <w:t xml:space="preserve">1300 - 1364</w:t>
            </w:r>
          </w:p>
        </w:tc>
      </w:tr>
      <w:tr>
        <w:tc>
          <w:p>
            <w:pPr>
              <w:pStyle w:val="Compact"/>
              <w:jc w:val="center"/>
            </w:pPr>
            <w:r>
              <w:t xml:space="preserve">Germany</w:t>
            </w:r>
          </w:p>
        </w:tc>
        <w:tc>
          <w:p>
            <w:pPr>
              <w:pStyle w:val="Compact"/>
              <w:jc w:val="center"/>
            </w:pPr>
            <w:r>
              <w:t xml:space="preserve">NAB003</w:t>
            </w:r>
          </w:p>
        </w:tc>
        <w:tc>
          <w:p>
            <w:pPr>
              <w:pStyle w:val="Compact"/>
              <w:jc w:val="center"/>
            </w:pPr>
            <w:r>
              <w:t xml:space="preserve">1304 - 1359</w:t>
            </w:r>
          </w:p>
        </w:tc>
      </w:tr>
      <w:tr>
        <w:tc>
          <w:p>
            <w:pPr>
              <w:pStyle w:val="Compact"/>
              <w:jc w:val="center"/>
            </w:pPr>
            <w:r>
              <w:t xml:space="preserve">Spain</w:t>
            </w:r>
          </w:p>
        </w:tc>
        <w:tc>
          <w:p>
            <w:pPr>
              <w:pStyle w:val="Compact"/>
              <w:jc w:val="center"/>
            </w:pPr>
            <w:r>
              <w:t xml:space="preserve">Barcelona3031</w:t>
            </w:r>
          </w:p>
        </w:tc>
        <w:tc>
          <w:p>
            <w:pPr>
              <w:pStyle w:val="Compact"/>
              <w:jc w:val="center"/>
            </w:pPr>
            <w:r>
              <w:t xml:space="preserve">1304 - 1364</w:t>
            </w:r>
          </w:p>
        </w:tc>
      </w:tr>
      <w:tr>
        <w:tc>
          <w:p>
            <w:pPr>
              <w:pStyle w:val="Compact"/>
              <w:jc w:val="center"/>
            </w:pPr>
            <w:r>
              <w:t xml:space="preserve">France</w:t>
            </w:r>
          </w:p>
        </w:tc>
        <w:tc>
          <w:p>
            <w:pPr>
              <w:pStyle w:val="Compact"/>
              <w:jc w:val="center"/>
            </w:pPr>
            <w:r>
              <w:t xml:space="preserve">SLC1006</w:t>
            </w:r>
          </w:p>
        </w:tc>
        <w:tc>
          <w:p>
            <w:pPr>
              <w:pStyle w:val="Compact"/>
              <w:jc w:val="center"/>
            </w:pPr>
            <w:r>
              <w:t xml:space="preserve">1308 - 1376</w:t>
            </w:r>
          </w:p>
        </w:tc>
      </w:tr>
      <w:tr>
        <w:tc>
          <w:p>
            <w:pPr>
              <w:pStyle w:val="Compact"/>
              <w:jc w:val="center"/>
            </w:pPr>
            <w:r>
              <w:t xml:space="preserve">Denmark</w:t>
            </w:r>
          </w:p>
        </w:tc>
        <w:tc>
          <w:p>
            <w:pPr>
              <w:pStyle w:val="Compact"/>
              <w:jc w:val="center"/>
            </w:pPr>
            <w:r>
              <w:t xml:space="preserve">G16</w:t>
            </w:r>
          </w:p>
        </w:tc>
        <w:tc>
          <w:p>
            <w:pPr>
              <w:pStyle w:val="Compact"/>
              <w:jc w:val="center"/>
            </w:pPr>
            <w:r>
              <w:t xml:space="preserve">1310 - 1388</w:t>
            </w:r>
          </w:p>
        </w:tc>
      </w:tr>
      <w:tr>
        <w:tc>
          <w:p>
            <w:pPr>
              <w:pStyle w:val="Compact"/>
              <w:jc w:val="center"/>
            </w:pPr>
            <w:r>
              <w:t xml:space="preserve">England</w:t>
            </w:r>
          </w:p>
        </w:tc>
        <w:tc>
          <w:p>
            <w:pPr>
              <w:pStyle w:val="Compact"/>
              <w:jc w:val="center"/>
            </w:pPr>
            <w:r>
              <w:t xml:space="preserve">8291</w:t>
            </w:r>
          </w:p>
        </w:tc>
        <w:tc>
          <w:p>
            <w:pPr>
              <w:pStyle w:val="Compact"/>
              <w:jc w:val="center"/>
            </w:pPr>
            <w:r>
              <w:t xml:space="preserve">–</w:t>
            </w:r>
          </w:p>
        </w:tc>
      </w:tr>
    </w:tbl>
    <w:bookmarkEnd w:id="0"/>
    <w:bookmarkStart w:id="0" w:name="tbl:dates_secunda"/>
    <w:p>
      <w:pPr>
        <w:pStyle w:val="TableCaption"/>
      </w:pPr>
      <w:r>
        <w:t xml:space="preserve">Table 11: Estimated tip-dates for the</w:t>
      </w:r>
      <w:r>
        <w:t xml:space="preserve"> </w:t>
      </w:r>
      <w:r>
        <w:rPr>
          <w:i/>
        </w:rPr>
        <w:t xml:space="preserve">pestis secunda</w:t>
      </w:r>
      <w:r>
        <w:t xml:space="preserve"> </w:t>
      </w:r>
      <w:r>
        <w:t xml:space="preserve">clade.</w:t>
      </w:r>
      <w:r>
        <w:t xml:space="preserve"> </w:t>
      </w:r>
    </w:p>
    <w:tbl>
      <w:tblPr>
        <w:tblStyle w:val="Table"/>
        <w:tblW w:type="pct" w:w="0.0"/>
        <w:tblLook w:firstRow="1"/>
        <w:tblCaption w:val="Table 11: Estimated tip-dates for the pestis secund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G25Bx98</w:t>
            </w:r>
          </w:p>
        </w:tc>
        <w:tc>
          <w:p>
            <w:pPr>
              <w:pStyle w:val="Compact"/>
              <w:jc w:val="center"/>
            </w:pPr>
            <w:r>
              <w:t xml:space="preserve">1327 - 1414</w:t>
            </w:r>
          </w:p>
        </w:tc>
      </w:tr>
      <w:tr>
        <w:tc>
          <w:p>
            <w:pPr>
              <w:pStyle w:val="Compact"/>
              <w:jc w:val="center"/>
            </w:pPr>
            <w:r>
              <w:t xml:space="preserve">The Netherlands</w:t>
            </w:r>
          </w:p>
        </w:tc>
        <w:tc>
          <w:p>
            <w:pPr>
              <w:pStyle w:val="Compact"/>
              <w:jc w:val="center"/>
            </w:pPr>
            <w:r>
              <w:t xml:space="preserve">Ber37</w:t>
            </w:r>
          </w:p>
        </w:tc>
        <w:tc>
          <w:p>
            <w:pPr>
              <w:pStyle w:val="Compact"/>
              <w:jc w:val="center"/>
            </w:pPr>
            <w:r>
              <w:t xml:space="preserve">1342 - 1398</w:t>
            </w:r>
          </w:p>
        </w:tc>
      </w:tr>
      <w:tr>
        <w:tc>
          <w:p>
            <w:pPr>
              <w:pStyle w:val="Compact"/>
              <w:jc w:val="center"/>
            </w:pPr>
            <w:r>
              <w:t xml:space="preserve">The Netherlands</w:t>
            </w:r>
          </w:p>
        </w:tc>
        <w:tc>
          <w:p>
            <w:pPr>
              <w:pStyle w:val="Compact"/>
              <w:jc w:val="center"/>
            </w:pPr>
            <w:r>
              <w:t xml:space="preserve">Ber45</w:t>
            </w:r>
          </w:p>
        </w:tc>
        <w:tc>
          <w:p>
            <w:pPr>
              <w:pStyle w:val="Compact"/>
              <w:jc w:val="center"/>
            </w:pPr>
            <w:r>
              <w:t xml:space="preserve">1354 - 1404</w:t>
            </w:r>
          </w:p>
        </w:tc>
      </w:tr>
      <w:tr>
        <w:tc>
          <w:p>
            <w:pPr>
              <w:pStyle w:val="Compact"/>
              <w:jc w:val="center"/>
            </w:pPr>
            <w:r>
              <w:t xml:space="preserve">Russia</w:t>
            </w:r>
          </w:p>
        </w:tc>
        <w:tc>
          <w:p>
            <w:pPr>
              <w:pStyle w:val="Compact"/>
              <w:jc w:val="center"/>
            </w:pPr>
            <w:r>
              <w:t xml:space="preserve">BolgarCity2370</w:t>
            </w:r>
          </w:p>
        </w:tc>
        <w:tc>
          <w:p>
            <w:pPr>
              <w:pStyle w:val="Compact"/>
              <w:jc w:val="center"/>
            </w:pPr>
            <w:r>
              <w:t xml:space="preserve">1363 - 1396</w:t>
            </w:r>
          </w:p>
        </w:tc>
      </w:tr>
    </w:tbl>
    <w:bookmarkEnd w:id="0"/>
    <w:bookmarkStart w:id="0" w:name="tbl:dates_tertia"/>
    <w:p>
      <w:pPr>
        <w:pStyle w:val="TableCaption"/>
      </w:pPr>
      <w:r>
        <w:t xml:space="preserve">Table 12: Estimated tip-dates for the</w:t>
      </w:r>
      <w:r>
        <w:t xml:space="preserve"> </w:t>
      </w:r>
      <w:r>
        <w:rPr>
          <w:i/>
        </w:rPr>
        <w:t xml:space="preserve">pestis tertia</w:t>
      </w:r>
      <w:r>
        <w:t xml:space="preserve"> </w:t>
      </w:r>
      <w:r>
        <w:t xml:space="preserve">clade.</w:t>
      </w:r>
      <w:r>
        <w:t xml:space="preserve"> </w:t>
      </w:r>
    </w:p>
    <w:tbl>
      <w:tblPr>
        <w:tblStyle w:val="Table"/>
        <w:tblW w:type="pct" w:w="0.0"/>
        <w:tblLook w:firstRow="1"/>
        <w:tblCaption w:val="Table 12: Estimated tip-dates for the pestis terti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Italy</w:t>
            </w:r>
          </w:p>
        </w:tc>
        <w:tc>
          <w:p>
            <w:pPr>
              <w:pStyle w:val="Compact"/>
              <w:jc w:val="center"/>
            </w:pPr>
            <w:r>
              <w:t xml:space="preserve">COL001</w:t>
            </w:r>
          </w:p>
        </w:tc>
        <w:tc>
          <w:p>
            <w:pPr>
              <w:pStyle w:val="Compact"/>
              <w:jc w:val="center"/>
            </w:pPr>
            <w:r>
              <w:t xml:space="preserve">1322 - 1386</w:t>
            </w:r>
          </w:p>
        </w:tc>
      </w:tr>
      <w:tr>
        <w:tc>
          <w:p>
            <w:pPr>
              <w:pStyle w:val="Compact"/>
              <w:jc w:val="center"/>
            </w:pPr>
            <w:r>
              <w:t xml:space="preserve">Germany</w:t>
            </w:r>
          </w:p>
        </w:tc>
        <w:tc>
          <w:p>
            <w:pPr>
              <w:pStyle w:val="Compact"/>
              <w:jc w:val="center"/>
            </w:pPr>
            <w:r>
              <w:t xml:space="preserve">MAN008</w:t>
            </w:r>
          </w:p>
        </w:tc>
        <w:tc>
          <w:p>
            <w:pPr>
              <w:pStyle w:val="Compact"/>
              <w:jc w:val="center"/>
            </w:pPr>
            <w:r>
              <w:t xml:space="preserve">1334 - 1401</w:t>
            </w:r>
          </w:p>
        </w:tc>
      </w:tr>
      <w:tr>
        <w:tc>
          <w:p>
            <w:pPr>
              <w:pStyle w:val="Compact"/>
              <w:jc w:val="center"/>
            </w:pPr>
            <w:r>
              <w:t xml:space="preserve">Denmark</w:t>
            </w:r>
          </w:p>
        </w:tc>
        <w:tc>
          <w:p>
            <w:pPr>
              <w:pStyle w:val="Compact"/>
              <w:jc w:val="center"/>
            </w:pPr>
            <w:r>
              <w:t xml:space="preserve">A1480x1480</w:t>
            </w:r>
          </w:p>
        </w:tc>
        <w:tc>
          <w:p>
            <w:pPr>
              <w:pStyle w:val="Compact"/>
              <w:jc w:val="center"/>
            </w:pPr>
            <w:r>
              <w:t xml:space="preserve">1384 - 1473</w:t>
            </w:r>
          </w:p>
        </w:tc>
      </w:tr>
      <w:tr>
        <w:tc>
          <w:p>
            <w:pPr>
              <w:pStyle w:val="Compact"/>
              <w:jc w:val="center"/>
            </w:pPr>
            <w:r>
              <w:t xml:space="preserve">Germany</w:t>
            </w:r>
          </w:p>
        </w:tc>
        <w:tc>
          <w:p>
            <w:pPr>
              <w:pStyle w:val="Compact"/>
              <w:jc w:val="center"/>
            </w:pPr>
            <w:r>
              <w:t xml:space="preserve">STA001</w:t>
            </w:r>
          </w:p>
        </w:tc>
        <w:tc>
          <w:p>
            <w:pPr>
              <w:pStyle w:val="Compact"/>
              <w:jc w:val="center"/>
            </w:pPr>
            <w:r>
              <w:t xml:space="preserve">1390 - 1476</w:t>
            </w:r>
          </w:p>
        </w:tc>
      </w:tr>
      <w:tr>
        <w:tc>
          <w:p>
            <w:pPr>
              <w:pStyle w:val="Compact"/>
              <w:jc w:val="center"/>
            </w:pPr>
            <w:r>
              <w:t xml:space="preserve">Denmark</w:t>
            </w:r>
          </w:p>
        </w:tc>
        <w:tc>
          <w:p>
            <w:pPr>
              <w:pStyle w:val="Compact"/>
              <w:jc w:val="center"/>
            </w:pPr>
            <w:r>
              <w:t xml:space="preserve">A146x3011</w:t>
            </w:r>
          </w:p>
        </w:tc>
        <w:tc>
          <w:p>
            <w:pPr>
              <w:pStyle w:val="Compact"/>
              <w:jc w:val="center"/>
            </w:pPr>
            <w:r>
              <w:t xml:space="preserve">1397 - 1470</w:t>
            </w:r>
          </w:p>
        </w:tc>
      </w:tr>
      <w:tr>
        <w:tc>
          <w:p>
            <w:pPr>
              <w:pStyle w:val="Compact"/>
              <w:jc w:val="center"/>
            </w:pPr>
            <w:r>
              <w:t xml:space="preserve">Denmark</w:t>
            </w:r>
          </w:p>
        </w:tc>
        <w:tc>
          <w:p>
            <w:pPr>
              <w:pStyle w:val="Compact"/>
              <w:jc w:val="center"/>
            </w:pPr>
            <w:r>
              <w:t xml:space="preserve">G371</w:t>
            </w:r>
          </w:p>
        </w:tc>
        <w:tc>
          <w:p>
            <w:pPr>
              <w:pStyle w:val="Compact"/>
              <w:jc w:val="center"/>
            </w:pPr>
            <w:r>
              <w:t xml:space="preserve">1419 - 1490</w:t>
            </w:r>
          </w:p>
        </w:tc>
      </w:tr>
      <w:tr>
        <w:tc>
          <w:p>
            <w:pPr>
              <w:pStyle w:val="Compact"/>
              <w:jc w:val="center"/>
            </w:pPr>
            <w:r>
              <w:t xml:space="preserve">England</w:t>
            </w:r>
          </w:p>
        </w:tc>
        <w:tc>
          <w:p>
            <w:pPr>
              <w:pStyle w:val="Compact"/>
              <w:jc w:val="center"/>
            </w:pPr>
            <w:r>
              <w:t xml:space="preserve">NMS002</w:t>
            </w:r>
          </w:p>
        </w:tc>
        <w:tc>
          <w:p>
            <w:pPr>
              <w:pStyle w:val="Compact"/>
              <w:jc w:val="center"/>
            </w:pPr>
            <w:r>
              <w:t xml:space="preserve">1464 - 1518</w:t>
            </w:r>
          </w:p>
        </w:tc>
      </w:tr>
    </w:tbl>
    <w:bookmarkEnd w:id="0"/>
    <w:bookmarkStart w:id="0" w:name="tbl:dates_baltic_alps"/>
    <w:p>
      <w:pPr>
        <w:pStyle w:val="TableCaption"/>
      </w:pPr>
      <w:r>
        <w:t xml:space="preserve">Table 13: Estimated tip-dates for the Baltic-Alps clade.</w:t>
      </w:r>
      <w:r>
        <w:t xml:space="preserve"> </w:t>
      </w:r>
    </w:p>
    <w:tbl>
      <w:tblPr>
        <w:tblStyle w:val="Table"/>
        <w:tblW w:type="pct" w:w="0.0"/>
        <w:tblLook w:firstRow="1"/>
        <w:tblCaption w:val="Table 13: Estimated tip-dates for the Baltic-Alps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Lithuania</w:t>
            </w:r>
          </w:p>
        </w:tc>
        <w:tc>
          <w:p>
            <w:pPr>
              <w:pStyle w:val="Compact"/>
              <w:jc w:val="center"/>
            </w:pPr>
            <w:r>
              <w:t xml:space="preserve">AGU010</w:t>
            </w:r>
          </w:p>
        </w:tc>
        <w:tc>
          <w:p>
            <w:pPr>
              <w:pStyle w:val="Compact"/>
              <w:jc w:val="center"/>
            </w:pPr>
            <w:r>
              <w:t xml:space="preserve">1458 - 1492</w:t>
            </w:r>
          </w:p>
        </w:tc>
      </w:tr>
      <w:tr>
        <w:tc>
          <w:p>
            <w:pPr>
              <w:pStyle w:val="Compact"/>
              <w:jc w:val="center"/>
            </w:pPr>
            <w:r>
              <w:t xml:space="preserve">Germany</w:t>
            </w:r>
          </w:p>
        </w:tc>
        <w:tc>
          <w:p>
            <w:pPr>
              <w:pStyle w:val="Compact"/>
              <w:jc w:val="center"/>
            </w:pPr>
            <w:r>
              <w:t xml:space="preserve">ELW098</w:t>
            </w:r>
          </w:p>
        </w:tc>
        <w:tc>
          <w:p>
            <w:pPr>
              <w:pStyle w:val="Compact"/>
              <w:jc w:val="center"/>
            </w:pPr>
            <w:r>
              <w:t xml:space="preserve">1455 - 1521</w:t>
            </w:r>
          </w:p>
        </w:tc>
      </w:tr>
      <w:tr>
        <w:tc>
          <w:p>
            <w:pPr>
              <w:pStyle w:val="Compact"/>
              <w:jc w:val="center"/>
            </w:pPr>
            <w:r>
              <w:t xml:space="preserve">Lithuania</w:t>
            </w:r>
          </w:p>
        </w:tc>
        <w:tc>
          <w:p>
            <w:pPr>
              <w:pStyle w:val="Compact"/>
              <w:jc w:val="center"/>
            </w:pPr>
            <w:r>
              <w:t xml:space="preserve">AGU007B</w:t>
            </w:r>
          </w:p>
        </w:tc>
        <w:tc>
          <w:p>
            <w:pPr>
              <w:pStyle w:val="Compact"/>
              <w:jc w:val="center"/>
            </w:pPr>
            <w:r>
              <w:t xml:space="preserve">1460 - 1522</w:t>
            </w:r>
          </w:p>
        </w:tc>
      </w:tr>
      <w:tr>
        <w:tc>
          <w:p>
            <w:pPr>
              <w:pStyle w:val="Compact"/>
              <w:jc w:val="center"/>
            </w:pPr>
            <w:r>
              <w:t xml:space="preserve">Poland</w:t>
            </w:r>
          </w:p>
        </w:tc>
        <w:tc>
          <w:p>
            <w:pPr>
              <w:pStyle w:val="Compact"/>
              <w:jc w:val="center"/>
            </w:pPr>
            <w:r>
              <w:t xml:space="preserve">Gdansk8</w:t>
            </w:r>
          </w:p>
        </w:tc>
        <w:tc>
          <w:p>
            <w:pPr>
              <w:pStyle w:val="Compact"/>
              <w:jc w:val="center"/>
            </w:pPr>
            <w:r>
              <w:t xml:space="preserve">1461 - 1523</w:t>
            </w:r>
          </w:p>
        </w:tc>
      </w:tr>
      <w:tr>
        <w:tc>
          <w:p>
            <w:pPr>
              <w:pStyle w:val="Compact"/>
              <w:jc w:val="center"/>
            </w:pPr>
            <w:r>
              <w:t xml:space="preserve">Lithuania</w:t>
            </w:r>
          </w:p>
        </w:tc>
        <w:tc>
          <w:p>
            <w:pPr>
              <w:pStyle w:val="Compact"/>
              <w:jc w:val="center"/>
            </w:pPr>
            <w:r>
              <w:t xml:space="preserve">AGU025</w:t>
            </w:r>
          </w:p>
        </w:tc>
        <w:tc>
          <w:p>
            <w:pPr>
              <w:pStyle w:val="Compact"/>
              <w:jc w:val="center"/>
            </w:pPr>
            <w:r>
              <w:t xml:space="preserve">1471 - 1536</w:t>
            </w:r>
          </w:p>
        </w:tc>
      </w:tr>
      <w:tr>
        <w:tc>
          <w:p>
            <w:pPr>
              <w:pStyle w:val="Compact"/>
              <w:jc w:val="center"/>
            </w:pPr>
            <w:r>
              <w:t xml:space="preserve">Denmark</w:t>
            </w:r>
          </w:p>
        </w:tc>
        <w:tc>
          <w:p>
            <w:pPr>
              <w:pStyle w:val="Compact"/>
              <w:jc w:val="center"/>
            </w:pPr>
            <w:r>
              <w:t xml:space="preserve">G207</w:t>
            </w:r>
          </w:p>
        </w:tc>
        <w:tc>
          <w:p>
            <w:pPr>
              <w:pStyle w:val="Compact"/>
              <w:jc w:val="center"/>
            </w:pPr>
            <w:r>
              <w:t xml:space="preserve">1477 - 1551</w:t>
            </w:r>
          </w:p>
        </w:tc>
      </w:tr>
      <w:tr>
        <w:tc>
          <w:p>
            <w:pPr>
              <w:pStyle w:val="Compact"/>
              <w:jc w:val="center"/>
            </w:pPr>
            <w:r>
              <w:t xml:space="preserve">Denmark</w:t>
            </w:r>
          </w:p>
        </w:tc>
        <w:tc>
          <w:p>
            <w:pPr>
              <w:pStyle w:val="Compact"/>
              <w:jc w:val="center"/>
            </w:pPr>
            <w:r>
              <w:t xml:space="preserve">G861x1035</w:t>
            </w:r>
          </w:p>
        </w:tc>
        <w:tc>
          <w:p>
            <w:pPr>
              <w:pStyle w:val="Compact"/>
              <w:jc w:val="center"/>
            </w:pPr>
            <w:r>
              <w:t xml:space="preserve">1489 - 1567</w:t>
            </w:r>
          </w:p>
        </w:tc>
      </w:tr>
      <w:tr>
        <w:tc>
          <w:p>
            <w:pPr>
              <w:pStyle w:val="Compact"/>
              <w:jc w:val="center"/>
            </w:pPr>
            <w:r>
              <w:t xml:space="preserve">Germany</w:t>
            </w:r>
          </w:p>
        </w:tc>
        <w:tc>
          <w:p>
            <w:pPr>
              <w:pStyle w:val="Compact"/>
              <w:jc w:val="center"/>
            </w:pPr>
            <w:r>
              <w:t xml:space="preserve">LBG002</w:t>
            </w:r>
          </w:p>
        </w:tc>
        <w:tc>
          <w:p>
            <w:pPr>
              <w:pStyle w:val="Compact"/>
              <w:jc w:val="center"/>
            </w:pPr>
            <w:r>
              <w:t xml:space="preserve">1493 - 1568</w:t>
            </w:r>
          </w:p>
        </w:tc>
      </w:tr>
      <w:tr>
        <w:tc>
          <w:p>
            <w:pPr>
              <w:pStyle w:val="Compact"/>
              <w:jc w:val="center"/>
            </w:pPr>
            <w:r>
              <w:t xml:space="preserve">Switzerland</w:t>
            </w:r>
          </w:p>
        </w:tc>
        <w:tc>
          <w:p>
            <w:pPr>
              <w:pStyle w:val="Compact"/>
              <w:jc w:val="center"/>
            </w:pPr>
            <w:r>
              <w:t xml:space="preserve">STN014</w:t>
            </w:r>
          </w:p>
        </w:tc>
        <w:tc>
          <w:p>
            <w:pPr>
              <w:pStyle w:val="Compact"/>
              <w:jc w:val="center"/>
            </w:pPr>
            <w:r>
              <w:t xml:space="preserve">1529 - 1585</w:t>
            </w:r>
          </w:p>
        </w:tc>
      </w:tr>
      <w:tr>
        <w:tc>
          <w:p>
            <w:pPr>
              <w:pStyle w:val="Compact"/>
              <w:jc w:val="center"/>
            </w:pPr>
            <w:r>
              <w:t xml:space="preserve">Switzerland</w:t>
            </w:r>
          </w:p>
        </w:tc>
        <w:tc>
          <w:p>
            <w:pPr>
              <w:pStyle w:val="Compact"/>
              <w:jc w:val="center"/>
            </w:pPr>
            <w:r>
              <w:t xml:space="preserve">STN007</w:t>
            </w:r>
          </w:p>
        </w:tc>
        <w:tc>
          <w:p>
            <w:pPr>
              <w:pStyle w:val="Compact"/>
              <w:jc w:val="center"/>
            </w:pPr>
            <w:r>
              <w:t xml:space="preserve">1532 - 1592</w:t>
            </w:r>
          </w:p>
        </w:tc>
      </w:tr>
      <w:tr>
        <w:tc>
          <w:p>
            <w:pPr>
              <w:pStyle w:val="Compact"/>
              <w:jc w:val="center"/>
            </w:pPr>
            <w:r>
              <w:t xml:space="preserve">Switzerland</w:t>
            </w:r>
          </w:p>
        </w:tc>
        <w:tc>
          <w:p>
            <w:pPr>
              <w:pStyle w:val="Compact"/>
              <w:jc w:val="center"/>
            </w:pPr>
            <w:r>
              <w:t xml:space="preserve">STN019</w:t>
            </w:r>
          </w:p>
        </w:tc>
        <w:tc>
          <w:p>
            <w:pPr>
              <w:pStyle w:val="Compact"/>
              <w:jc w:val="center"/>
            </w:pPr>
            <w:r>
              <w:t xml:space="preserve">1532 - 1588</w:t>
            </w:r>
          </w:p>
        </w:tc>
      </w:tr>
      <w:tr>
        <w:tc>
          <w:p>
            <w:pPr>
              <w:pStyle w:val="Compact"/>
              <w:jc w:val="center"/>
            </w:pPr>
            <w:r>
              <w:t xml:space="preserve">Switzerland</w:t>
            </w:r>
          </w:p>
        </w:tc>
        <w:tc>
          <w:p>
            <w:pPr>
              <w:pStyle w:val="Compact"/>
              <w:jc w:val="center"/>
            </w:pPr>
            <w:r>
              <w:t xml:space="preserve">STN020</w:t>
            </w:r>
          </w:p>
        </w:tc>
        <w:tc>
          <w:p>
            <w:pPr>
              <w:pStyle w:val="Compact"/>
              <w:jc w:val="center"/>
            </w:pPr>
            <w:r>
              <w:t xml:space="preserve">1532 - 1589</w:t>
            </w:r>
          </w:p>
        </w:tc>
      </w:tr>
      <w:tr>
        <w:tc>
          <w:p>
            <w:pPr>
              <w:pStyle w:val="Compact"/>
              <w:jc w:val="center"/>
            </w:pPr>
            <w:r>
              <w:t xml:space="preserve">Switzerland</w:t>
            </w:r>
          </w:p>
        </w:tc>
        <w:tc>
          <w:p>
            <w:pPr>
              <w:pStyle w:val="Compact"/>
              <w:jc w:val="center"/>
            </w:pPr>
            <w:r>
              <w:t xml:space="preserve">STN002</w:t>
            </w:r>
          </w:p>
        </w:tc>
        <w:tc>
          <w:p>
            <w:pPr>
              <w:pStyle w:val="Compact"/>
              <w:jc w:val="center"/>
            </w:pPr>
            <w:r>
              <w:t xml:space="preserve">1533 - 1591</w:t>
            </w:r>
          </w:p>
        </w:tc>
      </w:tr>
      <w:tr>
        <w:tc>
          <w:p>
            <w:pPr>
              <w:pStyle w:val="Compact"/>
              <w:jc w:val="center"/>
            </w:pPr>
            <w:r>
              <w:t xml:space="preserve">Switzerland</w:t>
            </w:r>
          </w:p>
        </w:tc>
        <w:tc>
          <w:p>
            <w:pPr>
              <w:pStyle w:val="Compact"/>
              <w:jc w:val="center"/>
            </w:pPr>
            <w:r>
              <w:t xml:space="preserve">STN021</w:t>
            </w:r>
          </w:p>
        </w:tc>
        <w:tc>
          <w:p>
            <w:pPr>
              <w:pStyle w:val="Compact"/>
              <w:jc w:val="center"/>
            </w:pPr>
            <w:r>
              <w:t xml:space="preserve">1538 - 1595</w:t>
            </w:r>
          </w:p>
        </w:tc>
      </w:tr>
      <w:tr>
        <w:tc>
          <w:p>
            <w:pPr>
              <w:pStyle w:val="Compact"/>
              <w:jc w:val="center"/>
            </w:pPr>
            <w:r>
              <w:t xml:space="preserve">Switzerland</w:t>
            </w:r>
          </w:p>
        </w:tc>
        <w:tc>
          <w:p>
            <w:pPr>
              <w:pStyle w:val="Compact"/>
              <w:jc w:val="center"/>
            </w:pPr>
            <w:r>
              <w:t xml:space="preserve">STN008</w:t>
            </w:r>
          </w:p>
        </w:tc>
        <w:tc>
          <w:p>
            <w:pPr>
              <w:pStyle w:val="Compact"/>
              <w:jc w:val="center"/>
            </w:pPr>
            <w:r>
              <w:t xml:space="preserve">1540 - 1605</w:t>
            </w:r>
          </w:p>
        </w:tc>
      </w:tr>
      <w:tr>
        <w:tc>
          <w:p>
            <w:pPr>
              <w:pStyle w:val="Compact"/>
              <w:jc w:val="center"/>
            </w:pPr>
            <w:r>
              <w:t xml:space="preserve">Switzerland</w:t>
            </w:r>
          </w:p>
        </w:tc>
        <w:tc>
          <w:p>
            <w:pPr>
              <w:pStyle w:val="Compact"/>
              <w:jc w:val="center"/>
            </w:pPr>
            <w:r>
              <w:t xml:space="preserve">STN013</w:t>
            </w:r>
          </w:p>
        </w:tc>
        <w:tc>
          <w:p>
            <w:pPr>
              <w:pStyle w:val="Compact"/>
              <w:jc w:val="center"/>
            </w:pPr>
            <w:r>
              <w:t xml:space="preserve">1541 - 1601</w:t>
            </w:r>
          </w:p>
        </w:tc>
      </w:tr>
      <w:tr>
        <w:tc>
          <w:p>
            <w:pPr>
              <w:pStyle w:val="Compact"/>
              <w:jc w:val="center"/>
            </w:pPr>
            <w:r>
              <w:t xml:space="preserve">Denmark</w:t>
            </w:r>
          </w:p>
        </w:tc>
        <w:tc>
          <w:p>
            <w:pPr>
              <w:pStyle w:val="Compact"/>
              <w:jc w:val="center"/>
            </w:pPr>
            <w:r>
              <w:t xml:space="preserve">Gr GC 15</w:t>
            </w:r>
          </w:p>
        </w:tc>
        <w:tc>
          <w:p>
            <w:pPr>
              <w:pStyle w:val="Compact"/>
              <w:jc w:val="center"/>
            </w:pPr>
            <w:r>
              <w:t xml:space="preserve">1539 - 1655</w:t>
            </w:r>
          </w:p>
        </w:tc>
      </w:tr>
      <w:tr>
        <w:tc>
          <w:p>
            <w:pPr>
              <w:pStyle w:val="Compact"/>
              <w:jc w:val="center"/>
            </w:pPr>
            <w:r>
              <w:t xml:space="preserve">Germany</w:t>
            </w:r>
          </w:p>
        </w:tc>
        <w:tc>
          <w:p>
            <w:pPr>
              <w:pStyle w:val="Compact"/>
              <w:jc w:val="center"/>
            </w:pPr>
            <w:r>
              <w:t xml:space="preserve">BRA001</w:t>
            </w:r>
          </w:p>
        </w:tc>
        <w:tc>
          <w:p>
            <w:pPr>
              <w:pStyle w:val="Compact"/>
              <w:jc w:val="center"/>
            </w:pPr>
            <w:r>
              <w:t xml:space="preserve">1617 - 1646</w:t>
            </w:r>
          </w:p>
        </w:tc>
      </w:tr>
    </w:tbl>
    <w:bookmarkEnd w:id="0"/>
    <w:bookmarkStart w:id="0" w:name="tbl:dates_england_france_russia"/>
    <w:p>
      <w:pPr>
        <w:pStyle w:val="TableCaption"/>
      </w:pPr>
      <w:r>
        <w:t xml:space="preserve">Table 14: Estimated tip-dates for the England-France-Russia clade. OBS strains were assumed to have a fixed date of 1721, given the archaeological dates of 1720-1722.</w:t>
      </w:r>
      <w:r>
        <w:t xml:space="preserve"> </w:t>
      </w:r>
    </w:p>
    <w:tbl>
      <w:tblPr>
        <w:tblStyle w:val="Table"/>
        <w:tblW w:type="pct" w:w="0.0"/>
        <w:tblLook w:firstRow="1"/>
        <w:tblCaption w:val="Table 14: Estimated tip-dates for the England-France-Russia clade. OBS strains were assumed to have a fixed date of 1721, given the archaeological dates of 1720-1722.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England</w:t>
            </w:r>
          </w:p>
        </w:tc>
        <w:tc>
          <w:p>
            <w:pPr>
              <w:pStyle w:val="Compact"/>
              <w:jc w:val="center"/>
            </w:pPr>
            <w:r>
              <w:t xml:space="preserve">BED030</w:t>
            </w:r>
          </w:p>
        </w:tc>
        <w:tc>
          <w:p>
            <w:pPr>
              <w:pStyle w:val="Compact"/>
              <w:jc w:val="center"/>
            </w:pPr>
            <w:r>
              <w:t xml:space="preserve">1562 - 1610</w:t>
            </w:r>
          </w:p>
        </w:tc>
      </w:tr>
      <w:tr>
        <w:tc>
          <w:p>
            <w:pPr>
              <w:pStyle w:val="Compact"/>
              <w:jc w:val="center"/>
            </w:pPr>
            <w:r>
              <w:t xml:space="preserve">England</w:t>
            </w:r>
          </w:p>
        </w:tc>
        <w:tc>
          <w:p>
            <w:pPr>
              <w:pStyle w:val="Compact"/>
              <w:jc w:val="center"/>
            </w:pPr>
            <w:r>
              <w:t xml:space="preserve">BED034</w:t>
            </w:r>
          </w:p>
        </w:tc>
        <w:tc>
          <w:p>
            <w:pPr>
              <w:pStyle w:val="Compact"/>
              <w:jc w:val="center"/>
            </w:pPr>
            <w:r>
              <w:t xml:space="preserve">1581 - 1625</w:t>
            </w:r>
          </w:p>
        </w:tc>
      </w:tr>
      <w:tr>
        <w:tc>
          <w:p>
            <w:pPr>
              <w:pStyle w:val="Compact"/>
              <w:jc w:val="center"/>
            </w:pPr>
            <w:r>
              <w:t xml:space="preserve">England</w:t>
            </w:r>
          </w:p>
        </w:tc>
        <w:tc>
          <w:p>
            <w:pPr>
              <w:pStyle w:val="Compact"/>
              <w:jc w:val="center"/>
            </w:pPr>
            <w:r>
              <w:t xml:space="preserve">BED024</w:t>
            </w:r>
          </w:p>
        </w:tc>
        <w:tc>
          <w:p>
            <w:pPr>
              <w:pStyle w:val="Compact"/>
              <w:jc w:val="center"/>
            </w:pPr>
            <w:r>
              <w:t xml:space="preserve">1585 - 1633</w:t>
            </w:r>
          </w:p>
        </w:tc>
      </w:tr>
      <w:tr>
        <w:tc>
          <w:p>
            <w:pPr>
              <w:pStyle w:val="Compact"/>
              <w:jc w:val="center"/>
            </w:pPr>
            <w:r>
              <w:t xml:space="preserve">England</w:t>
            </w:r>
          </w:p>
        </w:tc>
        <w:tc>
          <w:p>
            <w:pPr>
              <w:pStyle w:val="Compact"/>
              <w:jc w:val="center"/>
            </w:pPr>
            <w:r>
              <w:t xml:space="preserve">BED028</w:t>
            </w:r>
          </w:p>
        </w:tc>
        <w:tc>
          <w:p>
            <w:pPr>
              <w:pStyle w:val="Compact"/>
              <w:jc w:val="center"/>
            </w:pPr>
            <w:r>
              <w:t xml:space="preserve">1585 - 1631</w:t>
            </w:r>
          </w:p>
        </w:tc>
      </w:tr>
      <w:tr>
        <w:tc>
          <w:p>
            <w:pPr>
              <w:pStyle w:val="Compact"/>
              <w:jc w:val="center"/>
            </w:pPr>
            <w:r>
              <w:t xml:space="preserve">France</w:t>
            </w:r>
          </w:p>
        </w:tc>
        <w:tc>
          <w:p>
            <w:pPr>
              <w:pStyle w:val="Compact"/>
              <w:jc w:val="center"/>
            </w:pPr>
            <w:r>
              <w:t xml:space="preserve">OBS124</w:t>
            </w:r>
          </w:p>
        </w:tc>
        <w:tc>
          <w:p>
            <w:pPr>
              <w:pStyle w:val="Compact"/>
              <w:jc w:val="center"/>
            </w:pPr>
            <w:r>
              <w:t xml:space="preserve">–</w:t>
            </w:r>
          </w:p>
        </w:tc>
      </w:tr>
      <w:tr>
        <w:tc>
          <w:p>
            <w:pPr>
              <w:pStyle w:val="Compact"/>
              <w:jc w:val="center"/>
            </w:pPr>
            <w:r>
              <w:t xml:space="preserve">France</w:t>
            </w:r>
          </w:p>
        </w:tc>
        <w:tc>
          <w:p>
            <w:pPr>
              <w:pStyle w:val="Compact"/>
              <w:jc w:val="center"/>
            </w:pPr>
            <w:r>
              <w:t xml:space="preserve">OBS107</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OBS110</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OBS116</w:t>
            </w:r>
          </w:p>
        </w:tc>
        <w:tc>
          <w:p>
            <w:pPr>
              <w:pStyle w:val="Compact"/>
              <w:jc w:val="center"/>
            </w:pPr>
            <w:r>
              <w:t xml:space="preserve">–</w:t>
            </w:r>
          </w:p>
        </w:tc>
      </w:tr>
      <w:tr>
        <w:tc>
          <w:p>
            <w:pPr>
              <w:pStyle w:val="Compact"/>
              <w:jc w:val="center"/>
            </w:pPr>
            <w:r>
              <w:t xml:space="preserve">France</w:t>
            </w:r>
          </w:p>
        </w:tc>
        <w:tc>
          <w:p>
            <w:pPr>
              <w:pStyle w:val="Compact"/>
              <w:jc w:val="center"/>
            </w:pPr>
            <w:r>
              <w:t xml:space="preserve">OBS137</w:t>
            </w:r>
          </w:p>
        </w:tc>
        <w:tc>
          <w:p>
            <w:pPr>
              <w:pStyle w:val="Compact"/>
              <w:jc w:val="center"/>
            </w:pPr>
            <w:r>
              <w:t xml:space="preserve">–</w:t>
            </w:r>
          </w:p>
        </w:tc>
      </w:tr>
      <w:tr>
        <w:tc>
          <w:p>
            <w:pPr>
              <w:pStyle w:val="Compact"/>
              <w:jc w:val="center"/>
            </w:pPr>
            <w:r>
              <w:t xml:space="preserve">Russia</w:t>
            </w:r>
          </w:p>
        </w:tc>
        <w:tc>
          <w:p>
            <w:pPr>
              <w:pStyle w:val="Compact"/>
              <w:jc w:val="center"/>
            </w:pPr>
            <w:r>
              <w:t xml:space="preserve">Azov38</w:t>
            </w:r>
          </w:p>
        </w:tc>
        <w:tc>
          <w:p>
            <w:pPr>
              <w:pStyle w:val="Compact"/>
              <w:jc w:val="center"/>
            </w:pPr>
            <w:r>
              <w:t xml:space="preserve">1553 - 1686</w:t>
            </w:r>
          </w:p>
        </w:tc>
      </w:tr>
      <w:tr>
        <w:tc>
          <w:p>
            <w:pPr>
              <w:pStyle w:val="Compact"/>
              <w:jc w:val="center"/>
            </w:pPr>
            <w:r>
              <w:t xml:space="preserve">Russia</w:t>
            </w:r>
          </w:p>
        </w:tc>
        <w:tc>
          <w:p>
            <w:pPr>
              <w:pStyle w:val="Compact"/>
              <w:jc w:val="center"/>
            </w:pPr>
            <w:r>
              <w:t xml:space="preserve">Rostov2033</w:t>
            </w:r>
          </w:p>
        </w:tc>
        <w:tc>
          <w:p>
            <w:pPr>
              <w:pStyle w:val="Compact"/>
              <w:jc w:val="center"/>
            </w:pPr>
            <w:r>
              <w:t xml:space="preserve">1762 - 1773</w:t>
            </w:r>
          </w:p>
        </w:tc>
      </w:tr>
      <w:tr>
        <w:tc>
          <w:p>
            <w:pPr>
              <w:pStyle w:val="Compact"/>
              <w:jc w:val="center"/>
            </w:pPr>
            <w:r>
              <w:t xml:space="preserve">Russia</w:t>
            </w:r>
          </w:p>
        </w:tc>
        <w:tc>
          <w:p>
            <w:pPr>
              <w:pStyle w:val="Compact"/>
              <w:jc w:val="center"/>
            </w:pPr>
            <w:r>
              <w:t xml:space="preserve">CHE1</w:t>
            </w:r>
          </w:p>
        </w:tc>
        <w:tc>
          <w:p>
            <w:pPr>
              <w:pStyle w:val="Compact"/>
              <w:jc w:val="center"/>
            </w:pPr>
            <w:r>
              <w:t xml:space="preserve">1702 - 1889</w:t>
            </w:r>
          </w:p>
        </w:tc>
      </w:tr>
    </w:tbl>
    <w:bookmarkEnd w:id="0"/>
    <w:p>
      <w:pPr>
        <w:pStyle w:val="Heading3"/>
      </w:pPr>
      <w:bookmarkStart w:id="167" w:name="pla-depletion"/>
      <w:r>
        <w:rPr>
          <w:i/>
        </w:rPr>
        <w:t xml:space="preserve">pla</w:t>
      </w:r>
      <w:r>
        <w:t xml:space="preserve"> </w:t>
      </w:r>
      <w:r>
        <w:t xml:space="preserve">Depletion</w:t>
      </w:r>
      <w:bookmarkEnd w:id="167"/>
    </w:p>
    <w:bookmarkStart w:id="0" w:name="fig:pla_ratio"/>
    <w:p>
      <w:pPr>
        <w:pStyle w:val="CaptionedFigure"/>
      </w:pPr>
      <w:bookmarkStart w:id="169" w:name="fig:pla_ratio"/>
      <w:r>
        <w:drawing>
          <wp:inline>
            <wp:extent cx="4140072" cy="3510560"/>
            <wp:effectExtent b="0" l="0" r="0" t="0"/>
            <wp:docPr descr="Figure 13: Relative Depletion of the plasminogen activator (pla) virulence factor on the Second Pandemic phylogeny." title="" id="1" name="Picture"/>
            <a:graphic>
              <a:graphicData uri="http://schemas.openxmlformats.org/drawingml/2006/picture">
                <pic:pic>
                  <pic:nvPicPr>
                    <pic:cNvPr descr="https://rawcdn.githack.com/ktmeaton/plague-phylogeography-projects/5b069f4/denmark/locus_coverage_collect/all/depletion_tree_pla.png" id="0" name="Picture"/>
                    <pic:cNvPicPr>
                      <a:picLocks noChangeArrowheads="1" noChangeAspect="1"/>
                    </pic:cNvPicPr>
                  </pic:nvPicPr>
                  <pic:blipFill>
                    <a:blip r:embed="rId168"/>
                    <a:stretch>
                      <a:fillRect/>
                    </a:stretch>
                  </pic:blipFill>
                  <pic:spPr bwMode="auto">
                    <a:xfrm>
                      <a:off x="0" y="0"/>
                      <a:ext cx="4140072" cy="3510560"/>
                    </a:xfrm>
                    <a:prstGeom prst="rect">
                      <a:avLst/>
                    </a:prstGeom>
                    <a:noFill/>
                    <a:ln w="9525">
                      <a:noFill/>
                      <a:headEnd/>
                      <a:tailEnd/>
                    </a:ln>
                  </pic:spPr>
                </pic:pic>
              </a:graphicData>
            </a:graphic>
          </wp:inline>
        </w:drawing>
      </w:r>
      <w:bookmarkEnd w:id="169"/>
    </w:p>
    <w:p>
      <w:pPr>
        <w:pStyle w:val="ImageCaption"/>
      </w:pPr>
      <w:r>
        <w:t xml:space="preserve">Figure 13: Relative Depletion of the plasminogen activator (</w:t>
      </w:r>
      <w:r>
        <w:rPr>
          <w:i/>
        </w:rPr>
        <w:t xml:space="preserve">pla</w:t>
      </w:r>
      <w:r>
        <w:t xml:space="preserve">) virulence factor on the Second Pandemic phylogeny.</w:t>
      </w:r>
    </w:p>
    <w:bookmarkEnd w:id="0"/>
    <w:p>
      <w:pPr>
        <w:pStyle w:val="Heading4"/>
      </w:pPr>
      <w:bookmarkStart w:id="170" w:name="notes"/>
      <w:r>
        <w:t xml:space="preserve">Notes</w:t>
      </w:r>
      <w:bookmarkEnd w:id="170"/>
    </w:p>
    <w:p>
      <w:pPr>
        <w:numPr>
          <w:ilvl w:val="0"/>
          <w:numId w:val="1004"/>
        </w:numPr>
        <w:pStyle w:val="Compact"/>
      </w:pPr>
      <w:r>
        <w:rPr>
          <w:i/>
        </w:rPr>
        <w:t xml:space="preserve">pestis segunda</w:t>
      </w:r>
      <w:r>
        <w:t xml:space="preserve"> </w:t>
      </w:r>
      <w:r>
        <w:t xml:space="preserve">mortality at 20%</w:t>
      </w:r>
      <w:r>
        <w:t xml:space="preserve"> </w:t>
      </w:r>
      <w:r>
        <w:t xml:space="preserve">[</w:t>
      </w:r>
      <w:hyperlink w:anchor="ref-13NOJLbvF">
        <w:r>
          <w:rPr>
            <w:rStyle w:val="Hyperlink"/>
          </w:rPr>
          <w:t xml:space="preserve">4</w:t>
        </w:r>
      </w:hyperlink>
      <w:r>
        <w:t xml:space="preserve">]</w:t>
      </w:r>
      <w:r>
        <w:t xml:space="preserve">.</w:t>
      </w:r>
    </w:p>
    <w:p>
      <w:pPr>
        <w:numPr>
          <w:ilvl w:val="0"/>
          <w:numId w:val="1004"/>
        </w:numPr>
        <w:pStyle w:val="Compact"/>
      </w:pPr>
      <w:r>
        <w:rPr>
          <w:i/>
        </w:rPr>
        <w:t xml:space="preserve">pestis segunda</w:t>
      </w:r>
      <w:r>
        <w:t xml:space="preserve"> </w:t>
      </w:r>
      <w:r>
        <w:t xml:space="preserve">was more deadly to children than the Black Death</w:t>
      </w:r>
      <w:r>
        <w:t xml:space="preserve"> </w:t>
      </w:r>
      <w:r>
        <w:t xml:space="preserve">[</w:t>
      </w:r>
      <w:hyperlink w:anchor="ref-13NOJLbvF">
        <w:r>
          <w:rPr>
            <w:rStyle w:val="Hyperlink"/>
          </w:rPr>
          <w:t xml:space="preserve">4</w:t>
        </w:r>
      </w:hyperlink>
      <w:r>
        <w:t xml:space="preserve">]</w:t>
      </w:r>
      <w:r>
        <w:t xml:space="preserve">.</w:t>
      </w:r>
    </w:p>
    <w:p>
      <w:pPr>
        <w:numPr>
          <w:ilvl w:val="0"/>
          <w:numId w:val="1004"/>
        </w:numPr>
        <w:pStyle w:val="Compact"/>
      </w:pPr>
      <w:r>
        <w:t xml:space="preserve">Hotspot in Central Germany (Hesse), outbreak in 1356 not preceded by anything</w:t>
      </w:r>
      <w:r>
        <w:t xml:space="preserve"> </w:t>
      </w:r>
      <w:r>
        <w:t xml:space="preserve">[</w:t>
      </w:r>
      <w:hyperlink w:anchor="ref-13NOJLbvF">
        <w:r>
          <w:rPr>
            <w:rStyle w:val="Hyperlink"/>
          </w:rPr>
          <w:t xml:space="preserve">4</w:t>
        </w:r>
      </w:hyperlink>
      <w:r>
        <w:t xml:space="preserve">]</w:t>
      </w:r>
      <w:r>
        <w:t xml:space="preserve">.</w:t>
      </w:r>
    </w:p>
    <w:p>
      <w:pPr>
        <w:numPr>
          <w:ilvl w:val="0"/>
          <w:numId w:val="1004"/>
        </w:numPr>
        <w:pStyle w:val="Compact"/>
      </w:pPr>
      <w:r>
        <w:rPr>
          <w:i/>
        </w:rPr>
        <w:t xml:space="preserve">pestis tertia</w:t>
      </w:r>
      <w:r>
        <w:t xml:space="preserve"> </w:t>
      </w:r>
      <w:r>
        <w:t xml:space="preserve">(1364-1376) was followed by at least eight subsequent quasi-global plague waves , in the course of the late fourteenth and the fifteenth centuries. Again points back to Central germany as an origin point.</w:t>
      </w:r>
    </w:p>
    <w:p>
      <w:pPr>
        <w:numPr>
          <w:ilvl w:val="0"/>
          <w:numId w:val="1004"/>
        </w:numPr>
        <w:pStyle w:val="Compact"/>
      </w:pPr>
      <w:r>
        <w:t xml:space="preserve">Timeline, spend a year or two confined in Germany, spread to the north and south Germany territories, then spread in all four directions.</w:t>
      </w:r>
    </w:p>
    <w:p>
      <w:pPr>
        <w:numPr>
          <w:ilvl w:val="0"/>
          <w:numId w:val="1004"/>
        </w:numPr>
        <w:pStyle w:val="Compact"/>
      </w:pPr>
      <w:r>
        <w:t xml:space="preserve">Diminishing mortality rates: 50-60% Black Death</w:t>
      </w:r>
      <w:r>
        <w:t xml:space="preserve"> </w:t>
      </w:r>
      <w:r>
        <w:t xml:space="preserve">[</w:t>
      </w:r>
      <w:hyperlink w:anchor="ref-MZ9hlNya">
        <w:r>
          <w:rPr>
            <w:rStyle w:val="Hyperlink"/>
          </w:rPr>
          <w:t xml:space="preserve">5</w:t>
        </w:r>
      </w:hyperlink>
      <w:r>
        <w:t xml:space="preserve">]</w:t>
      </w:r>
      <w:r>
        <w:t xml:space="preserve">.</w:t>
      </w:r>
    </w:p>
    <w:p>
      <w:pPr>
        <w:numPr>
          <w:ilvl w:val="0"/>
          <w:numId w:val="1004"/>
        </w:numPr>
        <w:pStyle w:val="Compact"/>
      </w:pPr>
      <w:r>
        <w:rPr>
          <w:i/>
        </w:rPr>
        <w:t xml:space="preserve">“</w:t>
      </w:r>
      <w:r>
        <w:rPr>
          <w:i/>
        </w:rPr>
        <w:t xml:space="preserve">After 1369, the most important feature to the second plague pandemic was not the death rate in any given epidemic, but rather, the frequency with which those epidemics occurred.</w:t>
      </w:r>
      <w:r>
        <w:rPr>
          <w:i/>
        </w:rPr>
        <w:t xml:space="preserve">”</w:t>
      </w:r>
      <w:r>
        <w:t xml:space="preserve"> </w:t>
      </w:r>
      <w:hyperlink w:anchor="ref-MZ9hlNya">
        <w:r>
          <w:rPr>
            <w:rStyle w:val="Hyperlink"/>
          </w:rPr>
          <w:t xml:space="preserve">5</w:t>
        </w:r>
      </w:hyperlink>
      <w:r>
        <w:t xml:space="preserve"> </w:t>
      </w:r>
      <w:r>
        <w:t xml:space="preserve">p.131], plague entered a cycle in which it recurred every 5-12 years.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162" Target="media/rId162.png" /><Relationship Type="http://schemas.openxmlformats.org/officeDocument/2006/relationships/image" Id="rId54" Target="media/rId54.png" /><Relationship Type="http://schemas.openxmlformats.org/officeDocument/2006/relationships/image" Id="rId168" Target="media/rId168.png" /><Relationship Type="http://schemas.openxmlformats.org/officeDocument/2006/relationships/image" Id="rId165" Target="media/rId165.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44" Target="media/rId44.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27" Target="http://www.cshprotocols.org/cgi/doi/10.1101/pdb.prot5448" TargetMode="External" /><Relationship Type="http://schemas.openxmlformats.org/officeDocument/2006/relationships/hyperlink" Id="rId87" Target="http://www.jstor.org/stable/29543069" TargetMode="External" /><Relationship Type="http://schemas.openxmlformats.org/officeDocument/2006/relationships/hyperlink" Id="rId142" Target="http://www.nature.com/articles/nmeth.4285" TargetMode="External" /><Relationship Type="http://schemas.openxmlformats.org/officeDocument/2006/relationships/hyperlink" Id="rId151" Target="http://www.pnas.org/cgi/doi/10.1073/pnas.1205750110" TargetMode="External" /><Relationship Type="http://schemas.openxmlformats.org/officeDocument/2006/relationships/hyperlink" Id="rId121" Target="http://www.pnas.org/cgi/doi/10.1073/pnas.1314445110" TargetMode="External" /><Relationship Type="http://schemas.openxmlformats.org/officeDocument/2006/relationships/hyperlink" Id="rId101" Target="http://www.pnas.org/lookup/doi/10.1073/pnas.1812865115" TargetMode="External" /><Relationship Type="http://schemas.openxmlformats.org/officeDocument/2006/relationships/hyperlink" Id="rId148" Target="https://academic.oup.com/mbe/article/35/2/518/4565479" TargetMode="External" /><Relationship Type="http://schemas.openxmlformats.org/officeDocument/2006/relationships/hyperlink" Id="rId145" Target="https://academic.oup.com/mbe/article/37/5/1530/5721363" TargetMode="External" /><Relationship Type="http://schemas.openxmlformats.org/officeDocument/2006/relationships/hyperlink" Id="rId130" Target="https://academic.oup.com/nar/article/40/1/e3/1287690" TargetMode="External" /><Relationship Type="http://schemas.openxmlformats.org/officeDocument/2006/relationships/hyperlink" Id="rId107" Target="https://dialnet.unirioja.es/servlet/tesis?codigo=230751" TargetMode="External" /><Relationship Type="http://schemas.openxmlformats.org/officeDocument/2006/relationships/hyperlink" Id="rId125" Target="https://doi.org/10.1016/S1473-3099(13)70323-2" TargetMode="External" /><Relationship Type="http://schemas.openxmlformats.org/officeDocument/2006/relationships/hyperlink" Id="rId81" Target="https://doi.org/10.1016/j.cell.2018.11.005" TargetMode="External" /><Relationship Type="http://schemas.openxmlformats.org/officeDocument/2006/relationships/hyperlink" Id="rId85" Target="https://doi.org/10.1017/S0025727300057331" TargetMode="External" /><Relationship Type="http://schemas.openxmlformats.org/officeDocument/2006/relationships/hyperlink" Id="rId143" Target="https://doi.org/10.1038/nmeth.4285" TargetMode="External" /><Relationship Type="http://schemas.openxmlformats.org/officeDocument/2006/relationships/hyperlink" Id="rId155" Target="https://doi.org/10.1038/s41467-019-12154-0" TargetMode="External" /><Relationship Type="http://schemas.openxmlformats.org/officeDocument/2006/relationships/hyperlink" Id="rId110" Target="https://doi.org/10.1038/s41598-020-71530-9" TargetMode="External" /><Relationship Type="http://schemas.openxmlformats.org/officeDocument/2006/relationships/hyperlink" Id="rId113" Target="https://doi.org/10.1073/pnas.0509544103" TargetMode="External" /><Relationship Type="http://schemas.openxmlformats.org/officeDocument/2006/relationships/hyperlink" Id="rId152" Target="https://doi.org/10.1073/pnas.1205750110" TargetMode="External" /><Relationship Type="http://schemas.openxmlformats.org/officeDocument/2006/relationships/hyperlink" Id="rId122" Target="https://doi.org/10.1073/pnas.1314445110" TargetMode="External" /><Relationship Type="http://schemas.openxmlformats.org/officeDocument/2006/relationships/hyperlink" Id="rId102" Target="https://doi.org/10.1073/pnas.1812865115" TargetMode="External" /><Relationship Type="http://schemas.openxmlformats.org/officeDocument/2006/relationships/hyperlink" Id="rId98" Target="https://doi.org/10.1073/pnas.2009677117" TargetMode="External" /><Relationship Type="http://schemas.openxmlformats.org/officeDocument/2006/relationships/hyperlink" Id="rId95" Target="https://doi.org/10.1080/03468755.2015.1110533" TargetMode="External" /><Relationship Type="http://schemas.openxmlformats.org/officeDocument/2006/relationships/hyperlink" Id="rId146" Target="https://doi.org/10.1093/molbev/msaa015" TargetMode="External" /><Relationship Type="http://schemas.openxmlformats.org/officeDocument/2006/relationships/hyperlink" Id="rId149" Target="https://doi.org/10.1093/molbev/msx281" TargetMode="External" /><Relationship Type="http://schemas.openxmlformats.org/officeDocument/2006/relationships/hyperlink" Id="rId119" Target="https://doi.org/10.1093/nar/gkp159" TargetMode="External" /><Relationship Type="http://schemas.openxmlformats.org/officeDocument/2006/relationships/hyperlink" Id="rId131" Target="https://doi.org/10.1093/nar/gkr771" TargetMode="External" /><Relationship Type="http://schemas.openxmlformats.org/officeDocument/2006/relationships/hyperlink" Id="rId89" Target="https://doi.org/10.1093/pastj/gtaa028" TargetMode="External" /><Relationship Type="http://schemas.openxmlformats.org/officeDocument/2006/relationships/hyperlink" Id="rId128" Target="https://doi.org/10.1101/pdb.prot5448" TargetMode="External" /><Relationship Type="http://schemas.openxmlformats.org/officeDocument/2006/relationships/hyperlink" Id="rId104" Target="https://doi.org/10.1111/ele.12822" TargetMode="External" /><Relationship Type="http://schemas.openxmlformats.org/officeDocument/2006/relationships/hyperlink" Id="rId133" Target="https://doi.org/10.21105/joss.01990" TargetMode="External" /><Relationship Type="http://schemas.openxmlformats.org/officeDocument/2006/relationships/hyperlink" Id="rId138"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0d1bcd4" TargetMode="External" /><Relationship Type="http://schemas.openxmlformats.org/officeDocument/2006/relationships/hyperlink" Id="rId135"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0" Target="https://github.com/tseemann/snippy" TargetMode="External" /><Relationship Type="http://schemas.openxmlformats.org/officeDocument/2006/relationships/hyperlink" Id="rId94" Target="https://journals.scholarsportal.info/details/03468755/v41i0001/54_tbd.xml" TargetMode="External" /><Relationship Type="http://schemas.openxmlformats.org/officeDocument/2006/relationships/hyperlink" Id="rId12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70d1bcd4/academic/Plague%20Denmark%20Paper.html" TargetMode="External" /><Relationship Type="http://schemas.openxmlformats.org/officeDocument/2006/relationships/hyperlink" Id="rId92" Target="https://worldcat.org/isbn/978-0-02-912370-6" TargetMode="External" /><Relationship Type="http://schemas.openxmlformats.org/officeDocument/2006/relationships/hyperlink" Id="rId117" Target="https://worldcat.org/isbn/978-87-635-0770-7" TargetMode="External" /><Relationship Type="http://schemas.openxmlformats.org/officeDocument/2006/relationships/hyperlink" Id="rId84" Target="https://www.cambridge.org/core/journals/medical-history/article/in-these-perilous-times-plague-and-plague-policies-in-early-modern-denmark/EFF71835DE9EBFB610E35451FD7A0A86" TargetMode="External" /><Relationship Type="http://schemas.openxmlformats.org/officeDocument/2006/relationships/hyperlink" Id="rId80" Target="https://www.cell.com/cell/abstract/S0092-8674(18)31464-8" TargetMode="External" /><Relationship Type="http://schemas.openxmlformats.org/officeDocument/2006/relationships/hyperlink" Id="rId154" Target="https://www.nature.com/articles/s41467-019-12154-0" TargetMode="External" /><Relationship Type="http://schemas.openxmlformats.org/officeDocument/2006/relationships/hyperlink" Id="rId109" Target="https://www.nature.com/articles/s41598-020-71530-9" TargetMode="External" /><Relationship Type="http://schemas.openxmlformats.org/officeDocument/2006/relationships/hyperlink" Id="rId115" Target="https://www.ncbi.nlm.nih.gov/pmc/articles/PMC1414629" TargetMode="External" /><Relationship Type="http://schemas.openxmlformats.org/officeDocument/2006/relationships/hyperlink" Id="rId112" Target="https://www.ncbi.nlm.nih.gov/pmc/articles/PMC1414629/" TargetMode="External" /><Relationship Type="http://schemas.openxmlformats.org/officeDocument/2006/relationships/hyperlink" Id="rId114" Target="https://www.ncbi.nlm.nih.gov/pubmed/16567636" TargetMode="External" /><Relationship Type="http://schemas.openxmlformats.org/officeDocument/2006/relationships/hyperlink" Id="rId105" Target="https://www.ncbi.nlm.nih.gov/pubmed/28834087" TargetMode="External" /><Relationship Type="http://schemas.openxmlformats.org/officeDocument/2006/relationships/hyperlink" Id="rId82" Target="https://www.ncbi.nlm.nih.gov/pubmed/30528431" TargetMode="External" /><Relationship Type="http://schemas.openxmlformats.org/officeDocument/2006/relationships/hyperlink" Id="rId99" Target="https://www.ncbi.nlm.nih.gov/pubmed/33106412" TargetMode="External" /><Relationship Type="http://schemas.openxmlformats.org/officeDocument/2006/relationships/hyperlink" Id="rId97" Target="https://www.pnas.org/content/117/45/28328" TargetMode="External" /><Relationship Type="http://schemas.openxmlformats.org/officeDocument/2006/relationships/hyperlink" Id="rId91" Target="https://www.simonandschuster.com/books/Black-Death/Robert-S-Gottfried/9780029123706" TargetMode="External" /></Relationships>
</file>

<file path=word/_rels/footnotes.xml.rels><?xml version="1.0" encoding="UTF-8"?>
<Relationships xmlns="http://schemas.openxmlformats.org/package/2006/relationships"><Relationship Type="http://schemas.openxmlformats.org/officeDocument/2006/relationships/hyperlink" Id="rId127" Target="http://www.cshprotocols.org/cgi/doi/10.1101/pdb.prot5448" TargetMode="External" /><Relationship Type="http://schemas.openxmlformats.org/officeDocument/2006/relationships/hyperlink" Id="rId87" Target="http://www.jstor.org/stable/29543069" TargetMode="External" /><Relationship Type="http://schemas.openxmlformats.org/officeDocument/2006/relationships/hyperlink" Id="rId142" Target="http://www.nature.com/articles/nmeth.4285" TargetMode="External" /><Relationship Type="http://schemas.openxmlformats.org/officeDocument/2006/relationships/hyperlink" Id="rId151" Target="http://www.pnas.org/cgi/doi/10.1073/pnas.1205750110" TargetMode="External" /><Relationship Type="http://schemas.openxmlformats.org/officeDocument/2006/relationships/hyperlink" Id="rId121" Target="http://www.pnas.org/cgi/doi/10.1073/pnas.1314445110" TargetMode="External" /><Relationship Type="http://schemas.openxmlformats.org/officeDocument/2006/relationships/hyperlink" Id="rId101" Target="http://www.pnas.org/lookup/doi/10.1073/pnas.1812865115" TargetMode="External" /><Relationship Type="http://schemas.openxmlformats.org/officeDocument/2006/relationships/hyperlink" Id="rId148" Target="https://academic.oup.com/mbe/article/35/2/518/4565479" TargetMode="External" /><Relationship Type="http://schemas.openxmlformats.org/officeDocument/2006/relationships/hyperlink" Id="rId145" Target="https://academic.oup.com/mbe/article/37/5/1530/5721363" TargetMode="External" /><Relationship Type="http://schemas.openxmlformats.org/officeDocument/2006/relationships/hyperlink" Id="rId130" Target="https://academic.oup.com/nar/article/40/1/e3/1287690" TargetMode="External" /><Relationship Type="http://schemas.openxmlformats.org/officeDocument/2006/relationships/hyperlink" Id="rId107" Target="https://dialnet.unirioja.es/servlet/tesis?codigo=230751" TargetMode="External" /><Relationship Type="http://schemas.openxmlformats.org/officeDocument/2006/relationships/hyperlink" Id="rId125" Target="https://doi.org/10.1016/S1473-3099(13)70323-2" TargetMode="External" /><Relationship Type="http://schemas.openxmlformats.org/officeDocument/2006/relationships/hyperlink" Id="rId81" Target="https://doi.org/10.1016/j.cell.2018.11.005" TargetMode="External" /><Relationship Type="http://schemas.openxmlformats.org/officeDocument/2006/relationships/hyperlink" Id="rId85" Target="https://doi.org/10.1017/S0025727300057331" TargetMode="External" /><Relationship Type="http://schemas.openxmlformats.org/officeDocument/2006/relationships/hyperlink" Id="rId143" Target="https://doi.org/10.1038/nmeth.4285" TargetMode="External" /><Relationship Type="http://schemas.openxmlformats.org/officeDocument/2006/relationships/hyperlink" Id="rId155" Target="https://doi.org/10.1038/s41467-019-12154-0" TargetMode="External" /><Relationship Type="http://schemas.openxmlformats.org/officeDocument/2006/relationships/hyperlink" Id="rId110" Target="https://doi.org/10.1038/s41598-020-71530-9" TargetMode="External" /><Relationship Type="http://schemas.openxmlformats.org/officeDocument/2006/relationships/hyperlink" Id="rId113" Target="https://doi.org/10.1073/pnas.0509544103" TargetMode="External" /><Relationship Type="http://schemas.openxmlformats.org/officeDocument/2006/relationships/hyperlink" Id="rId152" Target="https://doi.org/10.1073/pnas.1205750110" TargetMode="External" /><Relationship Type="http://schemas.openxmlformats.org/officeDocument/2006/relationships/hyperlink" Id="rId122" Target="https://doi.org/10.1073/pnas.1314445110" TargetMode="External" /><Relationship Type="http://schemas.openxmlformats.org/officeDocument/2006/relationships/hyperlink" Id="rId102" Target="https://doi.org/10.1073/pnas.1812865115" TargetMode="External" /><Relationship Type="http://schemas.openxmlformats.org/officeDocument/2006/relationships/hyperlink" Id="rId98" Target="https://doi.org/10.1073/pnas.2009677117" TargetMode="External" /><Relationship Type="http://schemas.openxmlformats.org/officeDocument/2006/relationships/hyperlink" Id="rId95" Target="https://doi.org/10.1080/03468755.2015.1110533" TargetMode="External" /><Relationship Type="http://schemas.openxmlformats.org/officeDocument/2006/relationships/hyperlink" Id="rId146" Target="https://doi.org/10.1093/molbev/msaa015" TargetMode="External" /><Relationship Type="http://schemas.openxmlformats.org/officeDocument/2006/relationships/hyperlink" Id="rId149" Target="https://doi.org/10.1093/molbev/msx281" TargetMode="External" /><Relationship Type="http://schemas.openxmlformats.org/officeDocument/2006/relationships/hyperlink" Id="rId119" Target="https://doi.org/10.1093/nar/gkp159" TargetMode="External" /><Relationship Type="http://schemas.openxmlformats.org/officeDocument/2006/relationships/hyperlink" Id="rId131" Target="https://doi.org/10.1093/nar/gkr771" TargetMode="External" /><Relationship Type="http://schemas.openxmlformats.org/officeDocument/2006/relationships/hyperlink" Id="rId89" Target="https://doi.org/10.1093/pastj/gtaa028" TargetMode="External" /><Relationship Type="http://schemas.openxmlformats.org/officeDocument/2006/relationships/hyperlink" Id="rId128" Target="https://doi.org/10.1101/pdb.prot5448" TargetMode="External" /><Relationship Type="http://schemas.openxmlformats.org/officeDocument/2006/relationships/hyperlink" Id="rId104" Target="https://doi.org/10.1111/ele.12822" TargetMode="External" /><Relationship Type="http://schemas.openxmlformats.org/officeDocument/2006/relationships/hyperlink" Id="rId133" Target="https://doi.org/10.21105/joss.01990" TargetMode="External" /><Relationship Type="http://schemas.openxmlformats.org/officeDocument/2006/relationships/hyperlink" Id="rId138"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0d1bcd4" TargetMode="External" /><Relationship Type="http://schemas.openxmlformats.org/officeDocument/2006/relationships/hyperlink" Id="rId135"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0" Target="https://github.com/tseemann/snippy" TargetMode="External" /><Relationship Type="http://schemas.openxmlformats.org/officeDocument/2006/relationships/hyperlink" Id="rId94" Target="https://journals.scholarsportal.info/details/03468755/v41i0001/54_tbd.xml" TargetMode="External" /><Relationship Type="http://schemas.openxmlformats.org/officeDocument/2006/relationships/hyperlink" Id="rId12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70d1bcd4/academic/Plague%20Denmark%20Paper.html" TargetMode="External" /><Relationship Type="http://schemas.openxmlformats.org/officeDocument/2006/relationships/hyperlink" Id="rId92" Target="https://worldcat.org/isbn/978-0-02-912370-6" TargetMode="External" /><Relationship Type="http://schemas.openxmlformats.org/officeDocument/2006/relationships/hyperlink" Id="rId117" Target="https://worldcat.org/isbn/978-87-635-0770-7" TargetMode="External" /><Relationship Type="http://schemas.openxmlformats.org/officeDocument/2006/relationships/hyperlink" Id="rId84" Target="https://www.cambridge.org/core/journals/medical-history/article/in-these-perilous-times-plague-and-plague-policies-in-early-modern-denmark/EFF71835DE9EBFB610E35451FD7A0A86" TargetMode="External" /><Relationship Type="http://schemas.openxmlformats.org/officeDocument/2006/relationships/hyperlink" Id="rId80" Target="https://www.cell.com/cell/abstract/S0092-8674(18)31464-8" TargetMode="External" /><Relationship Type="http://schemas.openxmlformats.org/officeDocument/2006/relationships/hyperlink" Id="rId154" Target="https://www.nature.com/articles/s41467-019-12154-0" TargetMode="External" /><Relationship Type="http://schemas.openxmlformats.org/officeDocument/2006/relationships/hyperlink" Id="rId109" Target="https://www.nature.com/articles/s41598-020-71530-9" TargetMode="External" /><Relationship Type="http://schemas.openxmlformats.org/officeDocument/2006/relationships/hyperlink" Id="rId115" Target="https://www.ncbi.nlm.nih.gov/pmc/articles/PMC1414629" TargetMode="External" /><Relationship Type="http://schemas.openxmlformats.org/officeDocument/2006/relationships/hyperlink" Id="rId112" Target="https://www.ncbi.nlm.nih.gov/pmc/articles/PMC1414629/" TargetMode="External" /><Relationship Type="http://schemas.openxmlformats.org/officeDocument/2006/relationships/hyperlink" Id="rId114" Target="https://www.ncbi.nlm.nih.gov/pubmed/16567636" TargetMode="External" /><Relationship Type="http://schemas.openxmlformats.org/officeDocument/2006/relationships/hyperlink" Id="rId105" Target="https://www.ncbi.nlm.nih.gov/pubmed/28834087" TargetMode="External" /><Relationship Type="http://schemas.openxmlformats.org/officeDocument/2006/relationships/hyperlink" Id="rId82" Target="https://www.ncbi.nlm.nih.gov/pubmed/30528431" TargetMode="External" /><Relationship Type="http://schemas.openxmlformats.org/officeDocument/2006/relationships/hyperlink" Id="rId99" Target="https://www.ncbi.nlm.nih.gov/pubmed/33106412" TargetMode="External" /><Relationship Type="http://schemas.openxmlformats.org/officeDocument/2006/relationships/hyperlink" Id="rId97" Target="https://www.pnas.org/content/117/45/28328" TargetMode="External" /><Relationship Type="http://schemas.openxmlformats.org/officeDocument/2006/relationships/hyperlink" Id="rId91" Target="https://www.simonandschuster.com/books/Black-Death/Robert-S-Gottfried/97800291237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creator/>
  <dc:language>en-US</dc:language>
  <cp:keywords/>
  <dcterms:created xsi:type="dcterms:W3CDTF">2021-07-16T21:22:28Z</dcterms:created>
  <dcterms:modified xsi:type="dcterms:W3CDTF">2021-07-16T21:22:28Z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