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5.png" ContentType="image/png"/>
  <Override PartName="/word/media/rId48.png" ContentType="image/png"/>
  <Override PartName="/word/media/rId43.png" ContentType="image/png"/>
  <Override PartName="/word/media/rId41.png" ContentType="image/png"/>
  <Override PartName="/word/media/rId37.png" ContentType="image/png"/>
  <Override PartName="/word/media/rId45.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ktmeaton/obsidian-public@aa28b602</w:t>
        </w:r>
      </w:hyperlink>
      <w:r>
        <w:t xml:space="preserve"> </w:t>
      </w:r>
      <w:r>
        <w:t xml:space="preserve">on July 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dating"/>
      <w:r>
        <w:t xml:space="preserve">Dating</w:t>
      </w:r>
      <w:bookmarkEnd w:id="40"/>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2"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1"/>
                    <a:stretch>
                      <a:fillRect/>
                    </a:stretch>
                  </pic:blipFill>
                  <pic:spPr bwMode="auto">
                    <a:xfrm>
                      <a:off x="0" y="0"/>
                      <a:ext cx="5943600" cy="4531777"/>
                    </a:xfrm>
                    <a:prstGeom prst="rect">
                      <a:avLst/>
                    </a:prstGeom>
                    <a:noFill/>
                    <a:ln w="9525">
                      <a:noFill/>
                      <a:headEnd/>
                      <a:tailEnd/>
                    </a:ln>
                  </pic:spPr>
                </pic:pic>
              </a:graphicData>
            </a:graphic>
          </wp:inline>
        </w:drawing>
      </w:r>
      <w:bookmarkEnd w:id="42"/>
    </w:p>
    <w:p>
      <w:pPr>
        <w:pStyle w:val="ImageCaption"/>
      </w:pPr>
      <w:r>
        <w:t xml:space="preserve">Figure 2: Arm position dating.</w:t>
      </w:r>
    </w:p>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the site occupation period and burial patterns. The exception to this pattern was individual G371 from the site of Tirup.</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odyText"/>
      </w:pPr>
      <w:r>
        <w:t xml:space="preserve">To investigate the dating disparity for G371, we performed 14C radiocarbon dating (Figure</w:t>
      </w:r>
      <w:r>
        <w:t xml:space="preserve"> </w:t>
      </w:r>
      <w:hyperlink w:anchor="fig:radiocarbon_g371">
        <w:r>
          <w:rPr>
            <w:rStyle w:val="Hyperlink"/>
          </w:rPr>
          <w:t xml:space="preserve">3</w:t>
        </w:r>
      </w:hyperlink>
      <w:r>
        <w:t xml:space="preserve">). The radiocarbon estimate largely agrees with the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fig:radiocarbon_g371"/>
    <w:p>
      <w:pPr>
        <w:pStyle w:val="CaptionedFigure"/>
      </w:pPr>
      <w:bookmarkStart w:id="44"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3"/>
                    <a:stretch>
                      <a:fillRect/>
                    </a:stretch>
                  </pic:blipFill>
                  <pic:spPr bwMode="auto">
                    <a:xfrm>
                      <a:off x="0" y="0"/>
                      <a:ext cx="2376216" cy="2067339"/>
                    </a:xfrm>
                    <a:prstGeom prst="rect">
                      <a:avLst/>
                    </a:prstGeom>
                    <a:noFill/>
                    <a:ln w="9525">
                      <a:noFill/>
                      <a:headEnd/>
                      <a:tailEnd/>
                    </a:ln>
                  </pic:spPr>
                </pic:pic>
              </a:graphicData>
            </a:graphic>
          </wp:inline>
        </w:drawing>
      </w:r>
      <w:bookmarkEnd w:id="44"/>
    </w:p>
    <w:p>
      <w:pPr>
        <w:pStyle w:val="ImageCaption"/>
      </w:pPr>
      <w:r>
        <w:t xml:space="preserve">Figure 3: Radiocarbon dating of G371.</w:t>
      </w:r>
    </w:p>
    <w:bookmarkEnd w:id="0"/>
    <w:bookmarkStart w:id="0" w:name="fig:timeline_sites"/>
    <w:p>
      <w:pPr>
        <w:pStyle w:val="CaptionedFigure"/>
      </w:pPr>
      <w:bookmarkStart w:id="46"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5"/>
                    <a:stretch>
                      <a:fillRect/>
                    </a:stretch>
                  </pic:blipFill>
                  <pic:spPr bwMode="auto">
                    <a:xfrm>
                      <a:off x="0" y="0"/>
                      <a:ext cx="4907433" cy="5913732"/>
                    </a:xfrm>
                    <a:prstGeom prst="rect">
                      <a:avLst/>
                    </a:prstGeom>
                    <a:noFill/>
                    <a:ln w="9525">
                      <a:noFill/>
                      <a:headEnd/>
                      <a:tailEnd/>
                    </a:ln>
                  </pic:spPr>
                </pic:pic>
              </a:graphicData>
            </a:graphic>
          </wp:inline>
        </w:drawing>
      </w:r>
      <w:bookmarkEnd w:id="46"/>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47" w:name="phylogeny"/>
      <w:r>
        <w:t xml:space="preserve">Phylogeny</w:t>
      </w:r>
      <w:bookmarkEnd w:id="47"/>
    </w:p>
    <w:bookmarkStart w:id="0" w:name="fig:1.PRE_timeline"/>
    <w:p>
      <w:pPr>
        <w:pStyle w:val="CaptionedFigure"/>
      </w:pPr>
      <w:bookmarkStart w:id="49" w:name="fig:1.PRE_timeline"/>
      <w:r>
        <w:drawing>
          <wp:inline>
            <wp:extent cx="5943600" cy="2339762"/>
            <wp:effectExtent b="0" l="0" r="0" t="0"/>
            <wp:docPr descr="Figure 5: A timeline phylogeny of the Second Plague Pandemic. Asterisks indicate branches with strong statistical support along the main branch." title="" id="1" name="Picture"/>
            <a:graphic>
              <a:graphicData uri="http://schemas.openxmlformats.org/drawingml/2006/picture">
                <pic:pic>
                  <pic:nvPicPr>
                    <pic:cNvPr descr="https://rawcdn.githack.com/ktmeaton/plague-phylogeography-projects/4550173/denmark/beast/all/chromosome/full/filter30/relaxed_clock/dates/run/1.PRE_timeline.png" id="0" name="Picture"/>
                    <pic:cNvPicPr>
                      <a:picLocks noChangeArrowheads="1" noChangeAspect="1"/>
                    </pic:cNvPicPr>
                  </pic:nvPicPr>
                  <pic:blipFill>
                    <a:blip r:embed="rId48"/>
                    <a:stretch>
                      <a:fillRect/>
                    </a:stretch>
                  </pic:blipFill>
                  <pic:spPr bwMode="auto">
                    <a:xfrm>
                      <a:off x="0" y="0"/>
                      <a:ext cx="5943600" cy="2339762"/>
                    </a:xfrm>
                    <a:prstGeom prst="rect">
                      <a:avLst/>
                    </a:prstGeom>
                    <a:noFill/>
                    <a:ln w="9525">
                      <a:noFill/>
                      <a:headEnd/>
                      <a:tailEnd/>
                    </a:ln>
                  </pic:spPr>
                </pic:pic>
              </a:graphicData>
            </a:graphic>
          </wp:inline>
        </w:drawing>
      </w:r>
      <w:bookmarkEnd w:id="49"/>
    </w:p>
    <w:p>
      <w:pPr>
        <w:pStyle w:val="ImageCaption"/>
      </w:pPr>
      <w:r>
        <w:t xml:space="preserve">Figure 5: A timeline phylogeny of the Second Plague Pandemic. Asterisks indicate branches with strong statistical support along the main branch.</w:t>
      </w:r>
    </w:p>
    <w:bookmarkEnd w:id="0"/>
    <w:p>
      <w:pPr>
        <w:numPr>
          <w:ilvl w:val="0"/>
          <w:numId w:val="1003"/>
        </w:numPr>
        <w:pStyle w:val="Compact"/>
      </w:pPr>
      <w:r>
        <w:t xml:space="preserve">The traditional phylogeny layout can be found in the Appendix in Figures</w:t>
      </w:r>
      <w:r>
        <w:t xml:space="preserve"> </w:t>
      </w:r>
      <w:hyperlink w:anchor="fig:1.PRE_timetree">
        <w:r>
          <w:rPr>
            <w:rStyle w:val="Hyperlink"/>
          </w:rPr>
          <w:t xml:space="preserve">6</w:t>
        </w:r>
      </w:hyperlink>
      <w:r>
        <w:t xml:space="preserve"> </w:t>
      </w:r>
      <w:r>
        <w:t xml:space="preserve">and</w:t>
      </w:r>
      <w:r>
        <w:t xml:space="preserve"> </w:t>
      </w:r>
      <w:hyperlink w:anchor="fig:1.PRE_divtree">
        <w:r>
          <w:rPr>
            <w:rStyle w:val="Hyperlink"/>
          </w:rPr>
          <w:t xml:space="preserve">7</w:t>
        </w:r>
      </w:hyperlink>
      <w:r>
        <w:t xml:space="preserve">.</w:t>
      </w:r>
    </w:p>
    <w:p>
      <w:pPr>
        <w:pStyle w:val="Heading3"/>
      </w:pPr>
      <w:bookmarkStart w:id="50" w:name="the-black-death-burst"/>
      <w:r>
        <w:t xml:space="preserve">The Black Death</w:t>
      </w:r>
      <w:r>
        <w:t xml:space="preserve"> </w:t>
      </w:r>
      <w:r>
        <w:t xml:space="preserve">“</w:t>
      </w:r>
      <w:r>
        <w:t xml:space="preserve">Burst</w:t>
      </w:r>
      <w:r>
        <w:t xml:space="preserve">”</w:t>
      </w:r>
      <w:bookmarkEnd w:id="50"/>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3"/>
      </w:pPr>
      <w:bookmarkStart w:id="51" w:name="ancestors-of-the-third-pandemic"/>
      <w:r>
        <w:t xml:space="preserve">Ancestors of the Third Pandemic</w:t>
      </w:r>
      <w:bookmarkEnd w:id="51"/>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Branch 1, which includes the Third Pandemic of plague.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pStyle w:val="Heading3"/>
      </w:pPr>
      <w:bookmarkStart w:id="52" w:name="post-black-death"/>
      <w:r>
        <w:t xml:space="preserve">Post Black Death</w:t>
      </w:r>
      <w:bookmarkEnd w:id="52"/>
    </w:p>
    <w:p>
      <w:pPr>
        <w:pStyle w:val="FirstParagraph"/>
      </w:pPr>
      <w:r>
        <w:t xml:space="preserve">In contrast to the genetic homogeneity observed across Europe during the Black Death period,</w:t>
      </w:r>
      <w:r>
        <w:t xml:space="preserve"> </w:t>
      </w:r>
      <w:r>
        <w:t xml:space="preserve">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This mechanism of evolution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w:t>
      </w:r>
    </w:p>
    <w:p>
      <w:pPr>
        <w:pStyle w:val="BodyText"/>
      </w:pPr>
      <w:r>
        <w:t xml:space="preserve">Again, the geographic origins and dispersal of plague during this period are challenging to reconstruct, given that the number of genomes (N=7) is sparsely sampled relative to the minimum number of countries (N=4) that are implicated. However, this broad geographic dispersal may suggest that plague outbreaks in Denmark during this period were not locally derived, but instead shared transmission with neighboring European countries.</w:t>
      </w:r>
    </w:p>
    <w:p>
      <w:pPr>
        <w:numPr>
          <w:ilvl w:val="0"/>
          <w:numId w:val="1004"/>
        </w:numPr>
        <w:pStyle w:val="Compact"/>
      </w:pPr>
      <w:r>
        <w:t xml:space="preserve">Epidemiologically, I don’t know the significance of this. But I think it’s interesting!</w:t>
      </w:r>
    </w:p>
    <w:p>
      <w:pPr>
        <w:pStyle w:val="Heading3"/>
      </w:pPr>
      <w:bookmarkStart w:id="53" w:name="early-modern-plague"/>
      <w:r>
        <w:t xml:space="preserve">Early Modern Plague</w:t>
      </w:r>
      <w:bookmarkEnd w:id="53"/>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pathogens between them.</w:t>
      </w:r>
    </w:p>
    <w:p>
      <w:pPr>
        <w:pStyle w:val="Heading2"/>
      </w:pPr>
      <w:bookmarkStart w:id="54" w:name="references"/>
      <w:r>
        <w:t xml:space="preserve">References</w:t>
      </w:r>
      <w:bookmarkEnd w:id="54"/>
    </w:p>
    <w:bookmarkStart w:id="60" w:name="refs"/>
    <w:bookmarkStart w:id="56"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55">
        <w:r>
          <w:rPr>
            <w:rStyle w:val="Hyperlink"/>
          </w:rPr>
          <w:t xml:space="preserve">http://www.jstor.org/stable/29543069</w:t>
        </w:r>
      </w:hyperlink>
    </w:p>
    <w:bookmarkEnd w:id="56"/>
    <w:bookmarkStart w:id="59"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57">
        <w:r>
          <w:rPr>
            <w:rStyle w:val="Hyperlink"/>
          </w:rPr>
          <w:t xml:space="preserve">https://journals.scholarsportal.info/details/03468755/v41i0001/54_tbd.xml</w:t>
        </w:r>
      </w:hyperlink>
      <w:r>
        <w:t xml:space="preserve"> </w:t>
      </w:r>
      <w:r>
        <w:br/>
      </w:r>
      <w:r>
        <w:t xml:space="preserve">DOI:</w:t>
      </w:r>
      <w:r>
        <w:t xml:space="preserve"> </w:t>
      </w:r>
      <w:hyperlink r:id="rId58">
        <w:r>
          <w:rPr>
            <w:rStyle w:val="Hyperlink"/>
          </w:rPr>
          <w:t xml:space="preserve">10.1080/03468755.2015.1110533</w:t>
        </w:r>
      </w:hyperlink>
    </w:p>
    <w:bookmarkEnd w:id="59"/>
    <w:bookmarkEnd w:id="60"/>
    <w:p>
      <w:pPr>
        <w:pStyle w:val="Heading2"/>
      </w:pPr>
      <w:bookmarkStart w:id="61" w:name="appendix"/>
      <w:r>
        <w:t xml:space="preserve">Appendix</w:t>
      </w:r>
      <w:bookmarkEnd w:id="61"/>
    </w:p>
    <w:p>
      <w:pPr>
        <w:pStyle w:val="Heading3"/>
      </w:pPr>
      <w:bookmarkStart w:id="62" w:name="phylogeny-1"/>
      <w:r>
        <w:t xml:space="preserve">Phylogeny</w:t>
      </w:r>
      <w:bookmarkEnd w:id="62"/>
    </w:p>
    <w:bookmarkStart w:id="0" w:name="fig:1.PRE_timetree"/>
    <w:p>
      <w:pPr>
        <w:pStyle w:val="CaptionedFigure"/>
      </w:pPr>
      <w:bookmarkStart w:id="64" w:name="fig:1.PRE_timetree"/>
      <w:r>
        <w:drawing>
          <wp:inline>
            <wp:extent cx="5943600" cy="6270120"/>
            <wp:effectExtent b="0" l="0" r="0" t="0"/>
            <wp:docPr descr="Figure 6: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beast/1.PRE_timetree.png" id="0" name="Picture"/>
                    <pic:cNvPicPr>
                      <a:picLocks noChangeArrowheads="1" noChangeAspect="1"/>
                    </pic:cNvPicPr>
                  </pic:nvPicPr>
                  <pic:blipFill>
                    <a:blip r:embed="rId63"/>
                    <a:stretch>
                      <a:fillRect/>
                    </a:stretch>
                  </pic:blipFill>
                  <pic:spPr bwMode="auto">
                    <a:xfrm>
                      <a:off x="0" y="0"/>
                      <a:ext cx="5943600" cy="6270120"/>
                    </a:xfrm>
                    <a:prstGeom prst="rect">
                      <a:avLst/>
                    </a:prstGeom>
                    <a:noFill/>
                    <a:ln w="9525">
                      <a:noFill/>
                      <a:headEnd/>
                      <a:tailEnd/>
                    </a:ln>
                  </pic:spPr>
                </pic:pic>
              </a:graphicData>
            </a:graphic>
          </wp:inline>
        </w:drawing>
      </w:r>
      <w:bookmarkEnd w:id="64"/>
    </w:p>
    <w:p>
      <w:pPr>
        <w:pStyle w:val="ImageCaption"/>
      </w:pPr>
      <w:r>
        <w:t xml:space="preserve">Figure 6: A time-scaled phylogeny of the Second Plague Pandemic. Asterisks indicate branches with strong statistical support.</w:t>
      </w:r>
    </w:p>
    <w:bookmarkEnd w:id="0"/>
    <w:bookmarkStart w:id="0" w:name="fig:1.PRE_divtree"/>
    <w:p>
      <w:pPr>
        <w:pStyle w:val="CaptionedFigure"/>
      </w:pPr>
      <w:bookmarkStart w:id="66" w:name="fig:1.PRE_divtree"/>
      <w:r>
        <w:drawing>
          <wp:inline>
            <wp:extent cx="5943600" cy="7300039"/>
            <wp:effectExtent b="0" l="0" r="0" t="0"/>
            <wp:docPr descr="Figure 7: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65"/>
                    <a:stretch>
                      <a:fillRect/>
                    </a:stretch>
                  </pic:blipFill>
                  <pic:spPr bwMode="auto">
                    <a:xfrm>
                      <a:off x="0" y="0"/>
                      <a:ext cx="5943600" cy="7300039"/>
                    </a:xfrm>
                    <a:prstGeom prst="rect">
                      <a:avLst/>
                    </a:prstGeom>
                    <a:noFill/>
                    <a:ln w="9525">
                      <a:noFill/>
                      <a:headEnd/>
                      <a:tailEnd/>
                    </a:ln>
                  </pic:spPr>
                </pic:pic>
              </a:graphicData>
            </a:graphic>
          </wp:inline>
        </w:drawing>
      </w:r>
      <w:bookmarkEnd w:id="66"/>
    </w:p>
    <w:p>
      <w:pPr>
        <w:pStyle w:val="ImageCaption"/>
      </w:pPr>
      <w:r>
        <w:t xml:space="preserve">Figure 7: A divergence-scaled phylogeny of the Second Plague Pandemic. Asterisks indicate branches with strong statistical support.</w:t>
      </w:r>
    </w:p>
    <w:bookmarkEnd w:id="0"/>
    <w:p>
      <w:pPr>
        <w:pStyle w:val="Heading3"/>
      </w:pPr>
      <w:bookmarkStart w:id="67" w:name="miscellaneous"/>
      <w:r>
        <w:t xml:space="preserve">Miscellaneous</w:t>
      </w:r>
      <w:bookmarkEnd w:id="67"/>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68" w:name="methods"/>
      <w:r>
        <w:t xml:space="preserve">Methods</w:t>
      </w:r>
      <w:bookmarkEnd w:id="68"/>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55" Target="http://www.jstor.org/stable/29543069" TargetMode="External" /><Relationship Type="http://schemas.openxmlformats.org/officeDocument/2006/relationships/hyperlink" Id="rId58"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a28b602" TargetMode="External" /><Relationship Type="http://schemas.openxmlformats.org/officeDocument/2006/relationships/hyperlink" Id="rId57"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aa28b602/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55" Target="http://www.jstor.org/stable/29543069" TargetMode="External" /><Relationship Type="http://schemas.openxmlformats.org/officeDocument/2006/relationships/hyperlink" Id="rId58"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a28b602" TargetMode="External" /><Relationship Type="http://schemas.openxmlformats.org/officeDocument/2006/relationships/hyperlink" Id="rId57"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aa28b602/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2021-07-08T19:02:33Z</dcterms:created>
  <dcterms:modified xsi:type="dcterms:W3CDTF">2021-07-08T19:02:33Z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