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5.png" ContentType="image/png"/>
  <Override PartName="/word/media/rId57.png" ContentType="image/png"/>
  <Override PartName="/word/media/rId48.png" ContentType="image/png"/>
  <Override PartName="/word/media/rId43.png" ContentType="image/png"/>
  <Override PartName="/word/media/rId41.png" ContentType="image/png"/>
  <Override PartName="/word/media/rId37.png" ContentType="image/png"/>
  <Override PartName="/word/media/rId45.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ktmeaton/obsidian-public@a8dc0203</w:t>
        </w:r>
      </w:hyperlink>
      <w:r>
        <w:t xml:space="preserve"> </w:t>
      </w:r>
      <w:r>
        <w:t xml:space="preserve">on July 6,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t xml:space="preserve"> </w:t>
      </w:r>
      <w:r>
        <w:t xml:space="preserve"> </w:t>
      </w:r>
      <w:r>
        <w:t xml:space="preserve">McMaster Ancient DNA Center; Department of Biology, McMaster University</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0000-0001-7486-757X</w:t>
        </w:r>
      </w:hyperlink>
      <w:r>
        <w:t xml:space="preserve"> </w:t>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0000-0002-2850-0934</w:t>
        </w:r>
      </w:hyperlink>
      <w:r>
        <w:t xml:space="preserve"> </w:t>
      </w:r>
      <w:r>
        <w:t xml:space="preserve"> </w:t>
      </w:r>
      <w:r>
        <w:t xml:space="preserve">University of Southern Denmark; ADBOU</w:t>
      </w:r>
      <w:r>
        <w:t xml:space="preserve"> </w:t>
      </w:r>
    </w:p>
    <w:p>
      <w:pPr>
        <w:numPr>
          <w:ilvl w:val="0"/>
          <w:numId w:val="1001"/>
        </w:numPr>
      </w:pPr>
      <w:r>
        <w:rPr>
          <w:b/>
        </w:rPr>
        <w:t xml:space="preserve">Ann Carmichael</w:t>
      </w:r>
      <w:r>
        <w:t xml:space="preserve"> </w:t>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0000-0001-6870-5945</w:t>
        </w:r>
      </w:hyperlink>
      <w:r>
        <w:t xml:space="preserve"> </w:t>
      </w:r>
      <w:r>
        <w:t xml:space="preserve"> </w:t>
      </w:r>
      <w:r>
        <w:t xml:space="preserve">University of South Carolina</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abstract"/>
      <w:r>
        <w:t xml:space="preserve">Abstract</w:t>
      </w:r>
      <w:bookmarkEnd w:id="31"/>
    </w:p>
    <w:p>
      <w:pPr>
        <w:pStyle w:val="Heading3"/>
      </w:pPr>
      <w:bookmarkStart w:id="32" w:name="background"/>
      <w:r>
        <w:t xml:space="preserve">Background</w:t>
      </w:r>
      <w:bookmarkEnd w:id="32"/>
    </w:p>
    <w:p>
      <w:pPr>
        <w:pStyle w:val="FirstParagraph"/>
      </w:pPr>
      <w:r>
        <w:t xml:space="preserve">The sequencing of ancient pathogen genomes has resulted in vast advancements to our understanding of the second plague pandemic. However, due to limited sample availability, debate remains about the Plague’s origins, routes of dissemination, genomic diversity, and persistence. Specifically, Scandinavia has a unique history with regards to plague persistence as it is home to the oldest known strain of plague to date and has been ravaged by historic epidemics, only for the plague to have disappeared from this region in the modern era.</w:t>
      </w:r>
    </w:p>
    <w:p>
      <w:pPr>
        <w:pStyle w:val="Heading3"/>
      </w:pPr>
      <w:bookmarkStart w:id="33" w:name="problem"/>
      <w:r>
        <w:t xml:space="preserve">Problem</w:t>
      </w:r>
      <w:bookmarkEnd w:id="33"/>
    </w:p>
    <w:p>
      <w:pPr>
        <w:pStyle w:val="FirstParagraph"/>
      </w:pPr>
      <w:r>
        <w:t xml:space="preserve">It is unknown to what extent local plague reservoirs fed the recurring epidemics in Scandinavia as compared to the continual introduction of globally circulated strains. Previously studied historical records primarily derive from large commercial centres such as London, which are contrasted by countries such as Denmark where the archives have retained limited information about the spread of the plague and its impact on society.</w:t>
      </w:r>
    </w:p>
    <w:p>
      <w:pPr>
        <w:pStyle w:val="Heading3"/>
      </w:pPr>
      <w:bookmarkStart w:id="34" w:name="objectives"/>
      <w:r>
        <w:t xml:space="preserve">Objectives</w:t>
      </w:r>
      <w:bookmarkEnd w:id="34"/>
    </w:p>
    <w:p>
      <w:pPr>
        <w:pStyle w:val="FirstParagraph"/>
      </w:pPr>
      <w:r>
        <w:t xml:space="preserve">To confidently identify and sequence ancient</w:t>
      </w:r>
      <w:r>
        <w:t xml:space="preserve"> </w:t>
      </w:r>
      <w:r>
        <w:rPr>
          <w:i/>
        </w:rPr>
        <w:t xml:space="preserve">Yersinia pestis</w:t>
      </w:r>
      <w:r>
        <w:t xml:space="preserve"> </w:t>
      </w:r>
      <w:r>
        <w:t xml:space="preserve">from Danish archaeological sites across a wide geographic and temporal range. With the aim of performing genomic analyses to estimate the timing, spread, and evolutionary changes occurring within Danish plague strains as compared to neighboring regions.</w:t>
      </w:r>
    </w:p>
    <w:p>
      <w:pPr>
        <w:pStyle w:val="Heading3"/>
      </w:pPr>
      <w:bookmarkStart w:id="35" w:name="significance"/>
      <w:r>
        <w:t xml:space="preserve">Significance</w:t>
      </w:r>
      <w:bookmarkEnd w:id="35"/>
    </w:p>
    <w:p>
      <w:pPr>
        <w:pStyle w:val="FirstParagraph"/>
      </w:pPr>
      <w:r>
        <w:t xml:space="preserve">First, there have been relatively few studies that explore the genetics of plague in Scandinavia across time and geography, particularly in Denmark. Second, this paper contributes to a larger body of epidemiological literature that considers the patterns and mechanisms by which diseases emerge, propagate, and go extinct.</w:t>
      </w:r>
    </w:p>
    <w:p>
      <w:pPr>
        <w:pStyle w:val="Heading2"/>
      </w:pPr>
      <w:bookmarkStart w:id="36" w:name="sites-and-samples"/>
      <w:r>
        <w:t xml:space="preserve">Sites and Samples</w:t>
      </w:r>
      <w:bookmarkEnd w:id="36"/>
    </w:p>
    <w:p>
      <w:pPr>
        <w:pStyle w:val="FirstParagraph"/>
      </w:pPr>
      <w:r>
        <w:t xml:space="preserve">326 individuals were sampled across 6 regions from 14 archaeological sites (Table</w:t>
      </w:r>
      <w:r>
        <w:t xml:space="preserve"> </w:t>
      </w:r>
      <w:hyperlink w:anchor="tbl:site_summary">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 in Denmark.</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r>
      <w:tr>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r>
      <w:tr>
        <w:tc>
          <w:p>
            <w:pPr>
              <w:pStyle w:val="Compact"/>
              <w:jc w:val="center"/>
            </w:pPr>
            <w:r>
              <w:rPr>
                <w:b/>
              </w:rPr>
              <w:t xml:space="preserve">Total</w:t>
            </w:r>
          </w:p>
        </w:tc>
        <w:tc>
          <w:p/>
        </w:tc>
        <w:tc>
          <w:p/>
        </w:tc>
        <w:tc>
          <w:p/>
        </w:tc>
        <w:tc>
          <w:p>
            <w:pPr>
              <w:pStyle w:val="Compact"/>
              <w:jc w:val="center"/>
            </w:pPr>
            <w:r>
              <w:t xml:space="preserve">326</w:t>
            </w:r>
          </w:p>
        </w:tc>
      </w:tr>
    </w:tbl>
    <w:bookmarkEnd w:id="0"/>
    <w:bookmarkStart w:id="0" w:name="fig:map_sites"/>
    <w:p>
      <w:pPr>
        <w:pStyle w:val="CaptionedFigure"/>
      </w:pPr>
      <w:bookmarkStart w:id="38" w:name="fig:map_sites"/>
      <w:r>
        <w:drawing>
          <wp:inline>
            <wp:extent cx="2346730" cy="2397148"/>
            <wp:effectExtent b="0" l="0" r="0" t="0"/>
            <wp:docPr descr="Figure 1: Geographic map of archaeological sites by region." title="" id="1" name="Picture"/>
            <a:graphic>
              <a:graphicData uri="http://schemas.openxmlformats.org/drawingml/2006/picture">
                <pic:pic>
                  <pic:nvPicPr>
                    <pic:cNvPr descr="https://rawcdn.githack.com/ktmeaton/plague-phylogeography-projects/e6877b0/denmark/beast/all/chromosome/full/filter30/relaxed_clock/dates/run/site_map.png" id="0" name="Picture"/>
                    <pic:cNvPicPr>
                      <a:picLocks noChangeArrowheads="1" noChangeAspect="1"/>
                    </pic:cNvPicPr>
                  </pic:nvPicPr>
                  <pic:blipFill>
                    <a:blip r:embed="rId37"/>
                    <a:stretch>
                      <a:fillRect/>
                    </a:stretch>
                  </pic:blipFill>
                  <pic:spPr bwMode="auto">
                    <a:xfrm>
                      <a:off x="0" y="0"/>
                      <a:ext cx="2346730" cy="2397148"/>
                    </a:xfrm>
                    <a:prstGeom prst="rect">
                      <a:avLst/>
                    </a:prstGeom>
                    <a:noFill/>
                    <a:ln w="9525">
                      <a:noFill/>
                      <a:headEnd/>
                      <a:tailEnd/>
                    </a:ln>
                  </pic:spPr>
                </pic:pic>
              </a:graphicData>
            </a:graphic>
          </wp:inline>
        </w:drawing>
      </w:r>
      <w:bookmarkEnd w:id="38"/>
    </w:p>
    <w:p>
      <w:pPr>
        <w:pStyle w:val="ImageCaption"/>
      </w:pPr>
      <w:r>
        <w:t xml:space="preserve">Figure 1: Geographic map of archaeological sites by region.</w:t>
      </w:r>
    </w:p>
    <w:bookmarkEnd w:id="0"/>
    <w:p>
      <w:pPr>
        <w:pStyle w:val="Heading2"/>
      </w:pPr>
      <w:bookmarkStart w:id="39" w:name="plague-detection"/>
      <w:r>
        <w:t xml:space="preserve">Plague Detection</w:t>
      </w:r>
      <w:bookmarkEnd w:id="39"/>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w:t>
      </w:r>
    </w:p>
    <w:p>
      <w:pPr>
        <w:pStyle w:val="BodyText"/>
      </w:pPr>
      <w:r>
        <w:t xml:space="preserve">Overall, plague was detected in 4% of all individuals in this study. When excluding plague-negative archaeological sites, this estimate rises to 8.2% of individuals.</w:t>
      </w:r>
      <w:r>
        <w:t xml:space="preserve"> </w:t>
      </w:r>
      <w:r>
        <w:rPr>
          <w:i/>
        </w:rPr>
        <w:t xml:space="preserve">Y. pestis</w:t>
      </w:r>
      <w:r>
        <w:t xml:space="preserve"> </w:t>
      </w:r>
      <w:r>
        <w:t xml:space="preserve">was observed exclusively in the Medieval Period, with no evidence of plague in the Viking Age settlements at Ribe Lindegärden or the Early Modern cemetery at Horsens.</w:t>
      </w:r>
    </w:p>
    <w:p>
      <w:pPr>
        <w:numPr>
          <w:ilvl w:val="0"/>
          <w:numId w:val="1002"/>
        </w:numPr>
        <w:pStyle w:val="Compact"/>
      </w:pPr>
      <w:r>
        <w:t xml:space="preserve">Absence of plague in Viking/Early Modern could easily be a false negative.</w:t>
      </w:r>
    </w:p>
    <w:p>
      <w:pPr>
        <w:numPr>
          <w:ilvl w:val="0"/>
          <w:numId w:val="1002"/>
        </w:numPr>
        <w:pStyle w:val="Compact"/>
      </w:pPr>
      <w:r>
        <w:t xml:space="preserve">These periods are sparsely sampled, with fewer sites and individuals sampled.</w:t>
      </w:r>
    </w:p>
    <w:p>
      <w:pPr>
        <w:numPr>
          <w:ilvl w:val="0"/>
          <w:numId w:val="1002"/>
        </w:numPr>
        <w:pStyle w:val="Compact"/>
      </w:pPr>
      <w:r>
        <w:t xml:space="preserve">Are G25A and G25B two individuals from the same grave?</w:t>
      </w:r>
    </w:p>
    <w:bookmarkStart w:id="0" w:name="tbl:plague_positive_high_coverage"/>
    <w:p>
      <w:pPr>
        <w:pStyle w:val="TableCaption"/>
      </w:pPr>
      <w:r>
        <w:t xml:space="preserve">Table 2: Plague positive summary of high coverage genomes.</w:t>
      </w:r>
      <w:r>
        <w:t xml:space="preserve"> </w:t>
      </w:r>
    </w:p>
    <w:tbl>
      <w:tblPr>
        <w:tblStyle w:val="Table"/>
        <w:tblW w:type="pct" w:w="0.0"/>
        <w:tblLook w:firstRow="1"/>
        <w:tblCaption w:val="Table 2: Plague positive summary of high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w:t>
      </w:r>
      <w:r>
        <w:t xml:space="preserve"> </w:t>
      </w:r>
    </w:p>
    <w:tbl>
      <w:tblPr>
        <w:tblStyle w:val="Table"/>
        <w:tblW w:type="pct" w:w="0.0"/>
        <w:tblLook w:firstRow="1"/>
        <w:tblCaption w:val="Table 3: Plague positive summary of low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2"/>
      </w:pPr>
      <w:bookmarkStart w:id="40" w:name="skeletal-and-molecular-dating"/>
      <w:r>
        <w:t xml:space="preserve">Skeletal and Molecular Dating</w:t>
      </w:r>
      <w:bookmarkEnd w:id="40"/>
    </w:p>
    <w:p>
      <w:pPr>
        <w:pStyle w:val="FirstParagraph"/>
      </w:pPr>
      <w:r>
        <w:t xml:space="preserve">I’m relying heavily on the discussion in Boldsen (2009)</w:t>
      </w:r>
      <w:r>
        <w:t xml:space="preserve"> </w:t>
      </w:r>
      <w:r>
        <w:t xml:space="preserve">[</w:t>
      </w:r>
      <w:hyperlink w:anchor="ref-eD3kpkYB">
        <w:r>
          <w:rPr>
            <w:rStyle w:val="Hyperlink"/>
          </w:rPr>
          <w:t xml:space="preserve">1</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42"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1"/>
                    <a:stretch>
                      <a:fillRect/>
                    </a:stretch>
                  </pic:blipFill>
                  <pic:spPr bwMode="auto">
                    <a:xfrm>
                      <a:off x="0" y="0"/>
                      <a:ext cx="5943600" cy="4531777"/>
                    </a:xfrm>
                    <a:prstGeom prst="rect">
                      <a:avLst/>
                    </a:prstGeom>
                    <a:noFill/>
                    <a:ln w="9525">
                      <a:noFill/>
                      <a:headEnd/>
                      <a:tailEnd/>
                    </a:ln>
                  </pic:spPr>
                </pic:pic>
              </a:graphicData>
            </a:graphic>
          </wp:inline>
        </w:drawing>
      </w:r>
      <w:bookmarkEnd w:id="42"/>
    </w:p>
    <w:p>
      <w:pPr>
        <w:pStyle w:val="ImageCaption"/>
      </w:pPr>
      <w:r>
        <w:t xml:space="preserve">Figure 2: Arm position dating.</w:t>
      </w:r>
    </w:p>
    <w:bookmarkEnd w:id="0"/>
    <w:p>
      <w:pPr>
        <w:pStyle w:val="BodyText"/>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4</w:t>
        </w:r>
      </w:hyperlink>
      <w:r>
        <w:t xml:space="preserve"> </w:t>
      </w:r>
      <w:r>
        <w:t xml:space="preserve">and Figure</w:t>
      </w:r>
      <w:r>
        <w:t xml:space="preserve"> </w:t>
      </w:r>
      <w:hyperlink w:anchor="fig:timeline_sites">
        <w:r>
          <w:rPr>
            <w:rStyle w:val="Hyperlink"/>
          </w:rPr>
          <w:t xml:space="preserve">4</w:t>
        </w:r>
      </w:hyperlink>
      <w:r>
        <w:t xml:space="preserve">. Almost all molecular dates had overlap with the archaeological dates as determined by site occupation period and burial patterns. The exception to this pattern was individual G371 from the site of Tirup. To investigate this disparity, we performed 14C radiocarbon dating on this sample (Figure</w:t>
      </w:r>
      <w:r>
        <w:t xml:space="preserve"> </w:t>
      </w:r>
      <w:hyperlink w:anchor="fig:radiocarbon_g371">
        <w:r>
          <w:rPr>
            <w:rStyle w:val="Hyperlink"/>
          </w:rPr>
          <w:t xml:space="preserve">3</w:t>
        </w:r>
      </w:hyperlink>
      <w:r>
        <w:t xml:space="preserve">).</w:t>
      </w:r>
    </w:p>
    <w:p>
      <w:pPr>
        <w:pStyle w:val="BodyText"/>
      </w:pPr>
      <w:r>
        <w:t xml:space="preserve">The radiocarbon estimate largely agrees with archaeological dates, with an estimated mean date of 1260 CE (+/- 75 yrs with 1 sigma). Thus there is robust evidence that the individual lived and died sometime between the late 12th and early 14th century</w:t>
      </w:r>
    </w:p>
    <w:p>
      <w:pPr>
        <w:pStyle w:val="BodyText"/>
      </w:pPr>
      <w:r>
        <w:t xml:space="preserve">However, the associated</w:t>
      </w:r>
      <w:r>
        <w:t xml:space="preserve"> </w:t>
      </w:r>
      <w:r>
        <w:rPr>
          <w:i/>
        </w:rPr>
        <w:t xml:space="preserve">Y. pestis</w:t>
      </w:r>
      <w:r>
        <w:t xml:space="preserve"> </w:t>
      </w:r>
      <w:r>
        <w:t xml:space="preserve">genome is dated to the 15th century. While the 2 sigma distribution of the radiocarbon date does extends into the 15th century, there remains the substantial conflict with the known site occupation dates.</w:t>
      </w:r>
    </w:p>
    <w:p>
      <w:pPr>
        <w:numPr>
          <w:ilvl w:val="0"/>
          <w:numId w:val="1003"/>
        </w:numPr>
        <w:pStyle w:val="Compact"/>
      </w:pPr>
      <w:r>
        <w:t xml:space="preserve">How can a pathogen appear to have lived 100 years after its associated host?</w:t>
      </w:r>
    </w:p>
    <w:bookmarkStart w:id="0" w:name="tbl:tip_dating_summary"/>
    <w:p>
      <w:pPr>
        <w:pStyle w:val="TableCaption"/>
      </w:pPr>
      <w:r>
        <w:t xml:space="preserve">Table 4: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4: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bookmarkStart w:id="0" w:name="fig:radiocarbon_g371"/>
    <w:p>
      <w:pPr>
        <w:pStyle w:val="CaptionedFigure"/>
      </w:pPr>
      <w:bookmarkStart w:id="44" w:name="fig:radiocarbon_g371"/>
      <w:r>
        <w:drawing>
          <wp:inline>
            <wp:extent cx="2376216" cy="2067339"/>
            <wp:effectExtent b="0" l="0" r="0" t="0"/>
            <wp:docPr descr="Figure 3: Radiocarbon dating of G371." title="" id="1" name="Picture"/>
            <a:graphic>
              <a:graphicData uri="http://schemas.openxmlformats.org/drawingml/2006/picture">
                <pic:pic>
                  <pic:nvPicPr>
                    <pic:cNvPr descr="https://rawcdn.githack.com/ktmeaton/plague-phylogeography-projects/7be6a02/denmark/metadata/all/radiocarbon_G371.png" id="0" name="Picture"/>
                    <pic:cNvPicPr>
                      <a:picLocks noChangeArrowheads="1" noChangeAspect="1"/>
                    </pic:cNvPicPr>
                  </pic:nvPicPr>
                  <pic:blipFill>
                    <a:blip r:embed="rId43"/>
                    <a:stretch>
                      <a:fillRect/>
                    </a:stretch>
                  </pic:blipFill>
                  <pic:spPr bwMode="auto">
                    <a:xfrm>
                      <a:off x="0" y="0"/>
                      <a:ext cx="2376216" cy="2067339"/>
                    </a:xfrm>
                    <a:prstGeom prst="rect">
                      <a:avLst/>
                    </a:prstGeom>
                    <a:noFill/>
                    <a:ln w="9525">
                      <a:noFill/>
                      <a:headEnd/>
                      <a:tailEnd/>
                    </a:ln>
                  </pic:spPr>
                </pic:pic>
              </a:graphicData>
            </a:graphic>
          </wp:inline>
        </w:drawing>
      </w:r>
      <w:bookmarkEnd w:id="44"/>
    </w:p>
    <w:p>
      <w:pPr>
        <w:pStyle w:val="ImageCaption"/>
      </w:pPr>
      <w:r>
        <w:t xml:space="preserve">Figure 3: Radiocarbon dating of G371.</w:t>
      </w:r>
    </w:p>
    <w:bookmarkEnd w:id="0"/>
    <w:bookmarkStart w:id="0" w:name="fig:timeline_sites"/>
    <w:p>
      <w:pPr>
        <w:pStyle w:val="CaptionedFigure"/>
      </w:pPr>
      <w:bookmarkStart w:id="46" w:name="fig:timeline_sites"/>
      <w:r>
        <w:drawing>
          <wp:inline>
            <wp:extent cx="4907433" cy="5913732"/>
            <wp:effectExtent b="0" l="0" r="0" t="0"/>
            <wp:docPr descr="Figure 4: Timeline of archaeological sites and plague-positive individuals. The shaded range spans the highest probability period from the oldest to the youngest sample." title="" id="1" name="Picture"/>
            <a:graphic>
              <a:graphicData uri="http://schemas.openxmlformats.org/drawingml/2006/picture">
                <pic:pic>
                  <pic:nvPicPr>
                    <pic:cNvPr descr="https://rawcdn.githack.com/ktmeaton/plague-phylogeography-projects/e6877b0/denmark/beast/all/chromosome/full/filter30/relaxed_clock/dates/run/site_timeline.png" id="0" name="Picture"/>
                    <pic:cNvPicPr>
                      <a:picLocks noChangeArrowheads="1" noChangeAspect="1"/>
                    </pic:cNvPicPr>
                  </pic:nvPicPr>
                  <pic:blipFill>
                    <a:blip r:embed="rId45"/>
                    <a:stretch>
                      <a:fillRect/>
                    </a:stretch>
                  </pic:blipFill>
                  <pic:spPr bwMode="auto">
                    <a:xfrm>
                      <a:off x="0" y="0"/>
                      <a:ext cx="4907433" cy="5913732"/>
                    </a:xfrm>
                    <a:prstGeom prst="rect">
                      <a:avLst/>
                    </a:prstGeom>
                    <a:noFill/>
                    <a:ln w="9525">
                      <a:noFill/>
                      <a:headEnd/>
                      <a:tailEnd/>
                    </a:ln>
                  </pic:spPr>
                </pic:pic>
              </a:graphicData>
            </a:graphic>
          </wp:inline>
        </w:drawing>
      </w:r>
      <w:bookmarkEnd w:id="46"/>
    </w:p>
    <w:p>
      <w:pPr>
        <w:pStyle w:val="ImageCaption"/>
      </w:pPr>
      <w:r>
        <w:t xml:space="preserve">Figure 4: Timeline of archaeological sites and plague-positive individuals. The shaded range spans the highest probability period from the oldest to the youngest sample.</w:t>
      </w:r>
    </w:p>
    <w:bookmarkEnd w:id="0"/>
    <w:p>
      <w:pPr>
        <w:pStyle w:val="Heading2"/>
      </w:pPr>
      <w:bookmarkStart w:id="47" w:name="phylogeny"/>
      <w:r>
        <w:t xml:space="preserve">Phylogeny</w:t>
      </w:r>
      <w:bookmarkEnd w:id="47"/>
    </w:p>
    <w:p>
      <w:pPr>
        <w:pStyle w:val="FirstParagraph"/>
      </w:pPr>
      <w:r>
        <w:t xml:space="preserve">An examination the time-scaled phylogeny of the Second Pandemic (Figure</w:t>
      </w:r>
      <w:r>
        <w:t xml:space="preserve"> </w:t>
      </w:r>
      <w:hyperlink w:anchor="fig:1.PRE_timetree">
        <w:r>
          <w:rPr>
            <w:rStyle w:val="Hyperlink"/>
          </w:rPr>
          <w:t xml:space="preserve">5</w:t>
        </w:r>
      </w:hyperlink>
      <w:r>
        <w:t xml:space="preserve">) adds greater nuance to the molecular dating.</w:t>
      </w:r>
    </w:p>
    <w:bookmarkStart w:id="0" w:name="fig:1.PRE_timetree"/>
    <w:p>
      <w:pPr>
        <w:pStyle w:val="CaptionedFigure"/>
      </w:pPr>
      <w:bookmarkStart w:id="49" w:name="fig:1.PRE_timetree"/>
      <w:r>
        <w:drawing>
          <wp:inline>
            <wp:extent cx="5943600" cy="5808688"/>
            <wp:effectExtent b="0" l="0" r="0" t="0"/>
            <wp:docPr descr="Figure 5: A time-scaled phylogeny of the Second Plague Pandemic. Asterisks indicate branches with strong statistical support. Grey bars indicate the 95% HPD interval on the internal node dates" title="" id="1" name="Picture"/>
            <a:graphic>
              <a:graphicData uri="http://schemas.openxmlformats.org/drawingml/2006/picture">
                <pic:pic>
                  <pic:nvPicPr>
                    <pic:cNvPr descr="https://rawcdn.githack.com/ktmeaton/plague-phylogeography-projects/137befa/denmark/auspice/all/chromosome/full/filter30/beast/1.PRE_timetree.png" id="0" name="Picture"/>
                    <pic:cNvPicPr>
                      <a:picLocks noChangeArrowheads="1" noChangeAspect="1"/>
                    </pic:cNvPicPr>
                  </pic:nvPicPr>
                  <pic:blipFill>
                    <a:blip r:embed="rId48"/>
                    <a:stretch>
                      <a:fillRect/>
                    </a:stretch>
                  </pic:blipFill>
                  <pic:spPr bwMode="auto">
                    <a:xfrm>
                      <a:off x="0" y="0"/>
                      <a:ext cx="5943600" cy="5808688"/>
                    </a:xfrm>
                    <a:prstGeom prst="rect">
                      <a:avLst/>
                    </a:prstGeom>
                    <a:noFill/>
                    <a:ln w="9525">
                      <a:noFill/>
                      <a:headEnd/>
                      <a:tailEnd/>
                    </a:ln>
                  </pic:spPr>
                </pic:pic>
              </a:graphicData>
            </a:graphic>
          </wp:inline>
        </w:drawing>
      </w:r>
      <w:bookmarkEnd w:id="49"/>
    </w:p>
    <w:p>
      <w:pPr>
        <w:pStyle w:val="ImageCaption"/>
      </w:pPr>
      <w:r>
        <w:t xml:space="preserve">Figure 5: A time-scaled phylogeny of the Second Plague Pandemic. Asterisks indicate branches with strong statistical support. Grey bars indicate the 95% HPD interval on the internal node dates</w:t>
      </w:r>
    </w:p>
    <w:bookmarkEnd w:id="0"/>
    <w:p>
      <w:pPr>
        <w:pStyle w:val="Heading3"/>
      </w:pPr>
      <w:bookmarkStart w:id="50" w:name="denmark-and-the-black-death"/>
      <w:r>
        <w:t xml:space="preserve">Denmark and the Black Death</w:t>
      </w:r>
      <w:bookmarkEnd w:id="50"/>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This cluster is thought to be associated with the Black Death, as the genomes are nearly identical and have been isolated from all across Europe, thus indicating rapid geographic dispersal. Given the high degree of genetic similarity, the branching order, and thus migration patterns, of this epidemic clade cannot be resolved. Our understanding of this event is therefore that of a</w:t>
      </w:r>
      <w:r>
        <w:t xml:space="preserve"> </w:t>
      </w:r>
      <w:r>
        <w:t xml:space="preserve">“</w:t>
      </w:r>
      <w:r>
        <w:t xml:space="preserve">burst</w:t>
      </w:r>
      <w:r>
        <w:t xml:space="preserve">”</w:t>
      </w:r>
      <w:r>
        <w:t xml:space="preserve"> </w:t>
      </w:r>
      <w:r>
        <w:t xml:space="preserve">radiation, with possibly multiple waves of</w:t>
      </w:r>
      <w:r>
        <w:t xml:space="preserve"> </w:t>
      </w:r>
      <w:r>
        <w:rPr>
          <w:i/>
        </w:rPr>
        <w:t xml:space="preserve">Y. pestis</w:t>
      </w:r>
      <w:r>
        <w:t xml:space="preserve"> </w:t>
      </w:r>
      <w:r>
        <w:t xml:space="preserve">that are migrating faster than the mutation rate.</w:t>
      </w:r>
    </w:p>
    <w:p>
      <w:pPr>
        <w:pStyle w:val="Heading3"/>
      </w:pPr>
      <w:bookmarkStart w:id="51" w:name="the-ancestors-of-modern-plague"/>
      <w:r>
        <w:t xml:space="preserve">The Ancestors of Modern Plague</w:t>
      </w:r>
      <w:bookmarkEnd w:id="51"/>
    </w:p>
    <w:p>
      <w:pPr>
        <w:pStyle w:val="FirstParagraph"/>
      </w:pPr>
      <w:r>
        <w:t xml:space="preserve">Interestingly,</w:t>
      </w:r>
      <w:r>
        <w:t xml:space="preserve"> </w:t>
      </w:r>
      <w:r>
        <w:rPr>
          <w:i/>
        </w:rPr>
        <w:t xml:space="preserve">Y. pestis</w:t>
      </w:r>
      <w:r>
        <w:t xml:space="preserve"> </w:t>
      </w:r>
      <w:r>
        <w:t xml:space="preserve">associated with individual G25Bx98 from Ribe (who was found in the same grave as G25A?) is genetically distinct from the earlier strains from this region. This isolate falls within a clade of high epidemiological significance, which is the ancestral group giving rise to the Modern Pandemic of plague. This clade was previously hypothesized to reflect a backward migration of plague from Northern Europe back into Asia. The</w:t>
      </w:r>
      <w:r>
        <w:t xml:space="preserve"> </w:t>
      </w:r>
      <w:r>
        <w:rPr>
          <w:i/>
        </w:rPr>
        <w:t xml:space="preserve">Y. pestis</w:t>
      </w:r>
      <w:r>
        <w:t xml:space="preserve"> </w:t>
      </w:r>
      <w:r>
        <w:t xml:space="preserve">genome retrieved from G25Bx98 may lend support to this hypothesis, as it falls basal to the more derived strains from The Netherlands and Russia.</w:t>
      </w:r>
    </w:p>
    <w:p>
      <w:pPr>
        <w:pStyle w:val="Heading3"/>
      </w:pPr>
      <w:bookmarkStart w:id="52" w:name="regional-variation"/>
      <w:r>
        <w:t xml:space="preserve">Regional Variation</w:t>
      </w:r>
      <w:bookmarkEnd w:id="52"/>
    </w:p>
    <w:p>
      <w:pPr>
        <w:pStyle w:val="FirstParagraph"/>
      </w:pPr>
      <w:r>
        <w:t xml:space="preserve">In contrast to the genetic homogeneity observed across Europe during the Black Death period, later isolates of</w:t>
      </w:r>
      <w:r>
        <w:t xml:space="preserve"> </w:t>
      </w:r>
      <w:r>
        <w:rPr>
          <w:i/>
        </w:rPr>
        <w:t xml:space="preserve">Y. pestis</w:t>
      </w:r>
      <w:r>
        <w:t xml:space="preserve"> </w:t>
      </w:r>
      <w:r>
        <w:t xml:space="preserve">show strong intra- and inter-regional variation.</w:t>
      </w:r>
      <w:r>
        <w:t xml:space="preserve"> </w:t>
      </w:r>
      <w:r>
        <w:t xml:space="preserve">Plague genomes collected from the settlements near the city of Horsens</w:t>
      </w:r>
    </w:p>
    <w:p>
      <w:pPr>
        <w:pStyle w:val="BodyText"/>
      </w:pPr>
      <w:r>
        <w:t xml:space="preserve">For example, all plague genomes collected from archaeological sites near Horsens are closely related but form independent lineages.</w:t>
      </w:r>
    </w:p>
    <w:p>
      <w:pPr>
        <w:pStyle w:val="BodyText"/>
      </w:pPr>
      <w:r>
        <w:t xml:space="preserve">Plague in this region is strongly differentiated from</w:t>
      </w:r>
    </w:p>
    <w:p>
      <w:pPr>
        <w:pStyle w:val="BodyText"/>
      </w:pPr>
      <w:r>
        <w:t xml:space="preserve">diverges in Ole Wormsgade (A1480x1480), the cemetery of the port city of Horsens. Following this divergence, distinct lineages are observed in the rural settlements of Sejet (A146x3011) and then Tirup (G371).</w:t>
      </w:r>
    </w:p>
    <w:p>
      <w:r>
        <w:pict>
          <v:rect style="width:0;height:1.5pt" o:hralign="center" o:hrstd="t" o:hr="t"/>
        </w:pict>
      </w:r>
    </w:p>
    <w:p>
      <w:pPr>
        <w:pStyle w:val="BlockText"/>
      </w:pPr>
      <w:r>
        <w:rPr>
          <w:b/>
        </w:rPr>
        <w:t xml:space="preserve">Phase 1: 1300-1450</w:t>
      </w:r>
      <w:r>
        <w:t xml:space="preserve"> </w:t>
      </w:r>
      <w:r>
        <w:t xml:space="preserve">- All</w:t>
      </w:r>
      <w:r>
        <w:t xml:space="preserve"> </w:t>
      </w:r>
      <w:r>
        <w:rPr>
          <w:i/>
        </w:rPr>
        <w:t xml:space="preserve">Y. pestis</w:t>
      </w:r>
      <w:r>
        <w:t xml:space="preserve"> </w:t>
      </w:r>
      <w:r>
        <w:t xml:space="preserve">genomes from the 14th century cluster together.</w:t>
      </w:r>
      <w:r>
        <w:t xml:space="preserve"> </w:t>
      </w:r>
      <w:r>
        <w:t xml:space="preserve">- Samples from the early-mid 1300s are widely dispersed across Europe (Figure</w:t>
      </w:r>
      <w:r>
        <w:t xml:space="preserve"> </w:t>
      </w:r>
      <w:hyperlink w:anchor="fig:map_phase_1">
        <w:r>
          <w:rPr>
            <w:rStyle w:val="Hyperlink"/>
          </w:rPr>
          <w:t xml:space="preserve">6</w:t>
        </w:r>
      </w:hyperlink>
      <w:r>
        <w:t xml:space="preserve">), and have highly similar genetic content resulting poorly resolved branching order. This suggests rapid, epidemic spread, thought to be associated with the Black Death.</w:t>
      </w:r>
      <w:r>
        <w:t xml:space="preserve"> </w:t>
      </w:r>
      <w:r>
        <w:t xml:space="preserve">- Samples from the late 1300s also cluster together, and are linked to the</w:t>
      </w:r>
      <w:r>
        <w:t xml:space="preserve"> </w:t>
      </w:r>
      <w:r>
        <w:rPr>
          <w:i/>
        </w:rPr>
        <w:t xml:space="preserve">pestis segunda</w:t>
      </w:r>
      <w:r>
        <w:t xml:space="preserve"> </w:t>
      </w:r>
      <w:r>
        <w:t xml:space="preserve">series of epidemics in Europe.</w:t>
      </w:r>
      <w:r>
        <w:t xml:space="preserve"> </w:t>
      </w:r>
      <w:r>
        <w:t xml:space="preserve">- The only Danish samples in Phase I are from Ribe, and fall within both the Black Death and</w:t>
      </w:r>
      <w:r>
        <w:t xml:space="preserve"> </w:t>
      </w:r>
      <w:r>
        <w:rPr>
          <w:i/>
        </w:rPr>
        <w:t xml:space="preserve">pestis segunda</w:t>
      </w:r>
      <w:r>
        <w:t xml:space="preserve"> </w:t>
      </w:r>
      <w:r>
        <w:t xml:space="preserve">groups.</w:t>
      </w:r>
      <w:r>
        <w:t xml:space="preserve"> </w:t>
      </w:r>
      <w:r>
        <w:t xml:space="preserve">- These are primarily coastal sites, Germany and Russia as the exception.</w:t>
      </w:r>
    </w:p>
    <w:p>
      <w:pPr>
        <w:pStyle w:val="BlockText"/>
      </w:pPr>
      <w:r>
        <w:rPr>
          <w:b/>
        </w:rPr>
        <w:t xml:space="preserve">Phase 2: 1450-1600</w:t>
      </w:r>
      <w:r>
        <w:t xml:space="preserve"> </w:t>
      </w:r>
      <w:r>
        <w:t xml:space="preserve">- A very curious branching pattern, lots of</w:t>
      </w:r>
      <w:r>
        <w:t xml:space="preserve"> </w:t>
      </w:r>
      <w:r>
        <w:t xml:space="preserve">‘</w:t>
      </w:r>
      <w:r>
        <w:t xml:space="preserve">independent</w:t>
      </w:r>
      <w:r>
        <w:t xml:space="preserve">’</w:t>
      </w:r>
      <w:r>
        <w:t xml:space="preserve"> </w:t>
      </w:r>
      <w:r>
        <w:t xml:space="preserve">emergences rather than monophyletic clades.</w:t>
      </w:r>
      <w:r>
        <w:t xml:space="preserve"> </w:t>
      </w:r>
      <w:r>
        <w:t xml:space="preserve">- All Danish samples from the Horsens region fall here, and although they have temporal overlap with each other, the lineages of plague are distinct.</w:t>
      </w:r>
      <w:r>
        <w:t xml:space="preserve"> </w:t>
      </w:r>
      <w:r>
        <w:t xml:space="preserve">- …</w:t>
      </w:r>
    </w:p>
    <w:p>
      <w:pPr>
        <w:pStyle w:val="BlockText"/>
      </w:pPr>
      <w:r>
        <w:rPr>
          <w:b/>
        </w:rPr>
        <w:t xml:space="preserve">Phase 3: 1600-1800</w:t>
      </w:r>
      <w:r>
        <w:t xml:space="preserve"> </w:t>
      </w:r>
      <w:r>
        <w:t xml:space="preserve">- …</w:t>
      </w:r>
    </w:p>
    <w:bookmarkStart w:id="0" w:name="fig:map_phase_1"/>
    <w:p>
      <w:pPr>
        <w:pStyle w:val="CaptionedFigure"/>
      </w:pPr>
      <w:bookmarkStart w:id="54" w:name="fig:map_phase_1"/>
      <w:r>
        <w:drawing>
          <wp:inline>
            <wp:extent cx="5943600" cy="4761023"/>
            <wp:effectExtent b="0" l="0" r="0" t="0"/>
            <wp:docPr descr="Figure 6: Phase 1: 1300 - 1450" title="" id="1" name="Picture"/>
            <a:graphic>
              <a:graphicData uri="http://schemas.openxmlformats.org/drawingml/2006/picture">
                <pic:pic>
                  <pic:nvPicPr>
                    <pic:cNvPr descr="https://rawcdn.githack.com/ktmeaton/obsidian-public/c233139/academic/Map%20Black%20Death%20and%20pestis%20segunda.png" id="0" name="Picture"/>
                    <pic:cNvPicPr>
                      <a:picLocks noChangeArrowheads="1" noChangeAspect="1"/>
                    </pic:cNvPicPr>
                  </pic:nvPicPr>
                  <pic:blipFill>
                    <a:blip r:embed="rId53"/>
                    <a:stretch>
                      <a:fillRect/>
                    </a:stretch>
                  </pic:blipFill>
                  <pic:spPr bwMode="auto">
                    <a:xfrm>
                      <a:off x="0" y="0"/>
                      <a:ext cx="5943600" cy="4761023"/>
                    </a:xfrm>
                    <a:prstGeom prst="rect">
                      <a:avLst/>
                    </a:prstGeom>
                    <a:noFill/>
                    <a:ln w="9525">
                      <a:noFill/>
                      <a:headEnd/>
                      <a:tailEnd/>
                    </a:ln>
                  </pic:spPr>
                </pic:pic>
              </a:graphicData>
            </a:graphic>
          </wp:inline>
        </w:drawing>
      </w:r>
      <w:bookmarkEnd w:id="54"/>
    </w:p>
    <w:p>
      <w:pPr>
        <w:pStyle w:val="ImageCaption"/>
      </w:pPr>
      <w:r>
        <w:t xml:space="preserve">Figure 6: Phase 1: 1300 - 1450</w:t>
      </w:r>
    </w:p>
    <w:bookmarkEnd w:id="0"/>
    <w:bookmarkStart w:id="0" w:name="fig:map_phase_2"/>
    <w:p>
      <w:pPr>
        <w:pStyle w:val="CaptionedFigure"/>
      </w:pPr>
      <w:bookmarkStart w:id="56" w:name="fig:map_phase_2"/>
      <w:r>
        <w:drawing>
          <wp:inline>
            <wp:extent cx="5943600" cy="4753354"/>
            <wp:effectExtent b="0" l="0" r="0" t="0"/>
            <wp:docPr descr="Figure 7: Phase 2: 1450 - 1600" title="" id="1" name="Picture"/>
            <a:graphic>
              <a:graphicData uri="http://schemas.openxmlformats.org/drawingml/2006/picture">
                <pic:pic>
                  <pic:nvPicPr>
                    <pic:cNvPr descr="https://rawcdn.githack.com/ktmeaton/obsidian-public/c233139/academic/Map%20Phase%202.png" id="0" name="Picture"/>
                    <pic:cNvPicPr>
                      <a:picLocks noChangeArrowheads="1" noChangeAspect="1"/>
                    </pic:cNvPicPr>
                  </pic:nvPicPr>
                  <pic:blipFill>
                    <a:blip r:embed="rId55"/>
                    <a:stretch>
                      <a:fillRect/>
                    </a:stretch>
                  </pic:blipFill>
                  <pic:spPr bwMode="auto">
                    <a:xfrm>
                      <a:off x="0" y="0"/>
                      <a:ext cx="5943600" cy="4753354"/>
                    </a:xfrm>
                    <a:prstGeom prst="rect">
                      <a:avLst/>
                    </a:prstGeom>
                    <a:noFill/>
                    <a:ln w="9525">
                      <a:noFill/>
                      <a:headEnd/>
                      <a:tailEnd/>
                    </a:ln>
                  </pic:spPr>
                </pic:pic>
              </a:graphicData>
            </a:graphic>
          </wp:inline>
        </w:drawing>
      </w:r>
      <w:bookmarkEnd w:id="56"/>
    </w:p>
    <w:p>
      <w:pPr>
        <w:pStyle w:val="ImageCaption"/>
      </w:pPr>
      <w:r>
        <w:t xml:space="preserve">Figure 7: Phase 2: 1450 - 1600</w:t>
      </w:r>
    </w:p>
    <w:bookmarkEnd w:id="0"/>
    <w:bookmarkStart w:id="0" w:name="fig:map_phase_3"/>
    <w:p>
      <w:pPr>
        <w:pStyle w:val="CaptionedFigure"/>
      </w:pPr>
      <w:bookmarkStart w:id="58" w:name="fig:map_phase_3"/>
      <w:r>
        <w:drawing>
          <wp:inline>
            <wp:extent cx="5943600" cy="4796454"/>
            <wp:effectExtent b="0" l="0" r="0" t="0"/>
            <wp:docPr descr="Figure 8: Phase 3: 1600 - 1800" title="" id="1" name="Picture"/>
            <a:graphic>
              <a:graphicData uri="http://schemas.openxmlformats.org/drawingml/2006/picture">
                <pic:pic>
                  <pic:nvPicPr>
                    <pic:cNvPr descr="https://rawcdn.githack.com/ktmeaton/obsidian-public/c233139/academic/Map%20Phase%203.png" id="0" name="Picture"/>
                    <pic:cNvPicPr>
                      <a:picLocks noChangeArrowheads="1" noChangeAspect="1"/>
                    </pic:cNvPicPr>
                  </pic:nvPicPr>
                  <pic:blipFill>
                    <a:blip r:embed="rId57"/>
                    <a:stretch>
                      <a:fillRect/>
                    </a:stretch>
                  </pic:blipFill>
                  <pic:spPr bwMode="auto">
                    <a:xfrm>
                      <a:off x="0" y="0"/>
                      <a:ext cx="5943600" cy="4796454"/>
                    </a:xfrm>
                    <a:prstGeom prst="rect">
                      <a:avLst/>
                    </a:prstGeom>
                    <a:noFill/>
                    <a:ln w="9525">
                      <a:noFill/>
                      <a:headEnd/>
                      <a:tailEnd/>
                    </a:ln>
                  </pic:spPr>
                </pic:pic>
              </a:graphicData>
            </a:graphic>
          </wp:inline>
        </w:drawing>
      </w:r>
      <w:bookmarkEnd w:id="58"/>
    </w:p>
    <w:p>
      <w:pPr>
        <w:pStyle w:val="ImageCaption"/>
      </w:pPr>
      <w:r>
        <w:t xml:space="preserve">Figure 8: Phase 3: 1600 - 1800</w:t>
      </w:r>
    </w:p>
    <w:bookmarkEnd w:id="0"/>
    <w:p>
      <w:pPr>
        <w:pStyle w:val="Heading2"/>
      </w:pPr>
      <w:bookmarkStart w:id="59" w:name="references"/>
      <w:r>
        <w:t xml:space="preserve">References</w:t>
      </w:r>
      <w:bookmarkEnd w:id="59"/>
    </w:p>
    <w:bookmarkStart w:id="62" w:name="refs"/>
    <w:bookmarkStart w:id="61" w:name="ref-eD3kpkYB"/>
    <w:p>
      <w:pPr>
        <w:pStyle w:val="Bibliography"/>
      </w:pPr>
      <w:r>
        <w:t xml:space="preserve">1.</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60">
        <w:r>
          <w:rPr>
            <w:rStyle w:val="Hyperlink"/>
          </w:rPr>
          <w:t xml:space="preserve">http://www.jstor.org/stable/29543069</w:t>
        </w:r>
      </w:hyperlink>
    </w:p>
    <w:bookmarkEnd w:id="61"/>
    <w:bookmarkEnd w:id="62"/>
    <w:p>
      <w:pPr>
        <w:pStyle w:val="Heading2"/>
      </w:pPr>
      <w:bookmarkStart w:id="63" w:name="appendix"/>
      <w:r>
        <w:t xml:space="preserve">Appendix</w:t>
      </w:r>
      <w:bookmarkEnd w:id="63"/>
    </w:p>
    <w:p>
      <w:pPr>
        <w:pStyle w:val="Heading3"/>
      </w:pPr>
      <w:bookmarkStart w:id="64" w:name="misc-notes"/>
      <w:r>
        <w:t xml:space="preserve">Misc Notes</w:t>
      </w:r>
      <w:bookmarkEnd w:id="64"/>
    </w:p>
    <w:bookmarkStart w:id="0" w:name="tbl:false_positive_summary"/>
    <w:p>
      <w:pPr>
        <w:pStyle w:val="TableCaption"/>
      </w:pPr>
      <w:r>
        <w:t xml:space="preserve">Table 5: Plague false positive summary.</w:t>
      </w:r>
      <w:r>
        <w:t xml:space="preserve"> </w:t>
      </w:r>
    </w:p>
    <w:tbl>
      <w:tblPr>
        <w:tblStyle w:val="Table"/>
        <w:tblW w:type="pct" w:w="0.0"/>
        <w:tblLook w:firstRow="1"/>
        <w:tblCaption w:val="Table 5: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BodyText"/>
      </w:pPr>
      <w:r>
        <w:t xml:space="preserve">To estimate dates for the plague-positive individuals,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uncorrelated lognormal relaxed clock (UCLN) (Table</w:t>
      </w:r>
      <w:r>
        <w:t xml:space="preserve"> </w:t>
      </w:r>
      <w:hyperlink w:anchor="tbl:bets_summary">
        <w:r>
          <w:rPr>
            <w:rStyle w:val="Hyperlink"/>
          </w:rPr>
          <w:t xml:space="preserve">6</w:t>
        </w:r>
      </w:hyperlink>
      <w:r>
        <w:t xml:space="preserve">). A comparison of the strict vs. relaxed clocks using collection date produced decisive support for the relaxed clock.</w:t>
      </w:r>
    </w:p>
    <w:bookmarkStart w:id="0" w:name="tbl:bets_summary"/>
    <w:p>
      <w:pPr>
        <w:pStyle w:val="TableCaption"/>
      </w:pPr>
      <w:r>
        <w:t xml:space="preserve">Table 6: Bayesian Evaluation of Temporal Signal (BETS) summary.</w:t>
      </w:r>
      <w:r>
        <w:t xml:space="preserve"> </w:t>
      </w:r>
    </w:p>
    <w:tbl>
      <w:tblPr>
        <w:tblStyle w:val="Table"/>
        <w:tblW w:type="pct" w:w="0.0"/>
        <w:tblLook w:firstRow="1"/>
        <w:tblCaption w:val="Table 6: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BodyText"/>
      </w:pPr>
      <w:r>
        <w:t xml:space="preserve">A time-scaled phylogeny with tip-dating was estimated using a relaxed clock and diffuse normal priors centered around the mean collection date.</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60" Target="http://www.jstor.org/stable/29543069"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a8dc0203"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a8dc0203/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60" Target="http://www.jstor.org/stable/29543069"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a8dc0203"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a8dc0203/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2021-07-06T19:09:51Z</dcterms:created>
  <dcterms:modified xsi:type="dcterms:W3CDTF">2021-07-06T19:09:51Z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