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2.png" ContentType="image/png"/>
  <Override PartName="/word/media/rId64.png" ContentType="image/png"/>
  <Override PartName="/word/media/rId60.png" ContentType="image/png"/>
  <Override PartName="/word/media/rId55.png" ContentType="image/png"/>
  <Override PartName="/word/media/rId49.png" ContentType="image/png"/>
  <Override PartName="/word/media/rId36.png" ContentType="image/png"/>
  <Override PartName="/word/media/rId52.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Phylodynamics</w:t>
      </w:r>
      <w:r>
        <w:t xml:space="preserve"> </w:t>
      </w:r>
      <w:r>
        <w:t xml:space="preserve">and</w:t>
      </w:r>
      <w:r>
        <w:t xml:space="preserve"> </w:t>
      </w:r>
      <w:r>
        <w:t xml:space="preserve">Phylogeography</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ktmeaton/obsidian-public@f01a5b57</w:t>
        </w:r>
      </w:hyperlink>
      <w:r>
        <w:t xml:space="preserve"> </w:t>
      </w:r>
      <w:r>
        <w:t xml:space="preserve">on May 21,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0000-0002-8878-1758</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sebastianduchene</w:t>
        </w:r>
      </w:hyperlink>
      <w:r>
        <w:t xml:space="preserve"> </w:t>
      </w:r>
      <w:r>
        <w:t xml:space="preserve"> </w:t>
      </w:r>
      <w:r>
        <w:t xml:space="preserve">The Peter Doherty Institute For Infection and Immunity , University of Melbourne</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keywords"/>
      <w:r>
        <w:t xml:space="preserve">Keywords</w:t>
      </w:r>
      <w:bookmarkEnd w:id="31"/>
    </w:p>
    <w:p>
      <w:pPr>
        <w:numPr>
          <w:ilvl w:val="0"/>
          <w:numId w:val="1002"/>
        </w:numPr>
        <w:pStyle w:val="Compact"/>
      </w:pPr>
      <w:r>
        <w:t xml:space="preserve">Plague</w:t>
      </w:r>
    </w:p>
    <w:p>
      <w:pPr>
        <w:numPr>
          <w:ilvl w:val="0"/>
          <w:numId w:val="1002"/>
        </w:numPr>
        <w:pStyle w:val="Compact"/>
      </w:pPr>
      <w:r>
        <w:t xml:space="preserve">Yersinia pestis</w:t>
      </w:r>
    </w:p>
    <w:p>
      <w:pPr>
        <w:numPr>
          <w:ilvl w:val="0"/>
          <w:numId w:val="1002"/>
        </w:numPr>
        <w:pStyle w:val="Compact"/>
      </w:pPr>
      <w:r>
        <w:t xml:space="preserve">Phylodynamics</w:t>
      </w:r>
    </w:p>
    <w:p>
      <w:pPr>
        <w:numPr>
          <w:ilvl w:val="0"/>
          <w:numId w:val="1002"/>
        </w:numPr>
        <w:pStyle w:val="Compact"/>
      </w:pPr>
      <w:r>
        <w:t xml:space="preserve">Phylogeography</w:t>
      </w:r>
    </w:p>
    <w:p>
      <w:pPr>
        <w:pStyle w:val="Heading2"/>
      </w:pPr>
      <w:bookmarkStart w:id="32" w:name="introduction"/>
      <w:r>
        <w:t xml:space="preserve">Introduction</w:t>
      </w:r>
      <w:bookmarkEnd w:id="32"/>
    </w:p>
    <w:p>
      <w:pPr>
        <w:pStyle w:val="FirstParagraph"/>
      </w:pPr>
      <w:r>
        <w:t xml:space="preserve">Plague has an impressively long and expansive history as a human pathogen. The earliest evidence of the plague bacterium</w:t>
      </w:r>
      <w:r>
        <w:t xml:space="preserve"> </w:t>
      </w:r>
      <w:r>
        <w:rPr>
          <w:i/>
        </w:rPr>
        <w:t xml:space="preserve">Yersinia pestis</w:t>
      </w:r>
      <w:r>
        <w:t xml:space="preserve"> </w:t>
      </w:r>
      <w:r>
        <w:t xml:space="preserve">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diverse array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S5fFaZrD">
        <w:r>
          <w:rPr>
            <w:rStyle w:val="Hyperlink"/>
          </w:rPr>
          <w:t xml:space="preserve">7</w:t>
        </w:r>
      </w:hyperlink>
      <w:r>
        <w:t xml:space="preserve">]</w:t>
      </w:r>
      <w:r>
        <w:t xml:space="preserve">. As a result, plague maintains its status as a disease that is of vital importance to current public health initiatives.</w:t>
      </w:r>
    </w:p>
    <w:p>
      <w:pPr>
        <w:pStyle w:val="BodyText"/>
      </w:pPr>
      <w:r>
        <w:t xml:space="preserve">This high priority disease status is unsurprising given that</w:t>
      </w:r>
      <w:r>
        <w:t xml:space="preserve"> </w:t>
      </w:r>
      <w:r>
        <w:rPr>
          <w:i/>
        </w:rPr>
        <w:t xml:space="preserve">Y. pestis</w:t>
      </w:r>
      <w:r>
        <w:t xml:space="preserve"> </w:t>
      </w:r>
      <w:r>
        <w:t xml:space="preserve">is a member of the Enterobacteriaceae family. This family includes enteric pathogens such as</w:t>
      </w:r>
      <w:r>
        <w:t xml:space="preserve"> </w:t>
      </w:r>
      <w:r>
        <w:rPr>
          <w:i/>
        </w:rPr>
        <w:t xml:space="preserve">Escherichia coli</w:t>
      </w:r>
      <w:r>
        <w:t xml:space="preserve"> </w:t>
      </w:r>
      <w:r>
        <w:t xml:space="preserve">and</w:t>
      </w:r>
      <w:r>
        <w:t xml:space="preserve"> </w:t>
      </w:r>
      <w:r>
        <w:rPr>
          <w:i/>
        </w:rPr>
        <w:t xml:space="preserve">Salmonella typhi</w:t>
      </w:r>
      <w:r>
        <w:t xml:space="preserve"> </w:t>
      </w:r>
      <w:r>
        <w:t xml:space="preserve">that are commonly transmitted by contaminated food and water. In comparison, the plague bacterium is unique among this family due to a striking difference in host habitat and transmission.</w:t>
      </w:r>
      <w:r>
        <w:t xml:space="preserve"> </w:t>
      </w:r>
      <w:r>
        <w:rPr>
          <w:i/>
        </w:rPr>
        <w:t xml:space="preserve">Y. pestis</w:t>
      </w:r>
      <w:r>
        <w:t xml:space="preserve"> </w:t>
      </w:r>
      <w:r>
        <w:t xml:space="preserve">commonly resides in the blood of its mammalian hosts and can be transmitted to new hosts through an infectious fleabite</w:t>
      </w:r>
      <w:r>
        <w:t xml:space="preserve"> </w:t>
      </w:r>
      <w:r>
        <w:t xml:space="preserve">[</w:t>
      </w:r>
      <w:hyperlink w:anchor="ref-kQFNGkNf">
        <w:r>
          <w:rPr>
            <w:rStyle w:val="Hyperlink"/>
          </w:rPr>
          <w:t xml:space="preserve">8</w:t>
        </w:r>
      </w:hyperlink>
      <w:r>
        <w:t xml:space="preserve">]</w:t>
      </w:r>
      <w:r>
        <w:t xml:space="preserve">. In addition to these tissues, the plague bacterium is also capable of colonizing parts of the mammalian immune system including the lymphatic and reticuloendothelial systems. The large diversity of media in which</w:t>
      </w:r>
      <w:r>
        <w:t xml:space="preserve"> </w:t>
      </w:r>
      <w:r>
        <w:rPr>
          <w:i/>
        </w:rPr>
        <w:t xml:space="preserve">Y. pestis</w:t>
      </w:r>
      <w:r>
        <w:t xml:space="preserve"> </w:t>
      </w:r>
      <w:r>
        <w:t xml:space="preserve">has adapted to colonize is particularly surprising given that it only recently (within the last 20,000 years) diverged as a clone of its parent species Yersinia pseudotuberculosis</w:t>
      </w:r>
      <w:r>
        <w:t xml:space="preserve"> </w:t>
      </w:r>
      <w:r>
        <w:t xml:space="preserve">[</w:t>
      </w:r>
      <w:hyperlink w:anchor="ref-TV8iDhk7">
        <w:r>
          <w:rPr>
            <w:rStyle w:val="Hyperlink"/>
          </w:rPr>
          <w:t xml:space="preserve">9</w:t>
        </w:r>
      </w:hyperlink>
      <w:r>
        <w:t xml:space="preserve">]</w:t>
      </w:r>
      <w:r>
        <w:t xml:space="preserve">.</w:t>
      </w:r>
    </w:p>
    <w:p>
      <w:pPr>
        <w:pStyle w:val="BodyText"/>
      </w:pPr>
      <w:r>
        <w:t xml:space="preserve">Despite a close genetic similarity between</w:t>
      </w:r>
      <w:r>
        <w:t xml:space="preserve"> </w:t>
      </w:r>
      <w:r>
        <w:rPr>
          <w:i/>
        </w:rPr>
        <w:t xml:space="preserve">Y. pestis</w:t>
      </w:r>
      <w:r>
        <w:t xml:space="preserve"> </w:t>
      </w:r>
      <w:r>
        <w:t xml:space="preserve">and</w:t>
      </w:r>
      <w:r>
        <w:t xml:space="preserve"> </w:t>
      </w:r>
      <w:r>
        <w:rPr>
          <w:i/>
        </w:rPr>
        <w:t xml:space="preserve">Y. pseudotuberculosis</w:t>
      </w:r>
      <w:r>
        <w:t xml:space="preserve">, in which they share 97% gene identity, they differ widely in their transmission and pathogenecity</w:t>
      </w:r>
      <w:r>
        <w:t xml:space="preserve"> </w:t>
      </w:r>
      <w:r>
        <w:t xml:space="preserve">[</w:t>
      </w:r>
      <w:hyperlink w:anchor="ref-187QsoYP3">
        <w:r>
          <w:rPr>
            <w:rStyle w:val="Hyperlink"/>
          </w:rPr>
          <w:t xml:space="preserve">10</w:t>
        </w:r>
      </w:hyperlink>
      <w:r>
        <w:t xml:space="preserve">]</w:t>
      </w:r>
      <w:r>
        <w:t xml:space="preserve">. Whereas</w:t>
      </w:r>
      <w:r>
        <w:t xml:space="preserve"> </w:t>
      </w:r>
      <w:r>
        <w:rPr>
          <w:i/>
        </w:rPr>
        <w:t xml:space="preserve">Y. pseudotuberculosis</w:t>
      </w:r>
      <w:r>
        <w:t xml:space="preserve"> </w:t>
      </w:r>
      <w:r>
        <w:t xml:space="preserve">causes gastrointestinal disease and is transmitted by the food-borne route,</w:t>
      </w:r>
      <w:r>
        <w:t xml:space="preserve"> </w:t>
      </w:r>
      <w:r>
        <w:rPr>
          <w:i/>
        </w:rPr>
        <w:t xml:space="preserve">Y. pestis</w:t>
      </w:r>
      <w:r>
        <w:t xml:space="preserve"> </w:t>
      </w:r>
      <w:r>
        <w:t xml:space="preserve">is primarily transmitted between mammalian hosts by fleas and causes septicemia, pneumonia, and lymphadenitis. Because of this apparent contradiction of genetic homogeneity and diverse phenotypes, an extensive body of research has formed to address how, when, and where, these epidemiological shifts occurred.</w:t>
      </w:r>
    </w:p>
    <w:p>
      <w:r>
        <w:pict>
          <v:rect style="width:0;height:1.5pt" o:hralign="center" o:hrstd="t" o:hr="t"/>
        </w:pict>
      </w:r>
    </w:p>
    <w:p>
      <w:pPr>
        <w:pStyle w:val="FirstParagraph"/>
      </w:pPr>
      <w:r>
        <w:rPr>
          <w:b/>
        </w:rPr>
        <w:t xml:space="preserve">TO BE DONE</w:t>
      </w:r>
      <w:r>
        <w:t xml:space="preserve">:</w:t>
      </w:r>
    </w:p>
    <w:p>
      <w:pPr>
        <w:numPr>
          <w:ilvl w:val="0"/>
          <w:numId w:val="1003"/>
        </w:numPr>
        <w:pStyle w:val="Compact"/>
      </w:pPr>
      <w:r>
        <w:t xml:space="preserve">Introduce the topics phylodynamics and phylogeography and what is known so far.</w:t>
      </w:r>
    </w:p>
    <w:p>
      <w:pPr>
        <w:numPr>
          <w:ilvl w:val="0"/>
          <w:numId w:val="1003"/>
        </w:numPr>
        <w:pStyle w:val="Compact"/>
      </w:pPr>
      <w:r>
        <w:t xml:space="preserve">Introduce the major problem(s) and our objective(s).</w:t>
      </w:r>
    </w:p>
    <w:p>
      <w:pPr>
        <w:pStyle w:val="Heading3"/>
      </w:pPr>
      <w:bookmarkStart w:id="33" w:name="objectives"/>
      <w:r>
        <w:t xml:space="preserve">Objectives</w:t>
      </w:r>
      <w:bookmarkEnd w:id="33"/>
    </w:p>
    <w:p>
      <w:pPr>
        <w:numPr>
          <w:ilvl w:val="0"/>
          <w:numId w:val="1004"/>
        </w:numPr>
        <w:pStyle w:val="Compact"/>
      </w:pPr>
      <w:r>
        <w:t xml:space="preserve">Curate and critique publicly available Y. pestis genomes. Discuss how sampling bias drives our current understanding of plague.</w:t>
      </w:r>
    </w:p>
    <w:p>
      <w:pPr>
        <w:numPr>
          <w:ilvl w:val="0"/>
          <w:numId w:val="1004"/>
        </w:numPr>
        <w:pStyle w:val="Compact"/>
      </w:pPr>
      <w:r>
        <w:t xml:space="preserve">To propose a nuanced phylodynamics model.</w:t>
      </w:r>
    </w:p>
    <w:p>
      <w:pPr>
        <w:numPr>
          <w:ilvl w:val="0"/>
          <w:numId w:val="1004"/>
        </w:numPr>
        <w:pStyle w:val="Compact"/>
      </w:pPr>
      <w:r>
        <w:t xml:space="preserve">To critique interpretations drawn from phylogeographic approaches?</w:t>
      </w:r>
    </w:p>
    <w:p>
      <w:pPr>
        <w:pStyle w:val="Heading2"/>
      </w:pPr>
      <w:bookmarkStart w:id="34" w:name="materials-and-methods"/>
      <w:r>
        <w:t xml:space="preserve">Materials and Methods</w:t>
      </w:r>
      <w:bookmarkEnd w:id="34"/>
    </w:p>
    <w:p>
      <w:pPr>
        <w:pStyle w:val="Heading3"/>
      </w:pPr>
      <w:bookmarkStart w:id="35" w:name="workflow-overview"/>
      <w:r>
        <w:t xml:space="preserve">Workflow Overview</w:t>
      </w:r>
      <w:bookmarkEnd w:id="35"/>
    </w:p>
    <w:bookmarkStart w:id="0" w:name="fig:fig_workflow"/>
    <w:p>
      <w:pPr>
        <w:pStyle w:val="CaptionedFigure"/>
      </w:pPr>
      <w:bookmarkStart w:id="37" w:name="fig:fig_workflow"/>
      <w:r>
        <w:drawing>
          <wp:inline>
            <wp:extent cx="5943600" cy="6148491"/>
            <wp:effectExtent b="0" l="0" r="0" t="0"/>
            <wp:docPr descr="Figure 1: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36"/>
                    <a:stretch>
                      <a:fillRect/>
                    </a:stretch>
                  </pic:blipFill>
                  <pic:spPr bwMode="auto">
                    <a:xfrm>
                      <a:off x="0" y="0"/>
                      <a:ext cx="5943600" cy="6148491"/>
                    </a:xfrm>
                    <a:prstGeom prst="rect">
                      <a:avLst/>
                    </a:prstGeom>
                    <a:noFill/>
                    <a:ln w="9525">
                      <a:noFill/>
                      <a:headEnd/>
                      <a:tailEnd/>
                    </a:ln>
                  </pic:spPr>
                </pic:pic>
              </a:graphicData>
            </a:graphic>
          </wp:inline>
        </w:drawing>
      </w:r>
      <w:bookmarkEnd w:id="37"/>
    </w:p>
    <w:p>
      <w:pPr>
        <w:pStyle w:val="ImageCaption"/>
      </w:pPr>
      <w:r>
        <w:t xml:space="preserve">Figure 1: Computational methods workflow.</w:t>
      </w:r>
    </w:p>
    <w:bookmarkEnd w:id="0"/>
    <w:p>
      <w:pPr>
        <w:pStyle w:val="Heading3"/>
      </w:pPr>
      <w:bookmarkStart w:id="38" w:name="data-collection"/>
      <w:r>
        <w:t xml:space="preserve">Data Collection</w:t>
      </w:r>
      <w:bookmarkEnd w:id="38"/>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11</w:t>
        </w:r>
      </w:hyperlink>
      <w:r>
        <w:t xml:space="preserve">]</w:t>
      </w:r>
      <w:r>
        <w:t xml:space="preserve">. 1657 projects were identified and comprised three genomic types:</w:t>
      </w:r>
    </w:p>
    <w:p>
      <w:pPr>
        <w:numPr>
          <w:ilvl w:val="0"/>
          <w:numId w:val="1005"/>
        </w:numPr>
        <w:pStyle w:val="Compact"/>
      </w:pPr>
      <w:r>
        <w:t xml:space="preserve">586 modern assembled</w:t>
      </w:r>
    </w:p>
    <w:p>
      <w:pPr>
        <w:numPr>
          <w:ilvl w:val="0"/>
          <w:numId w:val="1005"/>
        </w:numPr>
        <w:pStyle w:val="Compact"/>
      </w:pPr>
      <w:r>
        <w:t xml:space="preserve">184 ancient unassembled</w:t>
      </w:r>
    </w:p>
    <w:p>
      <w:pPr>
        <w:numPr>
          <w:ilvl w:val="0"/>
          <w:numId w:val="1005"/>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 Future work will investigate computationally efficient methods for integrating more diverse datasets.</w:t>
      </w:r>
    </w:p>
    <w:p>
      <w:pPr>
        <w:pStyle w:val="BodyText"/>
      </w:pPr>
      <w:r>
        <w:t xml:space="preserve">Collection location, collection date, and collection host metadata were curated by cross-referencing the original publications. Collection location was transformed to latitude and longitude coordinates using GeoPy and the Nominatim API for OpenStreetMap</w:t>
      </w:r>
      <w:r>
        <w:t xml:space="preserve"> </w:t>
      </w:r>
      <w:r>
        <w:t xml:space="preserve">[</w:t>
      </w:r>
      <w:hyperlink w:anchor="ref-hxWSqZgm">
        <w:r>
          <w:rPr>
            <w:rStyle w:val="Hyperlink"/>
          </w:rPr>
          <w:t xml:space="preserve">12</w:t>
        </w:r>
      </w:hyperlink>
      <w:r>
        <w:t xml:space="preserve">,</w:t>
      </w:r>
      <w:hyperlink w:anchor="ref-M15a78x5">
        <w:r>
          <w:rPr>
            <w:rStyle w:val="Hyperlink"/>
          </w:rPr>
          <w:t xml:space="preserve">13</w:t>
        </w:r>
      </w:hyperlink>
      <w:r>
        <w:t xml:space="preserve">,</w:t>
      </w:r>
      <w:hyperlink w:anchor="ref-5rCiNisz">
        <w:r>
          <w:rPr>
            <w:rStyle w:val="Hyperlink"/>
          </w:rPr>
          <w:t xml:space="preserve">14</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as</w:t>
      </w:r>
      <w:r>
        <w:t xml:space="preserve"> </w:t>
      </w:r>
      <w:r>
        <w:rPr>
          <w:i/>
        </w:rPr>
        <w:t xml:space="preserve">Human</w:t>
      </w:r>
      <w:r>
        <w:t xml:space="preserve">,</w:t>
      </w:r>
      <w:r>
        <w:t xml:space="preserve"> </w:t>
      </w:r>
      <w:r>
        <w:rPr>
          <w:i/>
        </w:rPr>
        <w:t xml:space="preserve">Non-Human</w:t>
      </w:r>
      <w:r>
        <w:t xml:space="preserve">, or</w:t>
      </w:r>
      <w:r>
        <w:t xml:space="preserve"> </w:t>
      </w:r>
      <w:r>
        <w:rPr>
          <w:i/>
        </w:rPr>
        <w:t xml:space="preserve">Not Available</w:t>
      </w:r>
      <w:r>
        <w:t xml:space="preserve">, given the inability to differentiate non-human mammalian hosts.</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39" w:name="alignment"/>
      <w:r>
        <w:t xml:space="preserve">Alignment</w:t>
      </w:r>
      <w:bookmarkEnd w:id="39"/>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15</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16</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17</w:t>
        </w:r>
      </w:hyperlink>
      <w:r>
        <w:t xml:space="preserve">]</w:t>
      </w:r>
      <w:r>
        <w:t xml:space="preserve">. Ancient genomes were removed if the number of sites covered at a minimum depth of 3X was less than 70% of the reference genome. It is a typical approach to relaxed coverage thresholds for ancient genomes relative to modern genomes (CITE). This threshold is commonly used, and aims to strike a balance between variant confidence and sample representation (CITE).</w:t>
      </w:r>
    </w:p>
    <w:p>
      <w:pPr>
        <w:pStyle w:val="BodyText"/>
      </w:pPr>
      <w:r>
        <w:t xml:space="preserve">A multiple sequence alignment was constructed using the Snippy Core module of the Snippy pipeline. The output alignment was filtered to only include chromosomal variants and to exclude sites that had more than 5% missing data.</w:t>
      </w:r>
    </w:p>
    <w:p>
      <w:pPr>
        <w:pStyle w:val="Heading3"/>
      </w:pPr>
      <w:bookmarkStart w:id="40" w:name="modified-datasets"/>
      <w:r>
        <w:t xml:space="preserve">Modified Datasets</w:t>
      </w:r>
      <w:bookmarkEnd w:id="40"/>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will be referred to as the</w:t>
      </w:r>
      <w:r>
        <w:t xml:space="preserve"> </w:t>
      </w:r>
      <w:r>
        <w:rPr>
          <w:i/>
        </w:rPr>
        <w:t xml:space="preserve">Clade</w:t>
      </w:r>
      <w:r>
        <w:t xml:space="preserve"> </w:t>
      </w:r>
      <w:r>
        <w:t xml:space="preserve">dataset. Clade and subclade labeling was derived from the five-branch population structure accompanied by a biovar abbreviation (</w:t>
      </w:r>
      <w:r>
        <w:t xml:space="preserve">[</w:t>
      </w:r>
      <w:hyperlink w:anchor="ref-ONhNS9aO">
        <w:r>
          <w:rPr>
            <w:rStyle w:val="Hyperlink"/>
          </w:rPr>
          <w:t xml:space="preserve">18</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 In total, 12 clades were considered and are described in Table</w:t>
      </w:r>
      <w:r>
        <w:t xml:space="preserve"> </w:t>
      </w:r>
      <w:hyperlink w:anchor="tbl:table_temporal_signal">
        <w:r>
          <w:rPr>
            <w:rStyle w:val="Hyperlink"/>
          </w:rPr>
          <w:t xml:space="preserve">1</w:t>
        </w:r>
      </w:hyperlink>
      <w:r>
        <w:t xml:space="preserve">.</w:t>
      </w:r>
    </w:p>
    <w:p>
      <w:pPr>
        <w:pStyle w:val="BodyText"/>
      </w:pPr>
      <w:r>
        <w:t xml:space="preserve">To improve the performance and convergence of Bayesian analysis, a subsampled dataset was constructed and will be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200 representative samples.</w:t>
      </w:r>
    </w:p>
    <w:p>
      <w:pPr>
        <w:pStyle w:val="Heading3"/>
      </w:pPr>
      <w:bookmarkStart w:id="41" w:name="phylogenetics"/>
      <w:r>
        <w:t xml:space="preserve">Phylogenetics</w:t>
      </w:r>
      <w:bookmarkEnd w:id="41"/>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19</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20</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21</w:t>
        </w:r>
      </w:hyperlink>
      <w:r>
        <w:t xml:space="preserve">]</w:t>
      </w:r>
      <w:r>
        <w:t xml:space="preserve">.</w:t>
      </w:r>
    </w:p>
    <w:p>
      <w:pPr>
        <w:pStyle w:val="Heading3"/>
      </w:pPr>
      <w:bookmarkStart w:id="42" w:name="phylodynamics"/>
      <w:r>
        <w:t xml:space="preserve">Phylodynamics</w:t>
      </w:r>
      <w:bookmarkEnd w:id="42"/>
    </w:p>
    <w:p>
      <w:pPr>
        <w:pStyle w:val="Heading4"/>
      </w:pPr>
      <w:bookmarkStart w:id="43" w:name="temporal-signal"/>
      <w:r>
        <w:t xml:space="preserve">Temporal Signal</w:t>
      </w:r>
      <w:bookmarkEnd w:id="43"/>
    </w:p>
    <w:p>
      <w:pPr>
        <w:pStyle w:val="FirstParagraph"/>
      </w:pPr>
      <w:r>
        <w:t xml:space="preserve">To explore the degree of temporal signal present in the data, two categories of tests were performed . The first was a root-to-tip (RTT) regression on collection date. This linear model is a simple approach to explore whether the data follows a strict clock model. Uncertainty in the model parameters, namely the mean substitution rate and tMRCA, were estimated using 1000 iterations of the non-parametric bootstrap on the residuals.</w:t>
      </w:r>
    </w:p>
    <w:p>
      <w:pPr>
        <w:pStyle w:val="BodyText"/>
      </w:pPr>
      <w:r>
        <w:t xml:space="preserve">While RTT is a practical approach, it has two main limitations: 1) No rate variation is accounted for, and 2) The data are not independent observations due to shared internal branch lengths. Therefore to complement this approach, a bayesian evaluation of temporal signal (BETS) was performed.</w:t>
      </w:r>
    </w:p>
    <w:p>
      <w:pPr>
        <w:pStyle w:val="Heading4"/>
      </w:pPr>
      <w:bookmarkStart w:id="44" w:name="rate-variation"/>
      <w:r>
        <w:t xml:space="preserve">Rate Variation</w:t>
      </w:r>
      <w:bookmarkEnd w:id="44"/>
    </w:p>
    <w:p>
      <w:pPr>
        <w:pStyle w:val="FirstParagraph"/>
      </w:pPr>
      <w:r>
        <w:t xml:space="preserve">A bayesian timetree was estimated using … as implemented in BEAST.</w:t>
      </w:r>
    </w:p>
    <w:p>
      <w:pPr>
        <w:pStyle w:val="Heading4"/>
      </w:pPr>
      <w:bookmarkStart w:id="45" w:name="time-tree"/>
      <w:r>
        <w:t xml:space="preserve">Time Tree</w:t>
      </w:r>
      <w:bookmarkEnd w:id="45"/>
    </w:p>
    <w:p>
      <w:pPr>
        <w:pStyle w:val="FirstParagraph"/>
      </w:pPr>
      <w:r>
        <w:t xml:space="preserve">A maximum-likelihood timetree was estimated using a least-squares approach as implemented in LSD2</w:t>
      </w:r>
      <w:r>
        <w:t xml:space="preserve"> </w:t>
      </w:r>
      <w:r>
        <w:t xml:space="preserve">[</w:t>
      </w:r>
      <w:hyperlink w:anchor="ref-VomZnwKw">
        <w:r>
          <w:rPr>
            <w:rStyle w:val="Hyperlink"/>
          </w:rPr>
          <w:t xml:space="preserve">22</w:t>
        </w:r>
      </w:hyperlink>
      <w:r>
        <w:t xml:space="preserve">]</w:t>
      </w:r>
      <w:r>
        <w:t xml:space="preserve">. Rate variation was modeled using a lognormal relaxed clock with default parameters for the mean (1.0) and the standard deviation (0.2). The outgroup</w:t>
      </w:r>
      <w:r>
        <w:t xml:space="preserve"> </w:t>
      </w:r>
      <w:r>
        <w:rPr>
          <w:i/>
        </w:rPr>
        <w:t xml:space="preserve">Y. pseudotuberculosis</w:t>
      </w:r>
      <w:r>
        <w:t xml:space="preserve"> </w:t>
      </w:r>
      <w:r>
        <w:t xml:space="preserve">was used to root the tree and then subsequently removed.</w:t>
      </w:r>
    </w:p>
    <w:p>
      <w:pPr>
        <w:pStyle w:val="BlockText"/>
      </w:pPr>
      <w:r>
        <w:t xml:space="preserve">Note: I’m still pondering the best choice of parameters for the LSD2 relaxed clock.</w:t>
      </w:r>
    </w:p>
    <w:p>
      <w:pPr>
        <w:pStyle w:val="Heading3"/>
      </w:pPr>
      <w:bookmarkStart w:id="46" w:name="phylogeography"/>
      <w:r>
        <w:t xml:space="preserve">Phylogeography</w:t>
      </w:r>
      <w:bookmarkEnd w:id="46"/>
    </w:p>
    <w:p>
      <w:pPr>
        <w:pStyle w:val="FirstParagraph"/>
      </w:pPr>
      <w:r>
        <w:t xml:space="preserve">Geographic location was modeled as a discrete state with transitions following a GTR mugration model as implemented in TreeTime</w:t>
      </w:r>
      <w:r>
        <w:t xml:space="preserve"> </w:t>
      </w:r>
      <w:r>
        <w:t xml:space="preserve">[</w:t>
      </w:r>
      <w:hyperlink w:anchor="ref-11JaQggrG">
        <w:r>
          <w:rPr>
            <w:rStyle w:val="Hyperlink"/>
          </w:rPr>
          <w:t xml:space="preserve">23</w:t>
        </w:r>
      </w:hyperlink>
      <w:r>
        <w:t xml:space="preserve">]</w:t>
      </w:r>
      <w:r>
        <w:t xml:space="preserve">.</w:t>
      </w:r>
    </w:p>
    <w:p>
      <w:pPr>
        <w:pStyle w:val="Heading2"/>
      </w:pPr>
      <w:bookmarkStart w:id="47" w:name="results"/>
      <w:r>
        <w:t xml:space="preserve">Results</w:t>
      </w:r>
      <w:bookmarkEnd w:id="47"/>
    </w:p>
    <w:p>
      <w:pPr>
        <w:pStyle w:val="Heading3"/>
      </w:pPr>
      <w:bookmarkStart w:id="48" w:name="spatiotemporal-distribution"/>
      <w:r>
        <w:t xml:space="preserve">Spatiotemporal Distribution</w:t>
      </w:r>
      <w:bookmarkEnd w:id="48"/>
    </w:p>
    <w:bookmarkStart w:id="0" w:name="fig:fig_map_ibd_timeline"/>
    <w:p>
      <w:pPr>
        <w:pStyle w:val="CaptionedFigure"/>
      </w:pPr>
      <w:bookmarkStart w:id="50" w:name="fig:fig_map_ibd_timeline"/>
      <w:r>
        <w:drawing>
          <wp:inline>
            <wp:extent cx="5943600" cy="6548280"/>
            <wp:effectExtent b="0" l="0" r="0" t="0"/>
            <wp:docPr descr="Figure 2: Spatiotemporal distribution of Y. pestis genomes. A: Geographic distribution, B: Isolation by distance as a function of geographic distance and genetic distance, C: Temporal distribution." title="" id="1" name="Picture"/>
            <a:graphic>
              <a:graphicData uri="http://schemas.openxmlformats.org/drawingml/2006/picture">
                <pic:pic>
                  <pic:nvPicPr>
                    <pic:cNvPr descr="https://rawcdn.githack.com/ktmeaton/plague-phylogeography-projects/138ad20/main/iqtree/all/chromosome/full/filter5/filter-taxa/map_ibd_timeline.png" id="0" name="Picture"/>
                    <pic:cNvPicPr>
                      <a:picLocks noChangeArrowheads="1" noChangeAspect="1"/>
                    </pic:cNvPicPr>
                  </pic:nvPicPr>
                  <pic:blipFill>
                    <a:blip r:embed="rId49"/>
                    <a:stretch>
                      <a:fillRect/>
                    </a:stretch>
                  </pic:blipFill>
                  <pic:spPr bwMode="auto">
                    <a:xfrm>
                      <a:off x="0" y="0"/>
                      <a:ext cx="5943600" cy="6548280"/>
                    </a:xfrm>
                    <a:prstGeom prst="rect">
                      <a:avLst/>
                    </a:prstGeom>
                    <a:noFill/>
                    <a:ln w="9525">
                      <a:noFill/>
                      <a:headEnd/>
                      <a:tailEnd/>
                    </a:ln>
                  </pic:spPr>
                </pic:pic>
              </a:graphicData>
            </a:graphic>
          </wp:inline>
        </w:drawing>
      </w:r>
      <w:bookmarkEnd w:id="50"/>
    </w:p>
    <w:p>
      <w:pPr>
        <w:pStyle w:val="ImageCaption"/>
      </w:pPr>
      <w:r>
        <w:t xml:space="preserve">Figure 2: Spatiotemporal distribution of</w:t>
      </w:r>
      <w:r>
        <w:t xml:space="preserve"> </w:t>
      </w:r>
      <w:r>
        <w:rPr>
          <w:i/>
        </w:rPr>
        <w:t xml:space="preserve">Y. pestis</w:t>
      </w:r>
      <w:r>
        <w:t xml:space="preserve"> </w:t>
      </w:r>
      <w:r>
        <w:t xml:space="preserve">genomes.</w:t>
      </w:r>
      <w:r>
        <w:t xml:space="preserve"> </w:t>
      </w:r>
      <w:r>
        <w:rPr>
          <w:b/>
        </w:rPr>
        <w:t xml:space="preserve">A</w:t>
      </w:r>
      <w:r>
        <w:t xml:space="preserve">: Geographic distribution,</w:t>
      </w:r>
      <w:r>
        <w:t xml:space="preserve"> </w:t>
      </w:r>
      <w:r>
        <w:rPr>
          <w:b/>
        </w:rPr>
        <w:t xml:space="preserve">B</w:t>
      </w:r>
      <w:r>
        <w:t xml:space="preserve">: Isolation by distance as a function of geographic distance and genetic distance,</w:t>
      </w:r>
      <w:r>
        <w:t xml:space="preserve"> </w:t>
      </w:r>
      <w:r>
        <w:rPr>
          <w:b/>
        </w:rPr>
        <w:t xml:space="preserve">C</w:t>
      </w:r>
      <w:r>
        <w:t xml:space="preserve">: Temporal distribution.</w:t>
      </w:r>
    </w:p>
    <w:bookmarkEnd w:id="0"/>
    <w:p>
      <w:pPr>
        <w:pStyle w:val="BodyText"/>
      </w:pPr>
      <w:r>
        <w:t xml:space="preserve">After careful curation, 600 genomes remained, with 539 (90%) being modern in origin and 61 (10%) being ancient. The spatiotemporal distribution of samples is shown in Figure</w:t>
      </w:r>
      <w:r>
        <w:t xml:space="preserve"> </w:t>
      </w:r>
      <w:hyperlink w:anchor="fig:fig_map_ibd_timeline">
        <w:r>
          <w:rPr>
            <w:rStyle w:val="Hyperlink"/>
          </w:rPr>
          <w:t xml:space="preserve">2</w:t>
        </w:r>
      </w:hyperlink>
      <w:r>
        <w:t xml:space="preserve">. Three important findings can be drawn from a descriptive summary of the spatiotemporal distribution.</w:t>
      </w:r>
    </w:p>
    <w:p>
      <w:pPr>
        <w:pStyle w:val="BodyText"/>
      </w:pPr>
      <w:r>
        <w:t xml:space="preserve">The first finding is that the geographic sampling strategy of</w:t>
      </w:r>
      <w:r>
        <w:t xml:space="preserve"> </w:t>
      </w:r>
      <w:r>
        <w:rPr>
          <w:i/>
        </w:rPr>
        <w:t xml:space="preserve">Y. pestis</w:t>
      </w:r>
      <w:r>
        <w:t xml:space="preserve"> </w:t>
      </w:r>
      <w:r>
        <w:t xml:space="preserve">genomes (Figure</w:t>
      </w:r>
      <w:r>
        <w:t xml:space="preserve"> </w:t>
      </w:r>
      <w:hyperlink w:anchor="fig:fig_map_ibd_timeline">
        <w:r>
          <w:rPr>
            <w:rStyle w:val="Hyperlink"/>
          </w:rPr>
          <w:t xml:space="preserve">2</w:t>
        </w:r>
      </w:hyperlink>
      <w:r>
        <w:t xml:space="preserve"> </w:t>
      </w:r>
      <w:r>
        <w:t xml:space="preserve">.A) does not reflect the known distribution of modern plague</w:t>
      </w:r>
      <w:r>
        <w:t xml:space="preserve"> </w:t>
      </w:r>
      <w:r>
        <w:t xml:space="preserve">[</w:t>
      </w:r>
      <w:hyperlink w:anchor="ref-pjjiQi2H">
        <w:r>
          <w:rPr>
            <w:rStyle w:val="Hyperlink"/>
          </w:rPr>
          <w:t xml:space="preserve">24</w:t>
        </w:r>
      </w:hyperlink>
      <w:r>
        <w:t xml:space="preserve">]</w:t>
      </w:r>
      <w:r>
        <w:t xml:space="preserve">. Nor does it adequately characterize the most heavily affected regions of the world, namely Madagascar and the Democratic Republic of the Congo</w:t>
      </w:r>
      <w:r>
        <w:t xml:space="preserve"> </w:t>
      </w:r>
      <w:r>
        <w:t xml:space="preserve">[</w:t>
      </w:r>
      <w:hyperlink w:anchor="ref-h4WAqbKy">
        <w:r>
          <w:rPr>
            <w:rStyle w:val="Hyperlink"/>
          </w:rPr>
          <w:t xml:space="preserve">5</w:t>
        </w:r>
      </w:hyperlink>
      <w:r>
        <w:t xml:space="preserve">]</w:t>
      </w:r>
      <w:r>
        <w:t xml:space="preserve">. The over-sampling of East Asia has been previously described by</w:t>
      </w:r>
      <w:r>
        <w:t xml:space="preserve"> </w:t>
      </w:r>
      <w:hyperlink w:anchor="ref-39QXTupk">
        <w:r>
          <w:rPr>
            <w:rStyle w:val="Hyperlink"/>
          </w:rPr>
          <w:t xml:space="preserve">25</w:t>
        </w:r>
      </w:hyperlink>
      <w:r>
        <w:t xml:space="preserve"> </w:t>
      </w:r>
      <w:r>
        <w:t xml:space="preserve">and considerably drives the hypothesis that</w:t>
      </w:r>
      <w:r>
        <w:t xml:space="preserve"> </w:t>
      </w:r>
      <w:r>
        <w:rPr>
          <w:i/>
        </w:rPr>
        <w:t xml:space="preserve">Y. pestis</w:t>
      </w:r>
      <w:r>
        <w:t xml:space="preserve"> </w:t>
      </w:r>
      <w:r>
        <w:t xml:space="preserve">originated in China</w:t>
      </w:r>
      <w:r>
        <w:t xml:space="preserve"> </w:t>
      </w:r>
      <w:r>
        <w:t xml:space="preserve">[</w:t>
      </w:r>
      <w:hyperlink w:anchor="ref-ONhNS9aO">
        <w:r>
          <w:rPr>
            <w:rStyle w:val="Hyperlink"/>
          </w:rPr>
          <w:t xml:space="preserve">18</w:t>
        </w:r>
      </w:hyperlink>
      <w:r>
        <w:t xml:space="preserve">,</w:t>
      </w:r>
      <w:hyperlink w:anchor="ref-Y4CIJOZW">
        <w:r>
          <w:rPr>
            <w:rStyle w:val="Hyperlink"/>
          </w:rPr>
          <w:t xml:space="preserve">26</w:t>
        </w:r>
      </w:hyperlink>
      <w:r>
        <w:t xml:space="preserve">]</w:t>
      </w:r>
      <w:r>
        <w:t xml:space="preserve">. This once established hypothesis is now in contention, as the most basal strains of</w:t>
      </w:r>
      <w:r>
        <w:t xml:space="preserve"> </w:t>
      </w:r>
      <w:r>
        <w:rPr>
          <w:i/>
        </w:rPr>
        <w:t xml:space="preserve">Y. pestis</w:t>
      </w:r>
      <w:r>
        <w:t xml:space="preserve"> </w:t>
      </w:r>
      <w:r>
        <w:t xml:space="preserve">(Clades 0.PRE and 0.PE) have been isolated from all across Eurasia.</w:t>
      </w:r>
    </w:p>
    <w:p>
      <w:pPr>
        <w:pStyle w:val="BodyText"/>
      </w:pPr>
      <w:r>
        <w:t xml:space="preserve">The second observation is that the temporal sampling strategy of genomic data (Figure</w:t>
      </w:r>
      <w:r>
        <w:t xml:space="preserve"> </w:t>
      </w:r>
      <w:hyperlink w:anchor="fig:fig_map_ibd_timeline">
        <w:r>
          <w:rPr>
            <w:rStyle w:val="Hyperlink"/>
          </w:rPr>
          <w:t xml:space="preserve">2</w:t>
        </w:r>
      </w:hyperlink>
      <w:r>
        <w:t xml:space="preserve"> </w:t>
      </w:r>
      <w:r>
        <w:t xml:space="preserve">.C) reflects greater interest in</w:t>
      </w:r>
      <w:r>
        <w:t xml:space="preserve"> </w:t>
      </w:r>
      <w:r>
        <w:rPr>
          <w:i/>
        </w:rPr>
        <w:t xml:space="preserve">Y. pestis</w:t>
      </w:r>
      <w:r>
        <w:t xml:space="preserve"> </w:t>
      </w:r>
      <w:r>
        <w:t xml:space="preserve">as a historical pathogen, rather than a public health threat to modern humans. One example of this is that the Medieval Plague in Western Europe (Clade 1.PRE) has more representative samples than all of the African continent (Clade 1.ANT). Sequencing initiatives are greatly needed that shift the balance away from Eurocentrism and encompass a greater diversity of affected populations.</w:t>
      </w:r>
    </w:p>
    <w:p>
      <w:pPr>
        <w:pStyle w:val="BodyText"/>
      </w:pPr>
      <w:r>
        <w:t xml:space="preserve">The final takeaway is a highly complex pattern of geographic clustering or lack-thereof (Figure</w:t>
      </w:r>
      <w:r>
        <w:t xml:space="preserve"> </w:t>
      </w:r>
      <w:hyperlink w:anchor="fig:fig_map_ibd_timeline">
        <w:r>
          <w:rPr>
            <w:rStyle w:val="Hyperlink"/>
          </w:rPr>
          <w:t xml:space="preserve">2</w:t>
        </w:r>
      </w:hyperlink>
      <w:r>
        <w:t xml:space="preserve"> </w:t>
      </w:r>
      <w:r>
        <w:t xml:space="preserve">.B). Many regions have been colonized by diverse strains of</w:t>
      </w:r>
      <w:r>
        <w:t xml:space="preserve"> </w:t>
      </w:r>
      <w:r>
        <w:rPr>
          <w:i/>
        </w:rPr>
        <w:t xml:space="preserve">Y. pestis</w:t>
      </w:r>
      <w:r>
        <w:t xml:space="preserve">. This diversity can be contemporaneous, such as endemic foci in the Caucausus and Western China (Clade 0.PE). Alternatively, this diversity may occur over multiple centuries through distinct re-introductions and extinctions, as seen in the historical epidemics of Europe (Clade 1.PRE). In these examples, a relatively large amount of genetic diversity appears in a small geographic range. In contrast, regions such as the Americas have been colonized by a single strain of</w:t>
      </w:r>
      <w:r>
        <w:t xml:space="preserve"> </w:t>
      </w:r>
      <w:r>
        <w:rPr>
          <w:i/>
        </w:rPr>
        <w:t xml:space="preserve">Y. pestis</w:t>
      </w:r>
      <w:r>
        <w:t xml:space="preserve"> </w:t>
      </w:r>
      <w:r>
        <w:t xml:space="preserve">(Clade 1.ORI) and shows a relatively small amount of genetic diversity over a tremendously large geographic range.</w:t>
      </w:r>
    </w:p>
    <w:p>
      <w:pPr>
        <w:pStyle w:val="BodyText"/>
      </w:pPr>
      <w:r>
        <w:t xml:space="preserve">Taken together, these findings should be taken as a cautionary warning. Given the biases documented here, extrapolating the data runs the risk of reconstructing the</w:t>
      </w:r>
      <w:r>
        <w:t xml:space="preserve"> </w:t>
      </w:r>
      <w:r>
        <w:rPr>
          <w:i/>
        </w:rPr>
        <w:t xml:space="preserve">sampling history</w:t>
      </w:r>
      <w:r>
        <w:t xml:space="preserve"> </w:t>
      </w:r>
      <w:r>
        <w:t xml:space="preserve">of plague researchers, rather than the</w:t>
      </w:r>
      <w:r>
        <w:t xml:space="preserve"> </w:t>
      </w:r>
      <w:r>
        <w:rPr>
          <w:i/>
        </w:rPr>
        <w:t xml:space="preserve">natural history</w:t>
      </w:r>
      <w:r>
        <w:t xml:space="preserve"> </w:t>
      </w:r>
      <w:r>
        <w:t xml:space="preserve">of the disease. This is particularly relevant for analyses that assume an absence of evidence is evidence of absence, such as in phylogeographic reconstruction.</w:t>
      </w:r>
    </w:p>
    <w:p>
      <w:pPr>
        <w:pStyle w:val="Heading3"/>
      </w:pPr>
      <w:bookmarkStart w:id="51" w:name="phylogenetics-1"/>
      <w:r>
        <w:t xml:space="preserve">Phylogenetics</w:t>
      </w:r>
      <w:bookmarkEnd w:id="51"/>
    </w:p>
    <w:bookmarkStart w:id="0" w:name="fig:fig_divtree_all"/>
    <w:p>
      <w:pPr>
        <w:pStyle w:val="CaptionedFigure"/>
      </w:pPr>
      <w:bookmarkStart w:id="53" w:name="fig:fig_divtree_all"/>
      <w:r>
        <w:drawing>
          <wp:inline>
            <wp:extent cx="5943600" cy="5431531"/>
            <wp:effectExtent b="0" l="0" r="0" t="0"/>
            <wp:docPr descr="Figure 3: Y. pestis maximum-likelihood phylogeny." title="" id="1" name="Picture"/>
            <a:graphic>
              <a:graphicData uri="http://schemas.openxmlformats.org/drawingml/2006/picture">
                <pic:pic>
                  <pic:nvPicPr>
                    <pic:cNvPr descr="https://rawcdn.githack.com/ktmeaton/plague-phylogeography-projects/8bc8a9e/main/auspice/all/chromosome/full/filter5/divtree_compare.png" id="0" name="Picture"/>
                    <pic:cNvPicPr>
                      <a:picLocks noChangeArrowheads="1" noChangeAspect="1"/>
                    </pic:cNvPicPr>
                  </pic:nvPicPr>
                  <pic:blipFill>
                    <a:blip r:embed="rId52"/>
                    <a:stretch>
                      <a:fillRect/>
                    </a:stretch>
                  </pic:blipFill>
                  <pic:spPr bwMode="auto">
                    <a:xfrm>
                      <a:off x="0" y="0"/>
                      <a:ext cx="5943600" cy="5431531"/>
                    </a:xfrm>
                    <a:prstGeom prst="rect">
                      <a:avLst/>
                    </a:prstGeom>
                    <a:noFill/>
                    <a:ln w="9525">
                      <a:noFill/>
                      <a:headEnd/>
                      <a:tailEnd/>
                    </a:ln>
                  </pic:spPr>
                </pic:pic>
              </a:graphicData>
            </a:graphic>
          </wp:inline>
        </w:drawing>
      </w:r>
      <w:bookmarkEnd w:id="53"/>
    </w:p>
    <w:p>
      <w:pPr>
        <w:pStyle w:val="ImageCaption"/>
      </w:pPr>
      <w:r>
        <w:t xml:space="preserve">Figure 3:</w:t>
      </w:r>
      <w:r>
        <w:t xml:space="preserve"> </w:t>
      </w:r>
      <w:r>
        <w:rPr>
          <w:i/>
        </w:rPr>
        <w:t xml:space="preserve">Y. pestis</w:t>
      </w:r>
      <w:r>
        <w:t xml:space="preserve"> </w:t>
      </w:r>
      <w:r>
        <w:t xml:space="preserve">maximum-likelihood phylogeny.</w:t>
      </w:r>
    </w:p>
    <w:bookmarkEnd w:id="0"/>
    <w:p>
      <w:pPr>
        <w:pStyle w:val="BodyText"/>
      </w:pPr>
      <w:r>
        <w:t xml:space="preserve">What can we learn from the maximum-likelihood phylogeny (Figure</w:t>
      </w:r>
      <w:r>
        <w:t xml:space="preserve"> </w:t>
      </w:r>
      <w:hyperlink w:anchor="fig:fig_divtree_all">
        <w:r>
          <w:rPr>
            <w:rStyle w:val="Hyperlink"/>
          </w:rPr>
          <w:t xml:space="preserve">3</w:t>
        </w:r>
      </w:hyperlink>
      <w:r>
        <w:t xml:space="preserve">)?</w:t>
      </w:r>
    </w:p>
    <w:p>
      <w:pPr>
        <w:numPr>
          <w:ilvl w:val="0"/>
          <w:numId w:val="1006"/>
        </w:numPr>
        <w:pStyle w:val="Compact"/>
      </w:pPr>
      <w:r>
        <w:rPr>
          <w:b/>
        </w:rPr>
        <w:t xml:space="preserve">Problems of the Three Pandemic Structure</w:t>
      </w:r>
      <w:r>
        <w:t xml:space="preserve">: There are three historically documented pandemics of plague but…</w:t>
      </w:r>
    </w:p>
    <w:p>
      <w:pPr>
        <w:numPr>
          <w:ilvl w:val="0"/>
          <w:numId w:val="1006"/>
        </w:numPr>
        <w:pStyle w:val="Compact"/>
      </w:pPr>
      <w:r>
        <w:rPr>
          <w:b/>
        </w:rPr>
        <w:t xml:space="preserve">Rate Variation</w:t>
      </w:r>
      <w:r>
        <w:t xml:space="preserve">:</w:t>
      </w:r>
      <w:r>
        <w:t xml:space="preserve"> </w:t>
      </w:r>
      <w:r>
        <w:rPr>
          <w:i/>
        </w:rPr>
        <w:t xml:space="preserve">Y. pestis</w:t>
      </w:r>
      <w:r>
        <w:t xml:space="preserve"> </w:t>
      </w:r>
      <w:r>
        <w:t xml:space="preserve">shows extraordinary rate variation. This can most clearly be seen in samples from the Bronze Age accumulating more substitutions than several modern clades.</w:t>
      </w:r>
    </w:p>
    <w:p>
      <w:pPr>
        <w:numPr>
          <w:ilvl w:val="0"/>
          <w:numId w:val="1006"/>
        </w:numPr>
        <w:pStyle w:val="Compact"/>
      </w:pPr>
      <w:r>
        <w:rPr>
          <w:b/>
        </w:rPr>
        <w:t xml:space="preserve">Ecological Structure</w:t>
      </w:r>
      <w:r>
        <w:t xml:space="preserve">: There is no obvious clustering by host. If there is, its reflects the sampling strategy (ex. Ancient DNA from skeletal remains) rather than the natural history.</w:t>
      </w:r>
    </w:p>
    <w:p>
      <w:pPr>
        <w:pStyle w:val="Heading3"/>
      </w:pPr>
      <w:bookmarkStart w:id="54" w:name="phylodynamics-1"/>
      <w:r>
        <w:t xml:space="preserve">Phylodynamics</w:t>
      </w:r>
      <w:bookmarkEnd w:id="54"/>
    </w:p>
    <w:p>
      <w:pPr>
        <w:numPr>
          <w:ilvl w:val="0"/>
          <w:numId w:val="1007"/>
        </w:numPr>
        <w:pStyle w:val="Compact"/>
      </w:pPr>
      <w:r>
        <w:rPr>
          <w:i/>
        </w:rPr>
        <w:t xml:space="preserve">Y. pestis</w:t>
      </w:r>
      <w:r>
        <w:t xml:space="preserve"> </w:t>
      </w:r>
      <w:r>
        <w:t xml:space="preserve">has extreme rate variation.</w:t>
      </w:r>
    </w:p>
    <w:p>
      <w:pPr>
        <w:numPr>
          <w:ilvl w:val="0"/>
          <w:numId w:val="1007"/>
        </w:numPr>
        <w:pStyle w:val="Compact"/>
      </w:pPr>
      <w:r>
        <w:t xml:space="preserve">A Root to Tip Regression on collection date confirms this, as the Coefficient of Determination (R</w:t>
      </w:r>
      <w:r>
        <w:t xml:space="preserve">2</w:t>
      </w:r>
      <w:r>
        <w:t xml:space="preserve"> </w:t>
      </w:r>
      <w:r>
        <w:t xml:space="preserve">) is 0.09, revealing a poor fit to a simple linear model (Table</w:t>
      </w:r>
      <w:r>
        <w:t xml:space="preserve"> </w:t>
      </w:r>
      <w:hyperlink w:anchor="tbl:table_temporal_signal">
        <w:r>
          <w:rPr>
            <w:rStyle w:val="Hyperlink"/>
          </w:rPr>
          <w:t xml:space="preserve">1</w:t>
        </w:r>
      </w:hyperlink>
      <w:r>
        <w:t xml:space="preserve">).</w:t>
      </w:r>
    </w:p>
    <w:p>
      <w:pPr>
        <w:numPr>
          <w:ilvl w:val="0"/>
          <w:numId w:val="1007"/>
        </w:numPr>
        <w:pStyle w:val="Compact"/>
      </w:pPr>
      <w:r>
        <w:t xml:space="preserve">To some extent, this variation can be explained by examining the clades in isolation (Figure</w:t>
      </w:r>
      <w:r>
        <w:t xml:space="preserve"> </w:t>
      </w:r>
      <w:hyperlink w:anchor="fig:fig_rate_boxplot_all">
        <w:r>
          <w:rPr>
            <w:rStyle w:val="Hyperlink"/>
          </w:rPr>
          <w:t xml:space="preserve">4</w:t>
        </w:r>
      </w:hyperlink>
      <w:r>
        <w:t xml:space="preserve">).</w:t>
      </w:r>
    </w:p>
    <w:p>
      <w:pPr>
        <w:numPr>
          <w:ilvl w:val="0"/>
          <w:numId w:val="1007"/>
        </w:numPr>
        <w:pStyle w:val="Compact"/>
      </w:pPr>
      <w:r>
        <w:t xml:space="preserve">Finding an appropriate evolutionary model is key to estimating historic events, like clade emergence (Figure ??).</w:t>
      </w:r>
    </w:p>
    <w:bookmarkStart w:id="0" w:name="tbl:table_temporal_signal"/>
    <w:p>
      <w:pPr>
        <w:pStyle w:val="TableCaption"/>
      </w:pPr>
      <w:r>
        <w:t xml:space="preserve">Table 1: Temporal signal statistics by clade based on a root-to-tip linear regression.</w:t>
      </w:r>
      <w:r>
        <w:t xml:space="preserve"> </w:t>
      </w:r>
    </w:p>
    <w:tbl>
      <w:tblPr>
        <w:tblStyle w:val="Table"/>
        <w:tblW w:type="pct" w:w="0.0"/>
        <w:tblLook w:firstRow="1"/>
        <w:tblCaption w:val="Table 1: Temporal signal statistics by clade based on a root-to-tip linear regression. "/>
      </w:tblPr>
      <w:tblGrid/>
      <w:tr>
        <w:trPr>
          <w:cnfStyle w:firstRow="1"/>
        </w:trPr>
        <w:tc>
          <w:tcPr>
            <w:tcBorders>
              <w:bottom w:val="single"/>
            </w:tcBorders>
            <w:vAlign w:val="bottom"/>
          </w:tcPr>
          <w:p>
            <w:pPr>
              <w:pStyle w:val="Compact"/>
              <w:jc w:val="left"/>
            </w:pPr>
            <w:r>
              <w:t xml:space="preserve">Branch</w:t>
            </w:r>
          </w:p>
        </w:tc>
        <w:tc>
          <w:tcPr>
            <w:tcBorders>
              <w:bottom w:val="single"/>
            </w:tcBorders>
            <w:vAlign w:val="bottom"/>
          </w:tcPr>
          <w:p>
            <w:pPr>
              <w:pStyle w:val="Compact"/>
              <w:jc w:val="left"/>
            </w:pPr>
            <w:r>
              <w:t xml:space="preserve">Clade</w:t>
            </w:r>
          </w:p>
        </w:tc>
        <w:tc>
          <w:tcPr>
            <w:tcBorders>
              <w:bottom w:val="single"/>
            </w:tcBorders>
            <w:vAlign w:val="bottom"/>
          </w:tcPr>
          <w:p>
            <w:pPr>
              <w:pStyle w:val="Compact"/>
              <w:jc w:val="left"/>
            </w:pPr>
            <w:r>
              <w:t xml:space="preserve">Origin</w:t>
            </w:r>
          </w:p>
        </w:tc>
        <w:tc>
          <w:tcPr>
            <w:tcBorders>
              <w:bottom w:val="single"/>
            </w:tcBorders>
            <w:vAlign w:val="bottom"/>
          </w:tcPr>
          <w:p>
            <w:pPr>
              <w:pStyle w:val="Compact"/>
              <w:jc w:val="left"/>
            </w:pPr>
            <w:r>
              <w:t xml:space="preserve">RTT R</w:t>
            </w:r>
            <w:r>
              <w:t xml:space="preserve">2</w:t>
            </w:r>
          </w:p>
        </w:tc>
        <w:tc>
          <w:tcPr>
            <w:tcBorders>
              <w:bottom w:val="single"/>
            </w:tcBorders>
            <w:vAlign w:val="bottom"/>
          </w:tcPr>
          <w:p>
            <w:pPr>
              <w:pStyle w:val="Compact"/>
              <w:jc w:val="left"/>
            </w:pPr>
            <w:r>
              <w:t xml:space="preserve">RTT p-value</w:t>
            </w:r>
          </w:p>
        </w:tc>
        <w:tc>
          <w:tcPr>
            <w:tcBorders>
              <w:bottom w:val="single"/>
            </w:tcBorders>
            <w:vAlign w:val="bottom"/>
          </w:tcPr>
          <w:p>
            <w:pPr>
              <w:pStyle w:val="Compact"/>
              <w:jc w:val="left"/>
            </w:pPr>
            <w:r>
              <w:t xml:space="preserve">BETS Bayes Factor</w:t>
            </w:r>
          </w:p>
        </w:tc>
      </w:tr>
      <w:tr>
        <w:tc>
          <w:p>
            <w:pPr>
              <w:pStyle w:val="Compact"/>
              <w:jc w:val="left"/>
            </w:pPr>
            <w:r>
              <w:t xml:space="preserve">All</w:t>
            </w:r>
          </w:p>
        </w:tc>
        <w:tc>
          <w:p>
            <w:pPr>
              <w:pStyle w:val="Compact"/>
              <w:jc w:val="left"/>
            </w:pPr>
            <w:r>
              <w:t xml:space="preserve">All</w:t>
            </w:r>
          </w:p>
        </w:tc>
        <w:tc>
          <w:p>
            <w:pPr>
              <w:pStyle w:val="Compact"/>
              <w:jc w:val="left"/>
            </w:pPr>
            <w:r>
              <w:t xml:space="preserve">Ancient, Modern</w:t>
            </w:r>
          </w:p>
        </w:tc>
        <w:tc>
          <w:p>
            <w:pPr>
              <w:pStyle w:val="Compact"/>
              <w:jc w:val="left"/>
            </w:pPr>
            <w:r>
              <w:t xml:space="preserve">0.09</w:t>
            </w:r>
          </w:p>
        </w:tc>
        <w:tc>
          <w:p>
            <w:pPr>
              <w:pStyle w:val="Compact"/>
              <w:jc w:val="left"/>
            </w:pPr>
            <w:r>
              <w:t xml:space="preserve">3.81E-14*</w:t>
            </w:r>
          </w:p>
        </w:tc>
        <w:tc>
          <w:p/>
        </w:tc>
      </w:tr>
      <w:tr>
        <w:tc>
          <w:p>
            <w:pPr>
              <w:pStyle w:val="Compact"/>
              <w:jc w:val="left"/>
            </w:pPr>
            <w:r>
              <w:t xml:space="preserve">0</w:t>
            </w:r>
          </w:p>
        </w:tc>
        <w:tc>
          <w:p>
            <w:pPr>
              <w:pStyle w:val="Compact"/>
              <w:jc w:val="left"/>
            </w:pPr>
            <w:r>
              <w:t xml:space="preserve">0.PRE</w:t>
            </w:r>
          </w:p>
        </w:tc>
        <w:tc>
          <w:p>
            <w:pPr>
              <w:pStyle w:val="Compact"/>
              <w:jc w:val="left"/>
            </w:pPr>
            <w:r>
              <w:t xml:space="preserve">Ancient</w:t>
            </w:r>
          </w:p>
        </w:tc>
        <w:tc>
          <w:p>
            <w:pPr>
              <w:pStyle w:val="Compact"/>
              <w:jc w:val="left"/>
            </w:pPr>
            <w:r>
              <w:t xml:space="preserve">0.91</w:t>
            </w:r>
          </w:p>
        </w:tc>
        <w:tc>
          <w:p>
            <w:pPr>
              <w:pStyle w:val="Compact"/>
              <w:jc w:val="left"/>
            </w:pPr>
            <w:r>
              <w:t xml:space="preserve">1.53E-04*</w:t>
            </w:r>
          </w:p>
        </w:tc>
        <w:tc>
          <w:p/>
        </w:tc>
      </w:tr>
      <w:tr>
        <w:tc>
          <w:p>
            <w:pPr>
              <w:pStyle w:val="Compact"/>
              <w:jc w:val="left"/>
            </w:pPr>
            <w:r>
              <w:t xml:space="preserve">0</w:t>
            </w:r>
          </w:p>
        </w:tc>
        <w:tc>
          <w:p>
            <w:pPr>
              <w:pStyle w:val="Compact"/>
              <w:jc w:val="left"/>
            </w:pPr>
            <w:r>
              <w:t xml:space="preserve">0.PE</w:t>
            </w:r>
          </w:p>
        </w:tc>
        <w:tc>
          <w:p>
            <w:pPr>
              <w:pStyle w:val="Compact"/>
              <w:jc w:val="left"/>
            </w:pPr>
            <w:r>
              <w:t xml:space="preserve">Modern</w:t>
            </w:r>
          </w:p>
        </w:tc>
        <w:tc>
          <w:p>
            <w:pPr>
              <w:pStyle w:val="Compact"/>
              <w:jc w:val="left"/>
            </w:pPr>
            <w:r>
              <w:t xml:space="preserve">0.01</w:t>
            </w:r>
          </w:p>
        </w:tc>
        <w:tc>
          <w:p>
            <w:pPr>
              <w:pStyle w:val="Compact"/>
              <w:jc w:val="left"/>
            </w:pPr>
            <w:r>
              <w:t xml:space="preserve">2.25E-01</w:t>
            </w:r>
          </w:p>
        </w:tc>
        <w:tc>
          <w:p/>
        </w:tc>
      </w:tr>
      <w:tr>
        <w:tc>
          <w:p>
            <w:pPr>
              <w:pStyle w:val="Compact"/>
              <w:jc w:val="left"/>
            </w:pPr>
            <w:r>
              <w:t xml:space="preserve">0</w:t>
            </w:r>
          </w:p>
        </w:tc>
        <w:tc>
          <w:p>
            <w:pPr>
              <w:pStyle w:val="Compact"/>
              <w:jc w:val="left"/>
            </w:pPr>
            <w:r>
              <w:t xml:space="preserve">0.ANT4</w:t>
            </w:r>
          </w:p>
        </w:tc>
        <w:tc>
          <w:p>
            <w:pPr>
              <w:pStyle w:val="Compact"/>
              <w:jc w:val="left"/>
            </w:pPr>
            <w:r>
              <w:t xml:space="preserve">Ancient</w:t>
            </w:r>
          </w:p>
        </w:tc>
        <w:tc>
          <w:p>
            <w:pPr>
              <w:pStyle w:val="Compact"/>
              <w:jc w:val="left"/>
            </w:pPr>
            <w:r>
              <w:t xml:space="preserve">0.66</w:t>
            </w:r>
          </w:p>
        </w:tc>
        <w:tc>
          <w:p>
            <w:pPr>
              <w:pStyle w:val="Compact"/>
              <w:jc w:val="left"/>
            </w:pPr>
            <w:r>
              <w:t xml:space="preserve">7.84E-04*</w:t>
            </w:r>
          </w:p>
        </w:tc>
        <w:tc>
          <w:p/>
        </w:tc>
      </w:tr>
      <w:tr>
        <w:tc>
          <w:p>
            <w:pPr>
              <w:pStyle w:val="Compact"/>
              <w:jc w:val="left"/>
            </w:pPr>
            <w:r>
              <w:t xml:space="preserve">0</w:t>
            </w:r>
          </w:p>
        </w:tc>
        <w:tc>
          <w:p>
            <w:pPr>
              <w:pStyle w:val="Compact"/>
              <w:jc w:val="left"/>
            </w:pPr>
            <w:r>
              <w:t xml:space="preserve">0.ANT</w:t>
            </w:r>
          </w:p>
        </w:tc>
        <w:tc>
          <w:p>
            <w:pPr>
              <w:pStyle w:val="Compact"/>
              <w:jc w:val="left"/>
            </w:pPr>
            <w:r>
              <w:t xml:space="preserve">Modern</w:t>
            </w:r>
          </w:p>
        </w:tc>
        <w:tc>
          <w:p>
            <w:pPr>
              <w:pStyle w:val="Compact"/>
              <w:jc w:val="left"/>
            </w:pPr>
            <w:r>
              <w:t xml:space="preserve">-0.01</w:t>
            </w:r>
          </w:p>
        </w:tc>
        <w:tc>
          <w:p>
            <w:pPr>
              <w:pStyle w:val="Compact"/>
              <w:jc w:val="left"/>
            </w:pPr>
            <w:r>
              <w:t xml:space="preserve">7.35E-01</w:t>
            </w:r>
          </w:p>
        </w:tc>
        <w:tc>
          <w:p/>
        </w:tc>
      </w:tr>
      <w:tr>
        <w:tc>
          <w:p>
            <w:pPr>
              <w:pStyle w:val="Compact"/>
              <w:jc w:val="left"/>
            </w:pPr>
            <w:r>
              <w:t xml:space="preserve">1</w:t>
            </w:r>
          </w:p>
        </w:tc>
        <w:tc>
          <w:p>
            <w:pPr>
              <w:pStyle w:val="Compact"/>
              <w:jc w:val="left"/>
            </w:pPr>
            <w:r>
              <w:t xml:space="preserve">1.ANT</w:t>
            </w:r>
          </w:p>
        </w:tc>
        <w:tc>
          <w:p>
            <w:pPr>
              <w:pStyle w:val="Compact"/>
              <w:jc w:val="left"/>
            </w:pPr>
            <w:r>
              <w:t xml:space="preserve">Modern</w:t>
            </w:r>
          </w:p>
        </w:tc>
        <w:tc>
          <w:p>
            <w:pPr>
              <w:pStyle w:val="Compact"/>
              <w:jc w:val="left"/>
            </w:pPr>
            <w:r>
              <w:t xml:space="preserve">0.45</w:t>
            </w:r>
          </w:p>
        </w:tc>
        <w:tc>
          <w:p>
            <w:pPr>
              <w:pStyle w:val="Compact"/>
              <w:jc w:val="left"/>
            </w:pPr>
            <w:r>
              <w:t xml:space="preserve">2.03E-01</w:t>
            </w:r>
          </w:p>
        </w:tc>
        <w:tc>
          <w:p/>
        </w:tc>
      </w:tr>
      <w:tr>
        <w:tc>
          <w:p>
            <w:pPr>
              <w:pStyle w:val="Compact"/>
              <w:jc w:val="left"/>
            </w:pPr>
            <w:r>
              <w:t xml:space="preserve">1</w:t>
            </w:r>
          </w:p>
        </w:tc>
        <w:tc>
          <w:p>
            <w:pPr>
              <w:pStyle w:val="Compact"/>
              <w:jc w:val="left"/>
            </w:pPr>
            <w:r>
              <w:t xml:space="preserve">1.IN</w:t>
            </w:r>
          </w:p>
        </w:tc>
        <w:tc>
          <w:p>
            <w:pPr>
              <w:pStyle w:val="Compact"/>
              <w:jc w:val="left"/>
            </w:pPr>
            <w:r>
              <w:t xml:space="preserve">Modern</w:t>
            </w:r>
          </w:p>
        </w:tc>
        <w:tc>
          <w:p>
            <w:pPr>
              <w:pStyle w:val="Compact"/>
              <w:jc w:val="left"/>
            </w:pPr>
            <w:r>
              <w:t xml:space="preserve">0.0</w:t>
            </w:r>
          </w:p>
        </w:tc>
        <w:tc>
          <w:p>
            <w:pPr>
              <w:pStyle w:val="Compact"/>
              <w:jc w:val="left"/>
            </w:pPr>
            <w:r>
              <w:t xml:space="preserve">3.24E-01</w:t>
            </w:r>
          </w:p>
        </w:tc>
        <w:tc>
          <w:p/>
        </w:tc>
      </w:tr>
      <w:tr>
        <w:tc>
          <w:p>
            <w:pPr>
              <w:pStyle w:val="Compact"/>
              <w:jc w:val="left"/>
            </w:pPr>
            <w:r>
              <w:t xml:space="preserve">1</w:t>
            </w:r>
          </w:p>
        </w:tc>
        <w:tc>
          <w:p>
            <w:pPr>
              <w:pStyle w:val="Compact"/>
              <w:jc w:val="left"/>
            </w:pPr>
            <w:r>
              <w:t xml:space="preserve">1.ORI</w:t>
            </w:r>
          </w:p>
        </w:tc>
        <w:tc>
          <w:p>
            <w:pPr>
              <w:pStyle w:val="Compact"/>
              <w:jc w:val="left"/>
            </w:pPr>
            <w:r>
              <w:t xml:space="preserve">Modern</w:t>
            </w:r>
          </w:p>
        </w:tc>
        <w:tc>
          <w:p>
            <w:pPr>
              <w:pStyle w:val="Compact"/>
              <w:jc w:val="left"/>
            </w:pPr>
            <w:r>
              <w:t xml:space="preserve">0.04</w:t>
            </w:r>
          </w:p>
        </w:tc>
        <w:tc>
          <w:p>
            <w:pPr>
              <w:pStyle w:val="Compact"/>
              <w:jc w:val="left"/>
            </w:pPr>
            <w:r>
              <w:t xml:space="preserve">1.32E-02*</w:t>
            </w:r>
          </w:p>
        </w:tc>
        <w:tc>
          <w:p/>
        </w:tc>
      </w:tr>
      <w:tr>
        <w:tc>
          <w:p>
            <w:pPr>
              <w:pStyle w:val="Compact"/>
              <w:jc w:val="left"/>
            </w:pPr>
            <w:r>
              <w:t xml:space="preserve">1</w:t>
            </w:r>
          </w:p>
        </w:tc>
        <w:tc>
          <w:p>
            <w:pPr>
              <w:pStyle w:val="Compact"/>
              <w:jc w:val="left"/>
            </w:pPr>
            <w:r>
              <w:t xml:space="preserve">1.PRE</w:t>
            </w:r>
          </w:p>
        </w:tc>
        <w:tc>
          <w:p>
            <w:pPr>
              <w:pStyle w:val="Compact"/>
              <w:jc w:val="left"/>
            </w:pPr>
            <w:r>
              <w:t xml:space="preserve">Ancient</w:t>
            </w:r>
          </w:p>
        </w:tc>
        <w:tc>
          <w:p>
            <w:pPr>
              <w:pStyle w:val="Compact"/>
              <w:jc w:val="left"/>
            </w:pPr>
            <w:r>
              <w:t xml:space="preserve">0.76</w:t>
            </w:r>
          </w:p>
        </w:tc>
        <w:tc>
          <w:p>
            <w:pPr>
              <w:pStyle w:val="Compact"/>
              <w:jc w:val="left"/>
            </w:pPr>
            <w:r>
              <w:t xml:space="preserve">1.68E-13*</w:t>
            </w:r>
          </w:p>
        </w:tc>
        <w:tc>
          <w:p/>
        </w:tc>
      </w:tr>
      <w:tr>
        <w:tc>
          <w:p>
            <w:pPr>
              <w:pStyle w:val="Compact"/>
              <w:jc w:val="left"/>
            </w:pPr>
            <w:r>
              <w:t xml:space="preserve">2</w:t>
            </w:r>
          </w:p>
        </w:tc>
        <w:tc>
          <w:p>
            <w:pPr>
              <w:pStyle w:val="Compact"/>
              <w:jc w:val="left"/>
            </w:pPr>
            <w:r>
              <w:t xml:space="preserve">2.ANT</w:t>
            </w:r>
          </w:p>
        </w:tc>
        <w:tc>
          <w:p>
            <w:pPr>
              <w:pStyle w:val="Compact"/>
              <w:jc w:val="left"/>
            </w:pPr>
            <w:r>
              <w:t xml:space="preserve">Modern</w:t>
            </w:r>
          </w:p>
        </w:tc>
        <w:tc>
          <w:p>
            <w:pPr>
              <w:pStyle w:val="Compact"/>
              <w:jc w:val="left"/>
            </w:pPr>
            <w:r>
              <w:t xml:space="preserve">0.05</w:t>
            </w:r>
          </w:p>
        </w:tc>
        <w:tc>
          <w:p>
            <w:pPr>
              <w:pStyle w:val="Compact"/>
              <w:jc w:val="left"/>
            </w:pPr>
            <w:r>
              <w:t xml:space="preserve">5.96E-02</w:t>
            </w:r>
          </w:p>
        </w:tc>
        <w:tc>
          <w:p/>
        </w:tc>
      </w:tr>
      <w:tr>
        <w:tc>
          <w:p>
            <w:pPr>
              <w:pStyle w:val="Compact"/>
              <w:jc w:val="left"/>
            </w:pPr>
            <w:r>
              <w:t xml:space="preserve">2</w:t>
            </w:r>
          </w:p>
        </w:tc>
        <w:tc>
          <w:p>
            <w:pPr>
              <w:pStyle w:val="Compact"/>
              <w:jc w:val="left"/>
            </w:pPr>
            <w:r>
              <w:t xml:space="preserve">2.MED</w:t>
            </w:r>
          </w:p>
        </w:tc>
        <w:tc>
          <w:p>
            <w:pPr>
              <w:pStyle w:val="Compact"/>
              <w:jc w:val="left"/>
            </w:pPr>
            <w:r>
              <w:t xml:space="preserve">Modern</w:t>
            </w:r>
          </w:p>
        </w:tc>
        <w:tc>
          <w:p>
            <w:pPr>
              <w:pStyle w:val="Compact"/>
              <w:jc w:val="left"/>
            </w:pPr>
            <w:r>
              <w:t xml:space="preserve">0.01</w:t>
            </w:r>
          </w:p>
        </w:tc>
        <w:tc>
          <w:p>
            <w:pPr>
              <w:pStyle w:val="Compact"/>
              <w:jc w:val="left"/>
            </w:pPr>
            <w:r>
              <w:t xml:space="preserve">1.86E-01</w:t>
            </w:r>
          </w:p>
        </w:tc>
        <w:tc>
          <w:p/>
        </w:tc>
      </w:tr>
      <w:tr>
        <w:tc>
          <w:p>
            <w:pPr>
              <w:pStyle w:val="Compact"/>
              <w:jc w:val="left"/>
            </w:pPr>
            <w:r>
              <w:t xml:space="preserve">3</w:t>
            </w:r>
          </w:p>
        </w:tc>
        <w:tc>
          <w:p>
            <w:pPr>
              <w:pStyle w:val="Compact"/>
              <w:jc w:val="left"/>
            </w:pPr>
            <w:r>
              <w:t xml:space="preserve">3.ANT</w:t>
            </w:r>
          </w:p>
        </w:tc>
        <w:tc>
          <w:p>
            <w:pPr>
              <w:pStyle w:val="Compact"/>
              <w:jc w:val="left"/>
            </w:pPr>
            <w:r>
              <w:t xml:space="preserve">Modern</w:t>
            </w:r>
          </w:p>
        </w:tc>
        <w:tc>
          <w:p>
            <w:pPr>
              <w:pStyle w:val="Compact"/>
              <w:jc w:val="left"/>
            </w:pPr>
            <w:r>
              <w:t xml:space="preserve">-0.04</w:t>
            </w:r>
          </w:p>
        </w:tc>
        <w:tc>
          <w:p>
            <w:pPr>
              <w:pStyle w:val="Compact"/>
              <w:jc w:val="left"/>
            </w:pPr>
            <w:r>
              <w:t xml:space="preserve">4.39E-01</w:t>
            </w:r>
          </w:p>
        </w:tc>
        <w:tc>
          <w:p/>
        </w:tc>
      </w:tr>
      <w:tr>
        <w:tc>
          <w:p>
            <w:pPr>
              <w:pStyle w:val="Compact"/>
              <w:jc w:val="left"/>
            </w:pPr>
            <w:r>
              <w:t xml:space="preserve">4</w:t>
            </w:r>
          </w:p>
        </w:tc>
        <w:tc>
          <w:p>
            <w:pPr>
              <w:pStyle w:val="Compact"/>
              <w:jc w:val="left"/>
            </w:pPr>
            <w:r>
              <w:t xml:space="preserve">4.ANT</w:t>
            </w:r>
          </w:p>
        </w:tc>
        <w:tc>
          <w:p>
            <w:pPr>
              <w:pStyle w:val="Compact"/>
              <w:jc w:val="left"/>
            </w:pPr>
            <w:r>
              <w:t xml:space="preserve">Modern</w:t>
            </w:r>
          </w:p>
        </w:tc>
        <w:tc>
          <w:p>
            <w:pPr>
              <w:pStyle w:val="Compact"/>
              <w:jc w:val="left"/>
            </w:pPr>
            <w:r>
              <w:t xml:space="preserve">-0.11</w:t>
            </w:r>
          </w:p>
        </w:tc>
        <w:tc>
          <w:p>
            <w:pPr>
              <w:pStyle w:val="Compact"/>
              <w:jc w:val="left"/>
            </w:pPr>
            <w:r>
              <w:t xml:space="preserve">8.80E-01</w:t>
            </w:r>
          </w:p>
        </w:tc>
        <w:tc>
          <w:p/>
        </w:tc>
      </w:tr>
    </w:tbl>
    <w:bookmarkEnd w:id="0"/>
    <w:bookmarkStart w:id="0" w:name="fig:fig_rate_boxplot_all"/>
    <w:p>
      <w:pPr>
        <w:pStyle w:val="CaptionedFigure"/>
      </w:pPr>
      <w:bookmarkStart w:id="56" w:name="fig:fig_rate_boxplot_all"/>
      <w:r>
        <w:drawing>
          <wp:inline>
            <wp:extent cx="5030729" cy="1782927"/>
            <wp:effectExtent b="0" l="0" r="0" t="0"/>
            <wp:docPr descr="Figure 4: Substitition rate uncertainty by clade based on a root-to-tip linear regression. Highlighted clades are known to be associated with human pandemics." title="" id="1" name="Picture"/>
            <a:graphic>
              <a:graphicData uri="http://schemas.openxmlformats.org/drawingml/2006/picture">
                <pic:pic>
                  <pic:nvPicPr>
                    <pic:cNvPr descr="https://raw.githubusercontent.com/ktmeaton/plague-phylogeography-projects/d53c63b/main/iqtree/all/chromosome/full/filter5/filter-taxa/rate_boxplot_all.png" id="0" name="Picture"/>
                    <pic:cNvPicPr>
                      <a:picLocks noChangeArrowheads="1" noChangeAspect="1"/>
                    </pic:cNvPicPr>
                  </pic:nvPicPr>
                  <pic:blipFill>
                    <a:blip r:embed="rId55"/>
                    <a:stretch>
                      <a:fillRect/>
                    </a:stretch>
                  </pic:blipFill>
                  <pic:spPr bwMode="auto">
                    <a:xfrm>
                      <a:off x="0" y="0"/>
                      <a:ext cx="5030729" cy="1782927"/>
                    </a:xfrm>
                    <a:prstGeom prst="rect">
                      <a:avLst/>
                    </a:prstGeom>
                    <a:noFill/>
                    <a:ln w="9525">
                      <a:noFill/>
                      <a:headEnd/>
                      <a:tailEnd/>
                    </a:ln>
                  </pic:spPr>
                </pic:pic>
              </a:graphicData>
            </a:graphic>
          </wp:inline>
        </w:drawing>
      </w:r>
      <w:bookmarkEnd w:id="56"/>
    </w:p>
    <w:p>
      <w:pPr>
        <w:pStyle w:val="ImageCaption"/>
      </w:pPr>
      <w:r>
        <w:t xml:space="preserve">Figure 4: Substitition rate uncertainty by clade based on a root-to-tip linear regression. Highlighted clades are known to be associated with human pandemics.</w:t>
      </w:r>
    </w:p>
    <w:bookmarkEnd w:id="0"/>
    <w:p>
      <w:pPr>
        <w:pStyle w:val="Heading4"/>
      </w:pPr>
      <w:bookmarkStart w:id="57" w:name="relaxing-the-clock"/>
      <w:r>
        <w:t xml:space="preserve">Relaxing the Clock</w:t>
      </w:r>
      <w:bookmarkEnd w:id="57"/>
    </w:p>
    <w:p>
      <w:pPr>
        <w:numPr>
          <w:ilvl w:val="0"/>
          <w:numId w:val="1008"/>
        </w:numPr>
        <w:pStyle w:val="Compact"/>
      </w:pPr>
      <w:r>
        <w:t xml:space="preserve">Relaxed clock MCMC runs produce a high Coefficient of Variation indicating a relaxed model is favored over a strict model (Figure</w:t>
      </w:r>
      <w:r>
        <w:t xml:space="preserve"> </w:t>
      </w:r>
      <w:hyperlink w:anchor="fig:fig_coefficient_variation">
        <w:r>
          <w:rPr>
            <w:rStyle w:val="Hyperlink"/>
          </w:rPr>
          <w:t xml:space="preserve">5</w:t>
        </w:r>
      </w:hyperlink>
      <w:r>
        <w:t xml:space="preserve">). However, these runs do not converge, suggesting there is too much rate variation to confidently estimate key parameters such as the mean Substitution Rate or tMRCA.</w:t>
      </w:r>
    </w:p>
    <w:bookmarkStart w:id="0" w:name="fig:fig_coefficient_variation"/>
    <w:p>
      <w:pPr>
        <w:pStyle w:val="CaptionedFigure"/>
      </w:pPr>
      <w:bookmarkStart w:id="59" w:name="fig:fig_coefficient_variation"/>
      <w:r>
        <w:drawing>
          <wp:inline>
            <wp:extent cx="5943600" cy="3097258"/>
            <wp:effectExtent b="0" l="0" r="0" t="0"/>
            <wp:docPr descr="Figure 5: Coefficient of variation." title="" id="1" name="Picture"/>
            <a:graphic>
              <a:graphicData uri="http://schemas.openxmlformats.org/drawingml/2006/picture">
                <pic:pic>
                  <pic:nvPicPr>
                    <pic:cNvPr descr="https://raw.githubusercontent.com/ktmeaton/obsidian-public/4f0256a5ba01b5e32025339865e1f35243c13188/academic/Coefficient%20of%20Variation.png" id="0" name="Picture"/>
                    <pic:cNvPicPr>
                      <a:picLocks noChangeArrowheads="1" noChangeAspect="1"/>
                    </pic:cNvPicPr>
                  </pic:nvPicPr>
                  <pic:blipFill>
                    <a:blip r:embed="rId58"/>
                    <a:stretch>
                      <a:fillRect/>
                    </a:stretch>
                  </pic:blipFill>
                  <pic:spPr bwMode="auto">
                    <a:xfrm>
                      <a:off x="0" y="0"/>
                      <a:ext cx="5943600" cy="3097258"/>
                    </a:xfrm>
                    <a:prstGeom prst="rect">
                      <a:avLst/>
                    </a:prstGeom>
                    <a:noFill/>
                    <a:ln w="9525">
                      <a:noFill/>
                      <a:headEnd/>
                      <a:tailEnd/>
                    </a:ln>
                  </pic:spPr>
                </pic:pic>
              </a:graphicData>
            </a:graphic>
          </wp:inline>
        </w:drawing>
      </w:r>
      <w:bookmarkEnd w:id="59"/>
    </w:p>
    <w:p>
      <w:pPr>
        <w:pStyle w:val="ImageCaption"/>
      </w:pPr>
      <w:r>
        <w:t xml:space="preserve">Figure 5: Coefficient of variation.</w:t>
      </w:r>
    </w:p>
    <w:bookmarkEnd w:id="0"/>
    <w:p>
      <w:pPr>
        <w:numPr>
          <w:ilvl w:val="0"/>
          <w:numId w:val="1009"/>
        </w:numPr>
        <w:pStyle w:val="Compact"/>
      </w:pPr>
      <w:r>
        <w:t xml:space="preserve">A strict clock and relaxed clock have overlapping distributions with similar peaks for the Tree Height (blue: strict, green: relaxed) (Figure</w:t>
      </w:r>
      <w:r>
        <w:t xml:space="preserve"> </w:t>
      </w:r>
      <w:hyperlink w:anchor="fig:fig_tree_height_compare">
        <w:r>
          <w:rPr>
            <w:rStyle w:val="Hyperlink"/>
          </w:rPr>
          <w:t xml:space="preserve">6</w:t>
        </w:r>
      </w:hyperlink>
      <w:r>
        <w:t xml:space="preserve">).</w:t>
      </w:r>
    </w:p>
    <w:bookmarkStart w:id="0" w:name="fig:fig_tree_height_compare"/>
    <w:p>
      <w:pPr>
        <w:pStyle w:val="CaptionedFigure"/>
      </w:pPr>
      <w:bookmarkStart w:id="61" w:name="fig:fig_tree_height_compare"/>
      <w:r>
        <w:drawing>
          <wp:inline>
            <wp:extent cx="5943600" cy="4754880"/>
            <wp:effectExtent b="0" l="0" r="0" t="0"/>
            <wp:docPr descr="Figure 6: Tree height comparison." title="" id="1" name="Picture"/>
            <a:graphic>
              <a:graphicData uri="http://schemas.openxmlformats.org/drawingml/2006/picture">
                <pic:pic>
                  <pic:nvPicPr>
                    <pic:cNvPr descr="https://raw.githubusercontent.com/ktmeaton/obsidian-public/4f0256a5ba01b5e32025339865e1f35243c13188/academic/Tree%20Height%20Comparison.png" id="0" name="Picture"/>
                    <pic:cNvPicPr>
                      <a:picLocks noChangeArrowheads="1" noChangeAspect="1"/>
                    </pic:cNvPicPr>
                  </pic:nvPicPr>
                  <pic:blipFill>
                    <a:blip r:embed="rId60"/>
                    <a:stretch>
                      <a:fillRect/>
                    </a:stretch>
                  </pic:blipFill>
                  <pic:spPr bwMode="auto">
                    <a:xfrm>
                      <a:off x="0" y="0"/>
                      <a:ext cx="5943600" cy="4754880"/>
                    </a:xfrm>
                    <a:prstGeom prst="rect">
                      <a:avLst/>
                    </a:prstGeom>
                    <a:noFill/>
                    <a:ln w="9525">
                      <a:noFill/>
                      <a:headEnd/>
                      <a:tailEnd/>
                    </a:ln>
                  </pic:spPr>
                </pic:pic>
              </a:graphicData>
            </a:graphic>
          </wp:inline>
        </w:drawing>
      </w:r>
      <w:bookmarkEnd w:id="61"/>
    </w:p>
    <w:p>
      <w:pPr>
        <w:pStyle w:val="ImageCaption"/>
      </w:pPr>
      <w:r>
        <w:t xml:space="preserve">Figure 6: Tree height comparison.</w:t>
      </w:r>
    </w:p>
    <w:bookmarkEnd w:id="0"/>
    <w:p>
      <w:pPr>
        <w:numPr>
          <w:ilvl w:val="0"/>
          <w:numId w:val="1010"/>
        </w:numPr>
        <w:pStyle w:val="Compact"/>
      </w:pPr>
      <w:r>
        <w:t xml:space="preserve">When estimating a Substitution Rate for all of</w:t>
      </w:r>
      <w:r>
        <w:t xml:space="preserve"> </w:t>
      </w:r>
      <w:r>
        <w:rPr>
          <w:i/>
        </w:rPr>
        <w:t xml:space="preserve">Y. pestis</w:t>
      </w:r>
      <w:r>
        <w:t xml:space="preserve">, a [[Clock Model|strict clock]] and relaxed clock produce different estimates (green: strict, orange: relaxed) (Figure</w:t>
      </w:r>
      <w:r>
        <w:t xml:space="preserve"> </w:t>
      </w:r>
      <w:hyperlink w:anchor="fig:fig_sub_rate_compare">
        <w:r>
          <w:rPr>
            <w:rStyle w:val="Hyperlink"/>
          </w:rPr>
          <w:t xml:space="preserve">7</w:t>
        </w:r>
      </w:hyperlink>
      <w:r>
        <w:t xml:space="preserve">).</w:t>
      </w:r>
    </w:p>
    <w:bookmarkStart w:id="0" w:name="fig:fig_sub_rate_compare"/>
    <w:p>
      <w:pPr>
        <w:pStyle w:val="CaptionedFigure"/>
      </w:pPr>
      <w:bookmarkStart w:id="63" w:name="fig:fig_sub_rate_compare"/>
      <w:r>
        <w:drawing>
          <wp:inline>
            <wp:extent cx="5943600" cy="4842083"/>
            <wp:effectExtent b="0" l="0" r="0" t="0"/>
            <wp:docPr descr="Figure 7: Substitution rate comparison." title="" id="1" name="Picture"/>
            <a:graphic>
              <a:graphicData uri="http://schemas.openxmlformats.org/drawingml/2006/picture">
                <pic:pic>
                  <pic:nvPicPr>
                    <pic:cNvPr descr="https://raw.githubusercontent.com/ktmeaton/obsidian-public/4f0256a5ba01b5e32025339865e1f35243c13188/academic/Substitution%20Rate%20Comparison.png" id="0" name="Picture"/>
                    <pic:cNvPicPr>
                      <a:picLocks noChangeArrowheads="1" noChangeAspect="1"/>
                    </pic:cNvPicPr>
                  </pic:nvPicPr>
                  <pic:blipFill>
                    <a:blip r:embed="rId62"/>
                    <a:stretch>
                      <a:fillRect/>
                    </a:stretch>
                  </pic:blipFill>
                  <pic:spPr bwMode="auto">
                    <a:xfrm>
                      <a:off x="0" y="0"/>
                      <a:ext cx="5943600" cy="4842083"/>
                    </a:xfrm>
                    <a:prstGeom prst="rect">
                      <a:avLst/>
                    </a:prstGeom>
                    <a:noFill/>
                    <a:ln w="9525">
                      <a:noFill/>
                      <a:headEnd/>
                      <a:tailEnd/>
                    </a:ln>
                  </pic:spPr>
                </pic:pic>
              </a:graphicData>
            </a:graphic>
          </wp:inline>
        </w:drawing>
      </w:r>
      <w:bookmarkEnd w:id="63"/>
    </w:p>
    <w:p>
      <w:pPr>
        <w:pStyle w:val="ImageCaption"/>
      </w:pPr>
      <w:r>
        <w:t xml:space="preserve">Figure 7: Substitution rate comparison.</w:t>
      </w:r>
    </w:p>
    <w:bookmarkEnd w:id="0"/>
    <w:p>
      <w:pPr>
        <w:numPr>
          <w:ilvl w:val="0"/>
          <w:numId w:val="1011"/>
        </w:numPr>
        <w:pStyle w:val="Compact"/>
      </w:pPr>
      <w:r>
        <w:t xml:space="preserve">There doesn’t appear to be clustering of rates. Branches with high rates are next to those with low rates (Figure</w:t>
      </w:r>
      <w:r>
        <w:t xml:space="preserve"> </w:t>
      </w:r>
      <w:hyperlink w:anchor="fig:fig_timetree_color_rate">
        <w:r>
          <w:rPr>
            <w:rStyle w:val="Hyperlink"/>
          </w:rPr>
          <w:t xml:space="preserve">8</w:t>
        </w:r>
      </w:hyperlink>
      <w:r>
        <w:t xml:space="preserve">).</w:t>
      </w:r>
    </w:p>
    <w:bookmarkStart w:id="0" w:name="fig:fig_timetree_color_rate"/>
    <w:p>
      <w:pPr>
        <w:pStyle w:val="CaptionedFigure"/>
      </w:pPr>
      <w:bookmarkStart w:id="65" w:name="fig:fig_timetree_color_rate"/>
      <w:r>
        <w:drawing>
          <wp:inline>
            <wp:extent cx="5943600" cy="3041862"/>
            <wp:effectExtent b="0" l="0" r="0" t="0"/>
            <wp:docPr descr="Figure 8: Time tree colored by rate." title="" id="1" name="Picture"/>
            <a:graphic>
              <a:graphicData uri="http://schemas.openxmlformats.org/drawingml/2006/picture">
                <pic:pic>
                  <pic:nvPicPr>
                    <pic:cNvPr descr="https://raw.githubusercontent.com/ktmeaton/obsidian-public/4f0256a5ba01b5e32025339865e1f35243c13188/academic/Time%20Tree%20Colored%20by%20Rate.png" id="0" name="Picture"/>
                    <pic:cNvPicPr>
                      <a:picLocks noChangeArrowheads="1" noChangeAspect="1"/>
                    </pic:cNvPicPr>
                  </pic:nvPicPr>
                  <pic:blipFill>
                    <a:blip r:embed="rId64"/>
                    <a:stretch>
                      <a:fillRect/>
                    </a:stretch>
                  </pic:blipFill>
                  <pic:spPr bwMode="auto">
                    <a:xfrm>
                      <a:off x="0" y="0"/>
                      <a:ext cx="5943600" cy="3041862"/>
                    </a:xfrm>
                    <a:prstGeom prst="rect">
                      <a:avLst/>
                    </a:prstGeom>
                    <a:noFill/>
                    <a:ln w="9525">
                      <a:noFill/>
                      <a:headEnd/>
                      <a:tailEnd/>
                    </a:ln>
                  </pic:spPr>
                </pic:pic>
              </a:graphicData>
            </a:graphic>
          </wp:inline>
        </w:drawing>
      </w:r>
      <w:bookmarkEnd w:id="65"/>
    </w:p>
    <w:p>
      <w:pPr>
        <w:pStyle w:val="ImageCaption"/>
      </w:pPr>
      <w:r>
        <w:t xml:space="preserve">Figure 8: Time tree colored by rate.</w:t>
      </w:r>
    </w:p>
    <w:bookmarkEnd w:id="0"/>
    <w:p>
      <w:pPr>
        <w:pStyle w:val="Heading3"/>
      </w:pPr>
      <w:bookmarkStart w:id="66" w:name="phylogeography-1"/>
      <w:r>
        <w:t xml:space="preserve">Phylogeography</w:t>
      </w:r>
      <w:bookmarkEnd w:id="66"/>
    </w:p>
    <w:p>
      <w:pPr>
        <w:pStyle w:val="Heading2"/>
      </w:pPr>
      <w:bookmarkStart w:id="67" w:name="conclusion"/>
      <w:r>
        <w:t xml:space="preserve">Conclusion</w:t>
      </w:r>
      <w:bookmarkEnd w:id="67"/>
    </w:p>
    <w:p>
      <w:pPr>
        <w:pStyle w:val="Heading2"/>
      </w:pPr>
      <w:bookmarkStart w:id="68" w:name="appendix"/>
      <w:r>
        <w:t xml:space="preserve">Appendix</w:t>
      </w:r>
      <w:bookmarkEnd w:id="68"/>
    </w:p>
    <w:p>
      <w:pPr>
        <w:pStyle w:val="Heading2"/>
      </w:pPr>
      <w:bookmarkStart w:id="69" w:name="references"/>
      <w:r>
        <w:t xml:space="preserve">References</w:t>
      </w:r>
      <w:bookmarkEnd w:id="69"/>
    </w:p>
    <w:bookmarkStart w:id="146" w:name="refs"/>
    <w:bookmarkStart w:id="72"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70">
        <w:r>
          <w:rPr>
            <w:rStyle w:val="Hyperlink"/>
          </w:rPr>
          <w:t xml:space="preserve">10.1016/j.cub.2017.10.025</w:t>
        </w:r>
      </w:hyperlink>
      <w:r>
        <w:t xml:space="preserve"> </w:t>
      </w:r>
      <w:r>
        <w:t xml:space="preserve">· PMID:</w:t>
      </w:r>
      <w:r>
        <w:t xml:space="preserve"> </w:t>
      </w:r>
      <w:hyperlink r:id="rId71">
        <w:r>
          <w:rPr>
            <w:rStyle w:val="Hyperlink"/>
          </w:rPr>
          <w:t xml:space="preserve">29174893</w:t>
        </w:r>
      </w:hyperlink>
    </w:p>
    <w:bookmarkEnd w:id="72"/>
    <w:bookmarkStart w:id="76"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73">
        <w:r>
          <w:rPr>
            <w:rStyle w:val="Hyperlink"/>
          </w:rPr>
          <w:t xml:space="preserve">https://www.cell.com/cell/abstract/S0092-8674(18)31464-8</w:t>
        </w:r>
      </w:hyperlink>
      <w:r>
        <w:t xml:space="preserve"> </w:t>
      </w:r>
      <w:r>
        <w:br/>
      </w:r>
      <w:r>
        <w:t xml:space="preserve">DOI:</w:t>
      </w:r>
      <w:r>
        <w:t xml:space="preserve"> </w:t>
      </w:r>
      <w:hyperlink r:id="rId74">
        <w:r>
          <w:rPr>
            <w:rStyle w:val="Hyperlink"/>
          </w:rPr>
          <w:t xml:space="preserve">10.1016/j.cell.2018.11.005</w:t>
        </w:r>
      </w:hyperlink>
      <w:r>
        <w:t xml:space="preserve"> </w:t>
      </w:r>
      <w:r>
        <w:t xml:space="preserve">· PMID:</w:t>
      </w:r>
      <w:r>
        <w:t xml:space="preserve"> </w:t>
      </w:r>
      <w:hyperlink r:id="rId75">
        <w:r>
          <w:rPr>
            <w:rStyle w:val="Hyperlink"/>
          </w:rPr>
          <w:t xml:space="preserve">30528431</w:t>
        </w:r>
      </w:hyperlink>
    </w:p>
    <w:bookmarkEnd w:id="76"/>
    <w:bookmarkStart w:id="81"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77">
        <w:r>
          <w:rPr>
            <w:rStyle w:val="Hyperlink"/>
          </w:rPr>
          <w:t xml:space="preserve">https://www.ncbi.nlm.nih.gov/pmc/articles/PMC5636801/</w:t>
        </w:r>
      </w:hyperlink>
      <w:r>
        <w:t xml:space="preserve"> </w:t>
      </w:r>
      <w:r>
        <w:br/>
      </w:r>
      <w:r>
        <w:t xml:space="preserve">DOI:</w:t>
      </w:r>
      <w:r>
        <w:t xml:space="preserve"> </w:t>
      </w:r>
      <w:hyperlink r:id="rId78">
        <w:r>
          <w:rPr>
            <w:rStyle w:val="Hyperlink"/>
          </w:rPr>
          <w:t xml:space="preserve">10.1038/s41598-017-13481-2</w:t>
        </w:r>
      </w:hyperlink>
      <w:r>
        <w:t xml:space="preserve"> </w:t>
      </w:r>
      <w:r>
        <w:t xml:space="preserve">· PMID:</w:t>
      </w:r>
      <w:r>
        <w:t xml:space="preserve"> </w:t>
      </w:r>
      <w:hyperlink r:id="rId79">
        <w:r>
          <w:rPr>
            <w:rStyle w:val="Hyperlink"/>
          </w:rPr>
          <w:t xml:space="preserve">29021541</w:t>
        </w:r>
      </w:hyperlink>
      <w:r>
        <w:t xml:space="preserve"> </w:t>
      </w:r>
      <w:r>
        <w:t xml:space="preserve">· PMCID:</w:t>
      </w:r>
      <w:r>
        <w:t xml:space="preserve"> </w:t>
      </w:r>
      <w:hyperlink r:id="rId80">
        <w:r>
          <w:rPr>
            <w:rStyle w:val="Hyperlink"/>
          </w:rPr>
          <w:t xml:space="preserve">PMC5636801</w:t>
        </w:r>
      </w:hyperlink>
    </w:p>
    <w:bookmarkEnd w:id="81"/>
    <w:bookmarkStart w:id="84"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82">
        <w:r>
          <w:rPr>
            <w:rStyle w:val="Hyperlink"/>
          </w:rPr>
          <w:t xml:space="preserve">8993858</w:t>
        </w:r>
      </w:hyperlink>
      <w:r>
        <w:t xml:space="preserve"> </w:t>
      </w:r>
      <w:r>
        <w:t xml:space="preserve">· PMCID:</w:t>
      </w:r>
      <w:r>
        <w:t xml:space="preserve"> </w:t>
      </w:r>
      <w:hyperlink r:id="rId83">
        <w:r>
          <w:rPr>
            <w:rStyle w:val="Hyperlink"/>
          </w:rPr>
          <w:t xml:space="preserve">PMC172914</w:t>
        </w:r>
      </w:hyperlink>
    </w:p>
    <w:bookmarkEnd w:id="84"/>
    <w:bookmarkStart w:id="86"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85">
        <w:r>
          <w:rPr>
            <w:rStyle w:val="Hyperlink"/>
          </w:rPr>
          <w:t xml:space="preserve">https://www.who.int/news-room/fact-sheets/detail/plague</w:t>
        </w:r>
      </w:hyperlink>
    </w:p>
    <w:bookmarkEnd w:id="86"/>
    <w:bookmarkStart w:id="88"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87">
        <w:r>
          <w:rPr>
            <w:rStyle w:val="Hyperlink"/>
          </w:rPr>
          <w:t xml:space="preserve">0-85115-943-5</w:t>
        </w:r>
      </w:hyperlink>
    </w:p>
    <w:bookmarkEnd w:id="88"/>
    <w:bookmarkStart w:id="90" w:name="ref-S5fFaZrD"/>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89">
        <w:r>
          <w:rPr>
            <w:rStyle w:val="Hyperlink"/>
          </w:rPr>
          <w:t xml:space="preserve">https://apps.who.int/iris/bitstream/handle/10665/325481/WER9425-en-fr.pdf</w:t>
        </w:r>
      </w:hyperlink>
    </w:p>
    <w:bookmarkEnd w:id="90"/>
    <w:bookmarkStart w:id="92" w:name="ref-kQFNGkNf"/>
    <w:p>
      <w:pPr>
        <w:pStyle w:val="Bibliography"/>
      </w:pPr>
      <w:r>
        <w:t xml:space="preserve">8.</w:t>
      </w:r>
      <w:r>
        <w:t xml:space="preserve"> </w:t>
      </w:r>
      <w:r>
        <w:rPr>
          <w:b/>
        </w:rPr>
        <w:t xml:space="preserve">Recent trends in plague ecology</w:t>
      </w:r>
      <w:r>
        <w:t xml:space="preserve"> </w:t>
      </w:r>
      <w:r>
        <w:br/>
      </w:r>
      <w:r>
        <w:t xml:space="preserve">K Gage, M Kosoy</w:t>
      </w:r>
      <w:r>
        <w:br/>
      </w:r>
      <w:r>
        <w:t xml:space="preserve">(2006)</w:t>
      </w:r>
      <w:r>
        <w:t xml:space="preserve"> </w:t>
      </w:r>
      <w:hyperlink r:id="rId91">
        <w:r>
          <w:rPr>
            <w:rStyle w:val="Hyperlink"/>
          </w:rPr>
          <w:t xml:space="preserve">http://reviverestore.org/wp-content/uploads/2015/02/Gage-and-Kosoy_USGS-Blk-footed-ferret-symp_2006-copy.pdf</w:t>
        </w:r>
      </w:hyperlink>
    </w:p>
    <w:bookmarkEnd w:id="92"/>
    <w:bookmarkStart w:id="96" w:name="ref-TV8iDhk7"/>
    <w:p>
      <w:pPr>
        <w:pStyle w:val="Bibliography"/>
      </w:pPr>
      <w:r>
        <w:t xml:space="preserve">9.</w:t>
      </w:r>
      <w:r>
        <w:t xml:space="preserve"> </w:t>
      </w:r>
      <w:r>
        <w:rPr>
          <w:b/>
        </w:rPr>
        <w:t xml:space="preserve">Yersinia pestis, the cause of plague, is a recently emerged clone of Yersinia pseudotuberculosis</w:t>
      </w:r>
      <w:r>
        <w:t xml:space="preserve"> </w:t>
      </w:r>
      <w:r>
        <w:br/>
      </w:r>
      <w:r>
        <w:t xml:space="preserve">M. Achtman, K. Zurth, G. Morelli, G. Torrea, A. Guiyoule, E. Carniel</w:t>
      </w:r>
      <w:r>
        <w:br/>
      </w:r>
      <w:r>
        <w:rPr>
          <w:i/>
        </w:rPr>
        <w:t xml:space="preserve">Proceedings of the National Academy of Sciences of the United States of America</w:t>
      </w:r>
      <w:r>
        <w:t xml:space="preserve"> </w:t>
      </w:r>
      <w:r>
        <w:t xml:space="preserve">(1999-11-23)</w:t>
      </w:r>
      <w:r>
        <w:t xml:space="preserve"> </w:t>
      </w:r>
      <w:r>
        <w:br/>
      </w:r>
      <w:r>
        <w:t xml:space="preserve">DOI:</w:t>
      </w:r>
      <w:r>
        <w:t xml:space="preserve"> </w:t>
      </w:r>
      <w:hyperlink r:id="rId93">
        <w:r>
          <w:rPr>
            <w:rStyle w:val="Hyperlink"/>
          </w:rPr>
          <w:t xml:space="preserve">10.1073/pnas.96.24.14043</w:t>
        </w:r>
      </w:hyperlink>
      <w:r>
        <w:t xml:space="preserve"> </w:t>
      </w:r>
      <w:r>
        <w:t xml:space="preserve">· PMID:</w:t>
      </w:r>
      <w:r>
        <w:t xml:space="preserve"> </w:t>
      </w:r>
      <w:hyperlink r:id="rId94">
        <w:r>
          <w:rPr>
            <w:rStyle w:val="Hyperlink"/>
          </w:rPr>
          <w:t xml:space="preserve">10570195</w:t>
        </w:r>
      </w:hyperlink>
      <w:r>
        <w:t xml:space="preserve"> </w:t>
      </w:r>
      <w:r>
        <w:t xml:space="preserve">· PMCID:</w:t>
      </w:r>
      <w:r>
        <w:t xml:space="preserve"> </w:t>
      </w:r>
      <w:hyperlink r:id="rId95">
        <w:r>
          <w:rPr>
            <w:rStyle w:val="Hyperlink"/>
          </w:rPr>
          <w:t xml:space="preserve">PMC24187</w:t>
        </w:r>
      </w:hyperlink>
    </w:p>
    <w:bookmarkEnd w:id="96"/>
    <w:bookmarkStart w:id="99" w:name="ref-187QsoYP3"/>
    <w:p>
      <w:pPr>
        <w:pStyle w:val="Bibliography"/>
      </w:pPr>
      <w:r>
        <w:t xml:space="preserve">10.</w:t>
      </w:r>
      <w:r>
        <w:t xml:space="preserve"> </w:t>
      </w:r>
      <w:r>
        <w:rPr>
          <w:b/>
        </w:rPr>
        <w:t xml:space="preserve">Insights into the evolution of Yersinia pestis through whole-genome comparison with Yersinia pseudotuberculosis</w:t>
      </w:r>
      <w:r>
        <w:t xml:space="preserve"> </w:t>
      </w:r>
      <w:r>
        <w:br/>
      </w:r>
      <w:r>
        <w:t xml:space="preserve">P. S. G. Chain, E. Carniel, F. W. Larimer, J. Lamerdin, P. O. Stoutland, W. M. Regala, A. M. Georgescu, L. M. Vergez, M. L. Land, V. L. Motin, … E. Garcia</w:t>
      </w:r>
      <w:r>
        <w:br/>
      </w:r>
      <w:r>
        <w:rPr>
          <w:i/>
        </w:rPr>
        <w:t xml:space="preserve">Proceedings of the National Academy of Sciences</w:t>
      </w:r>
      <w:r>
        <w:t xml:space="preserve"> </w:t>
      </w:r>
      <w:r>
        <w:t xml:space="preserve">(2004-09-21)</w:t>
      </w:r>
      <w:r>
        <w:t xml:space="preserve"> </w:t>
      </w:r>
      <w:hyperlink r:id="rId97">
        <w:r>
          <w:rPr>
            <w:rStyle w:val="Hyperlink"/>
          </w:rPr>
          <w:t xml:space="preserve">http://www.pnas.org/cgi/doi/10.1073/pnas.0404012101</w:t>
        </w:r>
      </w:hyperlink>
      <w:r>
        <w:t xml:space="preserve"> </w:t>
      </w:r>
      <w:r>
        <w:br/>
      </w:r>
      <w:r>
        <w:t xml:space="preserve">DOI:</w:t>
      </w:r>
      <w:r>
        <w:t xml:space="preserve"> </w:t>
      </w:r>
      <w:hyperlink r:id="rId98">
        <w:r>
          <w:rPr>
            <w:rStyle w:val="Hyperlink"/>
          </w:rPr>
          <w:t xml:space="preserve">10.1073/pnas.0404012101</w:t>
        </w:r>
      </w:hyperlink>
    </w:p>
    <w:bookmarkEnd w:id="99"/>
    <w:bookmarkStart w:id="101" w:name="ref-131fQLiJt"/>
    <w:p>
      <w:pPr>
        <w:pStyle w:val="Bibliography"/>
      </w:pPr>
      <w:r>
        <w:t xml:space="preserve">11.</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00">
        <w:r>
          <w:rPr>
            <w:rStyle w:val="Hyperlink"/>
          </w:rPr>
          <w:t xml:space="preserve">https://github.com/ktmeaton/NCBImeta</w:t>
        </w:r>
      </w:hyperlink>
    </w:p>
    <w:bookmarkEnd w:id="101"/>
    <w:bookmarkStart w:id="103" w:name="ref-hxWSqZgm"/>
    <w:p>
      <w:pPr>
        <w:pStyle w:val="Bibliography"/>
      </w:pPr>
      <w:r>
        <w:t xml:space="preserve">12.</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02">
        <w:r>
          <w:rPr>
            <w:rStyle w:val="Hyperlink"/>
          </w:rPr>
          <w:t xml:space="preserve">https://github.com/geopy/geopy</w:t>
        </w:r>
      </w:hyperlink>
    </w:p>
    <w:bookmarkEnd w:id="103"/>
    <w:bookmarkStart w:id="105" w:name="ref-M15a78x5"/>
    <w:p>
      <w:pPr>
        <w:pStyle w:val="Bibliography"/>
      </w:pPr>
      <w:r>
        <w:t xml:space="preserve">13.</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04">
        <w:r>
          <w:rPr>
            <w:rStyle w:val="Hyperlink"/>
          </w:rPr>
          <w:t xml:space="preserve">https://github.com/osm-search/Nominatim</w:t>
        </w:r>
      </w:hyperlink>
    </w:p>
    <w:bookmarkEnd w:id="105"/>
    <w:bookmarkStart w:id="107" w:name="ref-5rCiNisz"/>
    <w:p>
      <w:pPr>
        <w:pStyle w:val="Bibliography"/>
      </w:pPr>
      <w:r>
        <w:t xml:space="preserve">14.</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06">
        <w:r>
          <w:rPr>
            <w:rStyle w:val="Hyperlink"/>
          </w:rPr>
          <w:t xml:space="preserve">https://www.openstreetmap.org</w:t>
        </w:r>
      </w:hyperlink>
    </w:p>
    <w:bookmarkEnd w:id="107"/>
    <w:bookmarkStart w:id="109" w:name="ref-1DR126iIZ"/>
    <w:p>
      <w:pPr>
        <w:pStyle w:val="Bibliography"/>
      </w:pPr>
      <w:r>
        <w:t xml:space="preserve">15.</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08">
        <w:r>
          <w:rPr>
            <w:rStyle w:val="Hyperlink"/>
          </w:rPr>
          <w:t xml:space="preserve">https://github.com/tseemann/snippy</w:t>
        </w:r>
      </w:hyperlink>
    </w:p>
    <w:bookmarkEnd w:id="109"/>
    <w:bookmarkStart w:id="111" w:name="ref-puYDXtJ9"/>
    <w:p>
      <w:pPr>
        <w:pStyle w:val="Bibliography"/>
      </w:pPr>
      <w:r>
        <w:t xml:space="preserve">16.</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10">
        <w:r>
          <w:rPr>
            <w:rStyle w:val="Hyperlink"/>
          </w:rPr>
          <w:t xml:space="preserve">https://github.com/ncbi/sra-tools</w:t>
        </w:r>
      </w:hyperlink>
    </w:p>
    <w:bookmarkEnd w:id="111"/>
    <w:bookmarkStart w:id="114" w:name="ref-17yD9OrGW"/>
    <w:p>
      <w:pPr>
        <w:pStyle w:val="Bibliography"/>
      </w:pPr>
      <w:r>
        <w:t xml:space="preserve">17.</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12">
        <w:r>
          <w:rPr>
            <w:rStyle w:val="Hyperlink"/>
          </w:rPr>
          <w:t xml:space="preserve">https://peerj.com/articles/10947</w:t>
        </w:r>
      </w:hyperlink>
      <w:r>
        <w:t xml:space="preserve"> </w:t>
      </w:r>
      <w:r>
        <w:br/>
      </w:r>
      <w:r>
        <w:t xml:space="preserve">DOI:</w:t>
      </w:r>
      <w:r>
        <w:t xml:space="preserve"> </w:t>
      </w:r>
      <w:hyperlink r:id="rId113">
        <w:r>
          <w:rPr>
            <w:rStyle w:val="Hyperlink"/>
          </w:rPr>
          <w:t xml:space="preserve">10.7717/peerj.10947</w:t>
        </w:r>
      </w:hyperlink>
    </w:p>
    <w:bookmarkEnd w:id="114"/>
    <w:bookmarkStart w:id="117" w:name="ref-ONhNS9aO"/>
    <w:p>
      <w:pPr>
        <w:pStyle w:val="Bibliography"/>
      </w:pPr>
      <w:r>
        <w:t xml:space="preserve">18.</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15">
        <w:r>
          <w:rPr>
            <w:rStyle w:val="Hyperlink"/>
          </w:rPr>
          <w:t xml:space="preserve">http://www.pnas.org/cgi/doi/10.1073/pnas.1205750110</w:t>
        </w:r>
      </w:hyperlink>
      <w:r>
        <w:t xml:space="preserve"> </w:t>
      </w:r>
      <w:r>
        <w:br/>
      </w:r>
      <w:r>
        <w:t xml:space="preserve">DOI:</w:t>
      </w:r>
      <w:r>
        <w:t xml:space="preserve"> </w:t>
      </w:r>
      <w:hyperlink r:id="rId116">
        <w:r>
          <w:rPr>
            <w:rStyle w:val="Hyperlink"/>
          </w:rPr>
          <w:t xml:space="preserve">10.1073/pnas.1205750110</w:t>
        </w:r>
      </w:hyperlink>
    </w:p>
    <w:bookmarkEnd w:id="117"/>
    <w:bookmarkStart w:id="120" w:name="ref-QZIPWLUx"/>
    <w:p>
      <w:pPr>
        <w:pStyle w:val="Bibliography"/>
      </w:pPr>
      <w:r>
        <w:t xml:space="preserve">19.</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18">
        <w:r>
          <w:rPr>
            <w:rStyle w:val="Hyperlink"/>
          </w:rPr>
          <w:t xml:space="preserve">http://www.nature.com/articles/nmeth.4285</w:t>
        </w:r>
      </w:hyperlink>
      <w:r>
        <w:t xml:space="preserve"> </w:t>
      </w:r>
      <w:r>
        <w:br/>
      </w:r>
      <w:r>
        <w:t xml:space="preserve">DOI:</w:t>
      </w:r>
      <w:r>
        <w:t xml:space="preserve"> </w:t>
      </w:r>
      <w:hyperlink r:id="rId119">
        <w:r>
          <w:rPr>
            <w:rStyle w:val="Hyperlink"/>
          </w:rPr>
          <w:t xml:space="preserve">10.1038/nmeth.4285</w:t>
        </w:r>
      </w:hyperlink>
    </w:p>
    <w:bookmarkEnd w:id="120"/>
    <w:bookmarkStart w:id="123" w:name="ref-mkkgRhHT"/>
    <w:p>
      <w:pPr>
        <w:pStyle w:val="Bibliography"/>
      </w:pPr>
      <w:r>
        <w:t xml:space="preserve">20.</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21">
        <w:r>
          <w:rPr>
            <w:rStyle w:val="Hyperlink"/>
          </w:rPr>
          <w:t xml:space="preserve">https://academic.oup.com/mbe/article/37/5/1530/5721363</w:t>
        </w:r>
      </w:hyperlink>
      <w:r>
        <w:t xml:space="preserve"> </w:t>
      </w:r>
      <w:r>
        <w:br/>
      </w:r>
      <w:r>
        <w:t xml:space="preserve">DOI:</w:t>
      </w:r>
      <w:r>
        <w:t xml:space="preserve"> </w:t>
      </w:r>
      <w:hyperlink r:id="rId122">
        <w:r>
          <w:rPr>
            <w:rStyle w:val="Hyperlink"/>
          </w:rPr>
          <w:t xml:space="preserve">10.1093/molbev/msaa015</w:t>
        </w:r>
      </w:hyperlink>
    </w:p>
    <w:bookmarkEnd w:id="123"/>
    <w:bookmarkStart w:id="126" w:name="ref-12SvE6y3A"/>
    <w:p>
      <w:pPr>
        <w:pStyle w:val="Bibliography"/>
      </w:pPr>
      <w:r>
        <w:t xml:space="preserve">21.</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24">
        <w:r>
          <w:rPr>
            <w:rStyle w:val="Hyperlink"/>
          </w:rPr>
          <w:t xml:space="preserve">https://academic.oup.com/mbe/article/35/2/518/4565479</w:t>
        </w:r>
      </w:hyperlink>
      <w:r>
        <w:t xml:space="preserve"> </w:t>
      </w:r>
      <w:r>
        <w:br/>
      </w:r>
      <w:r>
        <w:t xml:space="preserve">DOI:</w:t>
      </w:r>
      <w:r>
        <w:t xml:space="preserve"> </w:t>
      </w:r>
      <w:hyperlink r:id="rId125">
        <w:r>
          <w:rPr>
            <w:rStyle w:val="Hyperlink"/>
          </w:rPr>
          <w:t xml:space="preserve">10.1093/molbev/msx281</w:t>
        </w:r>
      </w:hyperlink>
    </w:p>
    <w:bookmarkEnd w:id="126"/>
    <w:bookmarkStart w:id="129" w:name="ref-VomZnwKw"/>
    <w:p>
      <w:pPr>
        <w:pStyle w:val="Bibliography"/>
      </w:pPr>
      <w:r>
        <w:t xml:space="preserve">22.</w:t>
      </w:r>
      <w:r>
        <w:t xml:space="preserve"> </w:t>
      </w:r>
      <w:r>
        <w:rPr>
          <w:b/>
        </w:rPr>
        <w:t xml:space="preserve">Fast Dating Using Least-Squares Criteria and Algorithms</w:t>
      </w:r>
      <w:r>
        <w:t xml:space="preserve"> </w:t>
      </w:r>
      <w:r>
        <w:br/>
      </w:r>
      <w:r>
        <w:t xml:space="preserve">Thu-Hien To, Matthieu Jung, Samantha Lycett, Olivier Gascuel</w:t>
      </w:r>
      <w:r>
        <w:br/>
      </w:r>
      <w:r>
        <w:rPr>
          <w:i/>
        </w:rPr>
        <w:t xml:space="preserve">Systematic Biology</w:t>
      </w:r>
      <w:r>
        <w:t xml:space="preserve"> </w:t>
      </w:r>
      <w:r>
        <w:t xml:space="preserve">(2016-01)</w:t>
      </w:r>
      <w:r>
        <w:t xml:space="preserve"> </w:t>
      </w:r>
      <w:hyperlink r:id="rId127">
        <w:r>
          <w:rPr>
            <w:rStyle w:val="Hyperlink"/>
          </w:rPr>
          <w:t xml:space="preserve">https://academic.oup.com/sysbio/article-lookup/doi/10.1093/sysbio/syv068</w:t>
        </w:r>
      </w:hyperlink>
      <w:r>
        <w:t xml:space="preserve"> </w:t>
      </w:r>
      <w:r>
        <w:br/>
      </w:r>
      <w:r>
        <w:t xml:space="preserve">DOI:</w:t>
      </w:r>
      <w:r>
        <w:t xml:space="preserve"> </w:t>
      </w:r>
      <w:hyperlink r:id="rId128">
        <w:r>
          <w:rPr>
            <w:rStyle w:val="Hyperlink"/>
          </w:rPr>
          <w:t xml:space="preserve">10.1093/sysbio/syv068</w:t>
        </w:r>
      </w:hyperlink>
    </w:p>
    <w:bookmarkEnd w:id="129"/>
    <w:bookmarkStart w:id="134" w:name="ref-11JaQggrG"/>
    <w:p>
      <w:pPr>
        <w:pStyle w:val="Bibliography"/>
      </w:pPr>
      <w:r>
        <w:t xml:space="preserve">23.</w:t>
      </w:r>
      <w:r>
        <w:t xml:space="preserve"> </w:t>
      </w:r>
      <w:r>
        <w:rPr>
          <w:b/>
        </w:rPr>
        <w:t xml:space="preserve">TreeTime: Maximum-likelihood phylodynamic analysis</w:t>
      </w:r>
      <w:r>
        <w:t xml:space="preserve"> </w:t>
      </w:r>
      <w:r>
        <w:br/>
      </w:r>
      <w:r>
        <w:t xml:space="preserve">Pavel Sagulenko, Vadim Puller, Richard A Neher</w:t>
      </w:r>
      <w:r>
        <w:br/>
      </w:r>
      <w:r>
        <w:rPr>
          <w:i/>
        </w:rPr>
        <w:t xml:space="preserve">Virus Evolution</w:t>
      </w:r>
      <w:r>
        <w:t xml:space="preserve"> </w:t>
      </w:r>
      <w:r>
        <w:t xml:space="preserve">(2018-01-08)</w:t>
      </w:r>
      <w:r>
        <w:t xml:space="preserve"> </w:t>
      </w:r>
      <w:hyperlink r:id="rId130">
        <w:r>
          <w:rPr>
            <w:rStyle w:val="Hyperlink"/>
          </w:rPr>
          <w:t xml:space="preserve">https://www.ncbi.nlm.nih.gov/pmc/articles/PMC5758920/</w:t>
        </w:r>
      </w:hyperlink>
      <w:r>
        <w:t xml:space="preserve"> </w:t>
      </w:r>
      <w:r>
        <w:br/>
      </w:r>
      <w:r>
        <w:t xml:space="preserve">DOI:</w:t>
      </w:r>
      <w:r>
        <w:t xml:space="preserve"> </w:t>
      </w:r>
      <w:hyperlink r:id="rId131">
        <w:r>
          <w:rPr>
            <w:rStyle w:val="Hyperlink"/>
          </w:rPr>
          <w:t xml:space="preserve">10.1093/ve/vex042</w:t>
        </w:r>
      </w:hyperlink>
      <w:r>
        <w:t xml:space="preserve"> </w:t>
      </w:r>
      <w:r>
        <w:t xml:space="preserve">· PMID:</w:t>
      </w:r>
      <w:r>
        <w:t xml:space="preserve"> </w:t>
      </w:r>
      <w:hyperlink r:id="rId132">
        <w:r>
          <w:rPr>
            <w:rStyle w:val="Hyperlink"/>
          </w:rPr>
          <w:t xml:space="preserve">29340210</w:t>
        </w:r>
      </w:hyperlink>
      <w:r>
        <w:t xml:space="preserve"> </w:t>
      </w:r>
      <w:r>
        <w:t xml:space="preserve">· PMCID:</w:t>
      </w:r>
      <w:r>
        <w:t xml:space="preserve"> </w:t>
      </w:r>
      <w:hyperlink r:id="rId133">
        <w:r>
          <w:rPr>
            <w:rStyle w:val="Hyperlink"/>
          </w:rPr>
          <w:t xml:space="preserve">PMC5758920</w:t>
        </w:r>
      </w:hyperlink>
    </w:p>
    <w:bookmarkEnd w:id="134"/>
    <w:bookmarkStart w:id="138" w:name="ref-pjjiQi2H"/>
    <w:p>
      <w:pPr>
        <w:pStyle w:val="Bibliography"/>
      </w:pPr>
      <w:r>
        <w:t xml:space="preserve">24.</w:t>
      </w:r>
      <w:r>
        <w:t xml:space="preserve"> </w:t>
      </w:r>
      <w:r>
        <w:rPr>
          <w:b/>
        </w:rPr>
        <w:t xml:space="preserve">Historical and genomic data reveal the influencing factors on global transmission velocity of plague during the Third Pandemic</w:t>
      </w:r>
      <w:r>
        <w:t xml:space="preserve"> </w:t>
      </w:r>
      <w:r>
        <w:br/>
      </w:r>
      <w:r>
        <w:t xml:space="preserve">Lei Xu, Leif C. Stige, Herwig Leirs, Simon Neerinckx, Kenneth L. Gage, Ruifu Yang, Qiyong Liu, Barbara Bramanti, Katharine R. Dean, Hui Tang, … Zhibin Zhang</w:t>
      </w:r>
      <w:r>
        <w:br/>
      </w:r>
      <w:r>
        <w:rPr>
          <w:i/>
        </w:rPr>
        <w:t xml:space="preserve">Proceedings of the National Academy of Sciences</w:t>
      </w:r>
      <w:r>
        <w:t xml:space="preserve"> </w:t>
      </w:r>
      <w:r>
        <w:t xml:space="preserve">(2019-06-11)</w:t>
      </w:r>
      <w:r>
        <w:t xml:space="preserve"> </w:t>
      </w:r>
      <w:hyperlink r:id="rId135">
        <w:r>
          <w:rPr>
            <w:rStyle w:val="Hyperlink"/>
          </w:rPr>
          <w:t xml:space="preserve">https://www.pnas.org/content/116/24/11833</w:t>
        </w:r>
      </w:hyperlink>
      <w:r>
        <w:t xml:space="preserve"> </w:t>
      </w:r>
      <w:r>
        <w:br/>
      </w:r>
      <w:r>
        <w:t xml:space="preserve">DOI:</w:t>
      </w:r>
      <w:r>
        <w:t xml:space="preserve"> </w:t>
      </w:r>
      <w:hyperlink r:id="rId136">
        <w:r>
          <w:rPr>
            <w:rStyle w:val="Hyperlink"/>
          </w:rPr>
          <w:t xml:space="preserve">10.1073/pnas.1901366116</w:t>
        </w:r>
      </w:hyperlink>
      <w:r>
        <w:t xml:space="preserve"> </w:t>
      </w:r>
      <w:r>
        <w:t xml:space="preserve">· PMID:</w:t>
      </w:r>
      <w:r>
        <w:t xml:space="preserve"> </w:t>
      </w:r>
      <w:hyperlink r:id="rId137">
        <w:r>
          <w:rPr>
            <w:rStyle w:val="Hyperlink"/>
          </w:rPr>
          <w:t xml:space="preserve">31138696</w:t>
        </w:r>
      </w:hyperlink>
    </w:p>
    <w:bookmarkEnd w:id="138"/>
    <w:bookmarkStart w:id="141" w:name="ref-39QXTupk"/>
    <w:p>
      <w:pPr>
        <w:pStyle w:val="Bibliography"/>
      </w:pPr>
      <w:r>
        <w:t xml:space="preserve">25.</w:t>
      </w:r>
      <w:r>
        <w:t xml:space="preserve"> </w:t>
      </w:r>
      <w:r>
        <w:rPr>
          <w:b/>
        </w:rPr>
        <w:t xml:space="preserve">Historical</w:t>
      </w:r>
      <w:r>
        <w:rPr>
          <w:b/>
        </w:rPr>
        <w:t xml:space="preserve"> </w:t>
      </w:r>
      <w:r>
        <w:rPr>
          <w:i/>
          <w:b/>
        </w:rPr>
        <w:t xml:space="preserve">Y. pestis</w:t>
      </w:r>
      <w:r>
        <w:rPr>
          <w:b/>
        </w:rPr>
        <w:t xml:space="preserve"> </w:t>
      </w:r>
      <w:r>
        <w:rPr>
          <w:b/>
        </w:rPr>
        <w:t xml:space="preserve">Genomes Reveal the European Black Death as the Source of Ancient and Modern Plague Pandemics</w:t>
      </w:r>
      <w:r>
        <w:t xml:space="preserve"> </w:t>
      </w:r>
      <w:r>
        <w:br/>
      </w:r>
      <w:r>
        <w:t xml:space="preserve">Maria A. Spyrou, Rezeda I. Tukhbatova, Michal Feldman, Joanna Drath, Sacha Kacki, Julia Beltrán de Heredia, Susanne Arnold, Airat G. Sitdikov, Dominique Castex, Joachim Wahl, … Johannes Krause</w:t>
      </w:r>
      <w:r>
        <w:br/>
      </w:r>
      <w:r>
        <w:rPr>
          <w:i/>
        </w:rPr>
        <w:t xml:space="preserve">Cell Host &amp; Microbe</w:t>
      </w:r>
      <w:r>
        <w:t xml:space="preserve"> </w:t>
      </w:r>
      <w:r>
        <w:t xml:space="preserve">(2016-06)</w:t>
      </w:r>
      <w:r>
        <w:t xml:space="preserve"> </w:t>
      </w:r>
      <w:hyperlink r:id="rId139">
        <w:r>
          <w:rPr>
            <w:rStyle w:val="Hyperlink"/>
          </w:rPr>
          <w:t xml:space="preserve">http://linkinghub.elsevier.com/retrieve/pii/S1931312816302086</w:t>
        </w:r>
      </w:hyperlink>
      <w:r>
        <w:t xml:space="preserve"> </w:t>
      </w:r>
      <w:r>
        <w:br/>
      </w:r>
      <w:r>
        <w:t xml:space="preserve">DOI:</w:t>
      </w:r>
      <w:r>
        <w:t xml:space="preserve"> </w:t>
      </w:r>
      <w:hyperlink r:id="rId140">
        <w:r>
          <w:rPr>
            <w:rStyle w:val="Hyperlink"/>
          </w:rPr>
          <w:t xml:space="preserve">10.1016/j.chom.2016.05.012</w:t>
        </w:r>
      </w:hyperlink>
    </w:p>
    <w:bookmarkEnd w:id="141"/>
    <w:bookmarkStart w:id="145" w:name="ref-Y4CIJOZW"/>
    <w:p>
      <w:pPr>
        <w:pStyle w:val="Bibliography"/>
      </w:pPr>
      <w:r>
        <w:t xml:space="preserve">26.</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42">
        <w:r>
          <w:rPr>
            <w:rStyle w:val="Hyperlink"/>
          </w:rPr>
          <w:t xml:space="preserve">10.1038/ng.705</w:t>
        </w:r>
      </w:hyperlink>
      <w:r>
        <w:t xml:space="preserve"> </w:t>
      </w:r>
      <w:r>
        <w:t xml:space="preserve">· PMID:</w:t>
      </w:r>
      <w:r>
        <w:t xml:space="preserve"> </w:t>
      </w:r>
      <w:hyperlink r:id="rId143">
        <w:r>
          <w:rPr>
            <w:rStyle w:val="Hyperlink"/>
          </w:rPr>
          <w:t xml:space="preserve">21037571</w:t>
        </w:r>
      </w:hyperlink>
      <w:r>
        <w:t xml:space="preserve"> </w:t>
      </w:r>
      <w:r>
        <w:t xml:space="preserve">· PMCID:</w:t>
      </w:r>
      <w:r>
        <w:t xml:space="preserve"> </w:t>
      </w:r>
      <w:hyperlink r:id="rId144">
        <w:r>
          <w:rPr>
            <w:rStyle w:val="Hyperlink"/>
          </w:rPr>
          <w:t xml:space="preserve">PMC2999892</w:t>
        </w:r>
      </w:hyperlink>
    </w:p>
    <w:bookmarkEnd w:id="145"/>
    <w:bookmarkEnd w:id="14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39" Target="http://linkinghub.elsevier.com/retrieve/pii/S1931312816302086" TargetMode="External" /><Relationship Type="http://schemas.openxmlformats.org/officeDocument/2006/relationships/hyperlink" Id="rId91" Target="http://reviverestore.org/wp-content/uploads/2015/02/Gage-and-Kosoy_USGS-Blk-footed-ferret-symp_2006-copy.pdf" TargetMode="External" /><Relationship Type="http://schemas.openxmlformats.org/officeDocument/2006/relationships/hyperlink" Id="rId118" Target="http://www.nature.com/articles/nmeth.4285" TargetMode="External" /><Relationship Type="http://schemas.openxmlformats.org/officeDocument/2006/relationships/hyperlink" Id="rId97" Target="http://www.pnas.org/cgi/doi/10.1073/pnas.0404012101" TargetMode="External" /><Relationship Type="http://schemas.openxmlformats.org/officeDocument/2006/relationships/hyperlink" Id="rId115" Target="http://www.pnas.org/cgi/doi/10.1073/pnas.1205750110" TargetMode="External" /><Relationship Type="http://schemas.openxmlformats.org/officeDocument/2006/relationships/hyperlink" Id="rId124" Target="https://academic.oup.com/mbe/article/35/2/518/4565479" TargetMode="External" /><Relationship Type="http://schemas.openxmlformats.org/officeDocument/2006/relationships/hyperlink" Id="rId121" Target="https://academic.oup.com/mbe/article/37/5/1530/5721363" TargetMode="External" /><Relationship Type="http://schemas.openxmlformats.org/officeDocument/2006/relationships/hyperlink" Id="rId127" Target="https://academic.oup.com/sysbio/article-lookup/doi/10.1093/sysbio/syv068" TargetMode="External" /><Relationship Type="http://schemas.openxmlformats.org/officeDocument/2006/relationships/hyperlink" Id="rId89" Target="https://apps.who.int/iris/bitstream/handle/10665/325481/WER9425-en-fr.pdf" TargetMode="External" /><Relationship Type="http://schemas.openxmlformats.org/officeDocument/2006/relationships/hyperlink" Id="rId74" Target="https://doi.org/10.1016/j.cell.2018.11.005" TargetMode="External" /><Relationship Type="http://schemas.openxmlformats.org/officeDocument/2006/relationships/hyperlink" Id="rId140" Target="https://doi.org/10.1016/j.chom.2016.05.012" TargetMode="External" /><Relationship Type="http://schemas.openxmlformats.org/officeDocument/2006/relationships/hyperlink" Id="rId70" Target="https://doi.org/10.1016/j.cub.2017.10.025" TargetMode="External" /><Relationship Type="http://schemas.openxmlformats.org/officeDocument/2006/relationships/hyperlink" Id="rId142" Target="https://doi.org/10.1038/ng.705" TargetMode="External" /><Relationship Type="http://schemas.openxmlformats.org/officeDocument/2006/relationships/hyperlink" Id="rId119" Target="https://doi.org/10.1038/nmeth.4285" TargetMode="External" /><Relationship Type="http://schemas.openxmlformats.org/officeDocument/2006/relationships/hyperlink" Id="rId78" Target="https://doi.org/10.1038/s41598-017-13481-2" TargetMode="External" /><Relationship Type="http://schemas.openxmlformats.org/officeDocument/2006/relationships/hyperlink" Id="rId98" Target="https://doi.org/10.1073/pnas.0404012101" TargetMode="External" /><Relationship Type="http://schemas.openxmlformats.org/officeDocument/2006/relationships/hyperlink" Id="rId116" Target="https://doi.org/10.1073/pnas.1205750110" TargetMode="External" /><Relationship Type="http://schemas.openxmlformats.org/officeDocument/2006/relationships/hyperlink" Id="rId136" Target="https://doi.org/10.1073/pnas.1901366116" TargetMode="External" /><Relationship Type="http://schemas.openxmlformats.org/officeDocument/2006/relationships/hyperlink" Id="rId93" Target="https://doi.org/10.1073/pnas.96.24.14043" TargetMode="External" /><Relationship Type="http://schemas.openxmlformats.org/officeDocument/2006/relationships/hyperlink" Id="rId122" Target="https://doi.org/10.1093/molbev/msaa015" TargetMode="External" /><Relationship Type="http://schemas.openxmlformats.org/officeDocument/2006/relationships/hyperlink" Id="rId125" Target="https://doi.org/10.1093/molbev/msx281" TargetMode="External" /><Relationship Type="http://schemas.openxmlformats.org/officeDocument/2006/relationships/hyperlink" Id="rId128" Target="https://doi.org/10.1093/sysbio/syv068" TargetMode="External" /><Relationship Type="http://schemas.openxmlformats.org/officeDocument/2006/relationships/hyperlink" Id="rId131" Target="https://doi.org/10.1093/ve/vex042" TargetMode="External" /><Relationship Type="http://schemas.openxmlformats.org/officeDocument/2006/relationships/hyperlink" Id="rId113" Target="https://doi.org/10.7717/peerj.10947" TargetMode="External" /><Relationship Type="http://schemas.openxmlformats.org/officeDocument/2006/relationships/hyperlink" Id="rId102"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00" Target="https://github.com/ktmeaton/NCBImeta" TargetMode="External" /><Relationship Type="http://schemas.openxmlformats.org/officeDocument/2006/relationships/hyperlink" Id="rId21" Target="https://github.com/ktmeaton/obsidian-public/tree/f01a5b57" TargetMode="External" /><Relationship Type="http://schemas.openxmlformats.org/officeDocument/2006/relationships/hyperlink" Id="rId110" Target="https://github.com/ncbi/sra-tools" TargetMode="External" /><Relationship Type="http://schemas.openxmlformats.org/officeDocument/2006/relationships/hyperlink" Id="rId104"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08" Target="https://github.com/tseemann/snippy"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12" Target="https://peerj.com/articles/10947" TargetMode="External" /><Relationship Type="http://schemas.openxmlformats.org/officeDocument/2006/relationships/hyperlink" Id="rId20" Target="https://rawcdn.githack.com/ktmeaton/obsidian-public/f01a5b57/academic/Plague%20Phylodynamics%20and%20Phylogeography%20Paper.html" TargetMode="External" /><Relationship Type="http://schemas.openxmlformats.org/officeDocument/2006/relationships/hyperlink" Id="rId87" Target="https://worldcat.org/isbn/0-85115-943-5" TargetMode="External" /><Relationship Type="http://schemas.openxmlformats.org/officeDocument/2006/relationships/hyperlink" Id="rId73" Target="https://www.cell.com/cell/abstract/S0092-8674(18)31464-8" TargetMode="External" /><Relationship Type="http://schemas.openxmlformats.org/officeDocument/2006/relationships/hyperlink" Id="rId83" Target="https://www.ncbi.nlm.nih.gov/pmc/articles/PMC172914" TargetMode="External" /><Relationship Type="http://schemas.openxmlformats.org/officeDocument/2006/relationships/hyperlink" Id="rId95" Target="https://www.ncbi.nlm.nih.gov/pmc/articles/PMC24187" TargetMode="External" /><Relationship Type="http://schemas.openxmlformats.org/officeDocument/2006/relationships/hyperlink" Id="rId144" Target="https://www.ncbi.nlm.nih.gov/pmc/articles/PMC2999892" TargetMode="External" /><Relationship Type="http://schemas.openxmlformats.org/officeDocument/2006/relationships/hyperlink" Id="rId80" Target="https://www.ncbi.nlm.nih.gov/pmc/articles/PMC5636801" TargetMode="External" /><Relationship Type="http://schemas.openxmlformats.org/officeDocument/2006/relationships/hyperlink" Id="rId77" Target="https://www.ncbi.nlm.nih.gov/pmc/articles/PMC5636801/" TargetMode="External" /><Relationship Type="http://schemas.openxmlformats.org/officeDocument/2006/relationships/hyperlink" Id="rId133" Target="https://www.ncbi.nlm.nih.gov/pmc/articles/PMC5758920" TargetMode="External" /><Relationship Type="http://schemas.openxmlformats.org/officeDocument/2006/relationships/hyperlink" Id="rId130" Target="https://www.ncbi.nlm.nih.gov/pmc/articles/PMC5758920/" TargetMode="External" /><Relationship Type="http://schemas.openxmlformats.org/officeDocument/2006/relationships/hyperlink" Id="rId94" Target="https://www.ncbi.nlm.nih.gov/pubmed/10570195" TargetMode="External" /><Relationship Type="http://schemas.openxmlformats.org/officeDocument/2006/relationships/hyperlink" Id="rId143" Target="https://www.ncbi.nlm.nih.gov/pubmed/21037571" TargetMode="External" /><Relationship Type="http://schemas.openxmlformats.org/officeDocument/2006/relationships/hyperlink" Id="rId79" Target="https://www.ncbi.nlm.nih.gov/pubmed/29021541" TargetMode="External" /><Relationship Type="http://schemas.openxmlformats.org/officeDocument/2006/relationships/hyperlink" Id="rId71" Target="https://www.ncbi.nlm.nih.gov/pubmed/29174893" TargetMode="External" /><Relationship Type="http://schemas.openxmlformats.org/officeDocument/2006/relationships/hyperlink" Id="rId132" Target="https://www.ncbi.nlm.nih.gov/pubmed/29340210" TargetMode="External" /><Relationship Type="http://schemas.openxmlformats.org/officeDocument/2006/relationships/hyperlink" Id="rId75" Target="https://www.ncbi.nlm.nih.gov/pubmed/30528431" TargetMode="External" /><Relationship Type="http://schemas.openxmlformats.org/officeDocument/2006/relationships/hyperlink" Id="rId137" Target="https://www.ncbi.nlm.nih.gov/pubmed/31138696" TargetMode="External" /><Relationship Type="http://schemas.openxmlformats.org/officeDocument/2006/relationships/hyperlink" Id="rId82" Target="https://www.ncbi.nlm.nih.gov/pubmed/8993858" TargetMode="External" /><Relationship Type="http://schemas.openxmlformats.org/officeDocument/2006/relationships/hyperlink" Id="rId106" Target="https://www.openstreetmap.org" TargetMode="External" /><Relationship Type="http://schemas.openxmlformats.org/officeDocument/2006/relationships/hyperlink" Id="rId135" Target="https://www.pnas.org/content/116/24/11833" TargetMode="External" /><Relationship Type="http://schemas.openxmlformats.org/officeDocument/2006/relationships/hyperlink" Id="rId85"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139" Target="http://linkinghub.elsevier.com/retrieve/pii/S1931312816302086" TargetMode="External" /><Relationship Type="http://schemas.openxmlformats.org/officeDocument/2006/relationships/hyperlink" Id="rId91" Target="http://reviverestore.org/wp-content/uploads/2015/02/Gage-and-Kosoy_USGS-Blk-footed-ferret-symp_2006-copy.pdf" TargetMode="External" /><Relationship Type="http://schemas.openxmlformats.org/officeDocument/2006/relationships/hyperlink" Id="rId118" Target="http://www.nature.com/articles/nmeth.4285" TargetMode="External" /><Relationship Type="http://schemas.openxmlformats.org/officeDocument/2006/relationships/hyperlink" Id="rId97" Target="http://www.pnas.org/cgi/doi/10.1073/pnas.0404012101" TargetMode="External" /><Relationship Type="http://schemas.openxmlformats.org/officeDocument/2006/relationships/hyperlink" Id="rId115" Target="http://www.pnas.org/cgi/doi/10.1073/pnas.1205750110" TargetMode="External" /><Relationship Type="http://schemas.openxmlformats.org/officeDocument/2006/relationships/hyperlink" Id="rId124" Target="https://academic.oup.com/mbe/article/35/2/518/4565479" TargetMode="External" /><Relationship Type="http://schemas.openxmlformats.org/officeDocument/2006/relationships/hyperlink" Id="rId121" Target="https://academic.oup.com/mbe/article/37/5/1530/5721363" TargetMode="External" /><Relationship Type="http://schemas.openxmlformats.org/officeDocument/2006/relationships/hyperlink" Id="rId127" Target="https://academic.oup.com/sysbio/article-lookup/doi/10.1093/sysbio/syv068" TargetMode="External" /><Relationship Type="http://schemas.openxmlformats.org/officeDocument/2006/relationships/hyperlink" Id="rId89" Target="https://apps.who.int/iris/bitstream/handle/10665/325481/WER9425-en-fr.pdf" TargetMode="External" /><Relationship Type="http://schemas.openxmlformats.org/officeDocument/2006/relationships/hyperlink" Id="rId74" Target="https://doi.org/10.1016/j.cell.2018.11.005" TargetMode="External" /><Relationship Type="http://schemas.openxmlformats.org/officeDocument/2006/relationships/hyperlink" Id="rId140" Target="https://doi.org/10.1016/j.chom.2016.05.012" TargetMode="External" /><Relationship Type="http://schemas.openxmlformats.org/officeDocument/2006/relationships/hyperlink" Id="rId70" Target="https://doi.org/10.1016/j.cub.2017.10.025" TargetMode="External" /><Relationship Type="http://schemas.openxmlformats.org/officeDocument/2006/relationships/hyperlink" Id="rId142" Target="https://doi.org/10.1038/ng.705" TargetMode="External" /><Relationship Type="http://schemas.openxmlformats.org/officeDocument/2006/relationships/hyperlink" Id="rId119" Target="https://doi.org/10.1038/nmeth.4285" TargetMode="External" /><Relationship Type="http://schemas.openxmlformats.org/officeDocument/2006/relationships/hyperlink" Id="rId78" Target="https://doi.org/10.1038/s41598-017-13481-2" TargetMode="External" /><Relationship Type="http://schemas.openxmlformats.org/officeDocument/2006/relationships/hyperlink" Id="rId98" Target="https://doi.org/10.1073/pnas.0404012101" TargetMode="External" /><Relationship Type="http://schemas.openxmlformats.org/officeDocument/2006/relationships/hyperlink" Id="rId116" Target="https://doi.org/10.1073/pnas.1205750110" TargetMode="External" /><Relationship Type="http://schemas.openxmlformats.org/officeDocument/2006/relationships/hyperlink" Id="rId136" Target="https://doi.org/10.1073/pnas.1901366116" TargetMode="External" /><Relationship Type="http://schemas.openxmlformats.org/officeDocument/2006/relationships/hyperlink" Id="rId93" Target="https://doi.org/10.1073/pnas.96.24.14043" TargetMode="External" /><Relationship Type="http://schemas.openxmlformats.org/officeDocument/2006/relationships/hyperlink" Id="rId122" Target="https://doi.org/10.1093/molbev/msaa015" TargetMode="External" /><Relationship Type="http://schemas.openxmlformats.org/officeDocument/2006/relationships/hyperlink" Id="rId125" Target="https://doi.org/10.1093/molbev/msx281" TargetMode="External" /><Relationship Type="http://schemas.openxmlformats.org/officeDocument/2006/relationships/hyperlink" Id="rId128" Target="https://doi.org/10.1093/sysbio/syv068" TargetMode="External" /><Relationship Type="http://schemas.openxmlformats.org/officeDocument/2006/relationships/hyperlink" Id="rId131" Target="https://doi.org/10.1093/ve/vex042" TargetMode="External" /><Relationship Type="http://schemas.openxmlformats.org/officeDocument/2006/relationships/hyperlink" Id="rId113" Target="https://doi.org/10.7717/peerj.10947" TargetMode="External" /><Relationship Type="http://schemas.openxmlformats.org/officeDocument/2006/relationships/hyperlink" Id="rId102" Target="https://github.com/geopy/geopy" TargetMode="External" /><Relationship Type="http://schemas.openxmlformats.org/officeDocument/2006/relationships/hyperlink" Id="rId26" Target="https://github.com/ktmeaton" TargetMode="External" /><Relationship Type="http://schemas.openxmlformats.org/officeDocument/2006/relationships/hyperlink" Id="rId100" Target="https://github.com/ktmeaton/NCBImeta" TargetMode="External" /><Relationship Type="http://schemas.openxmlformats.org/officeDocument/2006/relationships/hyperlink" Id="rId21" Target="https://github.com/ktmeaton/obsidian-public/tree/f01a5b57" TargetMode="External" /><Relationship Type="http://schemas.openxmlformats.org/officeDocument/2006/relationships/hyperlink" Id="rId110" Target="https://github.com/ncbi/sra-tools" TargetMode="External" /><Relationship Type="http://schemas.openxmlformats.org/officeDocument/2006/relationships/hyperlink" Id="rId104" Target="https://github.com/osm-search/Nominatim" TargetMode="External" /><Relationship Type="http://schemas.openxmlformats.org/officeDocument/2006/relationships/hyperlink" Id="rId29" Target="https://github.com/sebastianduchene" TargetMode="External" /><Relationship Type="http://schemas.openxmlformats.org/officeDocument/2006/relationships/hyperlink" Id="rId108" Target="https://github.com/tseemann/snippy"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63-0907" TargetMode="External" /><Relationship Type="http://schemas.openxmlformats.org/officeDocument/2006/relationships/hyperlink" Id="rId27" Target="https://orcid.org/0000-0002-8878-1758" TargetMode="External" /><Relationship Type="http://schemas.openxmlformats.org/officeDocument/2006/relationships/hyperlink" Id="rId112" Target="https://peerj.com/articles/10947" TargetMode="External" /><Relationship Type="http://schemas.openxmlformats.org/officeDocument/2006/relationships/hyperlink" Id="rId20" Target="https://rawcdn.githack.com/ktmeaton/obsidian-public/f01a5b57/academic/Plague%20Phylodynamics%20and%20Phylogeography%20Paper.html" TargetMode="External" /><Relationship Type="http://schemas.openxmlformats.org/officeDocument/2006/relationships/hyperlink" Id="rId87" Target="https://worldcat.org/isbn/0-85115-943-5" TargetMode="External" /><Relationship Type="http://schemas.openxmlformats.org/officeDocument/2006/relationships/hyperlink" Id="rId73" Target="https://www.cell.com/cell/abstract/S0092-8674(18)31464-8" TargetMode="External" /><Relationship Type="http://schemas.openxmlformats.org/officeDocument/2006/relationships/hyperlink" Id="rId83" Target="https://www.ncbi.nlm.nih.gov/pmc/articles/PMC172914" TargetMode="External" /><Relationship Type="http://schemas.openxmlformats.org/officeDocument/2006/relationships/hyperlink" Id="rId95" Target="https://www.ncbi.nlm.nih.gov/pmc/articles/PMC24187" TargetMode="External" /><Relationship Type="http://schemas.openxmlformats.org/officeDocument/2006/relationships/hyperlink" Id="rId144" Target="https://www.ncbi.nlm.nih.gov/pmc/articles/PMC2999892" TargetMode="External" /><Relationship Type="http://schemas.openxmlformats.org/officeDocument/2006/relationships/hyperlink" Id="rId80" Target="https://www.ncbi.nlm.nih.gov/pmc/articles/PMC5636801" TargetMode="External" /><Relationship Type="http://schemas.openxmlformats.org/officeDocument/2006/relationships/hyperlink" Id="rId77" Target="https://www.ncbi.nlm.nih.gov/pmc/articles/PMC5636801/" TargetMode="External" /><Relationship Type="http://schemas.openxmlformats.org/officeDocument/2006/relationships/hyperlink" Id="rId133" Target="https://www.ncbi.nlm.nih.gov/pmc/articles/PMC5758920" TargetMode="External" /><Relationship Type="http://schemas.openxmlformats.org/officeDocument/2006/relationships/hyperlink" Id="rId130" Target="https://www.ncbi.nlm.nih.gov/pmc/articles/PMC5758920/" TargetMode="External" /><Relationship Type="http://schemas.openxmlformats.org/officeDocument/2006/relationships/hyperlink" Id="rId94" Target="https://www.ncbi.nlm.nih.gov/pubmed/10570195" TargetMode="External" /><Relationship Type="http://schemas.openxmlformats.org/officeDocument/2006/relationships/hyperlink" Id="rId143" Target="https://www.ncbi.nlm.nih.gov/pubmed/21037571" TargetMode="External" /><Relationship Type="http://schemas.openxmlformats.org/officeDocument/2006/relationships/hyperlink" Id="rId79" Target="https://www.ncbi.nlm.nih.gov/pubmed/29021541" TargetMode="External" /><Relationship Type="http://schemas.openxmlformats.org/officeDocument/2006/relationships/hyperlink" Id="rId71" Target="https://www.ncbi.nlm.nih.gov/pubmed/29174893" TargetMode="External" /><Relationship Type="http://schemas.openxmlformats.org/officeDocument/2006/relationships/hyperlink" Id="rId132" Target="https://www.ncbi.nlm.nih.gov/pubmed/29340210" TargetMode="External" /><Relationship Type="http://schemas.openxmlformats.org/officeDocument/2006/relationships/hyperlink" Id="rId75" Target="https://www.ncbi.nlm.nih.gov/pubmed/30528431" TargetMode="External" /><Relationship Type="http://schemas.openxmlformats.org/officeDocument/2006/relationships/hyperlink" Id="rId137" Target="https://www.ncbi.nlm.nih.gov/pubmed/31138696" TargetMode="External" /><Relationship Type="http://schemas.openxmlformats.org/officeDocument/2006/relationships/hyperlink" Id="rId82" Target="https://www.ncbi.nlm.nih.gov/pubmed/8993858" TargetMode="External" /><Relationship Type="http://schemas.openxmlformats.org/officeDocument/2006/relationships/hyperlink" Id="rId106" Target="https://www.openstreetmap.org" TargetMode="External" /><Relationship Type="http://schemas.openxmlformats.org/officeDocument/2006/relationships/hyperlink" Id="rId135" Target="https://www.pnas.org/content/116/24/11833" TargetMode="External" /><Relationship Type="http://schemas.openxmlformats.org/officeDocument/2006/relationships/hyperlink" Id="rId85"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Phylodynamics and Phylogeography</dc:title>
  <dc:creator/>
  <dc:language>en-US</dc:language>
  <cp:keywords/>
  <dcterms:created xsi:type="dcterms:W3CDTF">2021-05-21T22:22:51Z</dcterms:created>
  <dcterms:modified xsi:type="dcterms:W3CDTF">2021-05-21T22:22:51Z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2021-05-21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