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133.png" ContentType="image/png"/>
  <Override PartName="/word/media/rId34.png" ContentType="image/png"/>
  <Override PartName="/word/media/rId4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ktmeaton/obsidian-public@425fc9f5</w:t>
        </w:r>
      </w:hyperlink>
      <w:r>
        <w:t xml:space="preserve"> </w:t>
      </w:r>
      <w:r>
        <w:t xml:space="preserve">on September 13,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w:t>
      </w:r>
      <w:r>
        <w:t xml:space="preserve"> </w:t>
      </w:r>
      <w:r>
        <w:t xml:space="preserve">[</w:t>
      </w:r>
      <w:hyperlink w:anchor="ref-lYwCAR8r">
        <w:r>
          <w:rPr>
            <w:rStyle w:val="Hyperlink"/>
          </w:rPr>
          <w:t xml:space="preserve">1</w:t>
        </w:r>
      </w:hyperlink>
      <w:r>
        <w:t xml:space="preserve">]</w:t>
      </w:r>
      <w:r>
        <w:t xml:space="preserve">. This structure develops as a populations subdivide and diversify in isolation, producing a pattern of lower diversity within groups and higher diversity between them. This knowledge can then be used to add nuance to phylogenetic analyses and interpretations, by explicitly modeling these unique evolutionary histories. However, there is little consensus concerning the genetic structure of</w:t>
      </w:r>
      <w:r>
        <w:t xml:space="preserve"> </w:t>
      </w:r>
      <w:r>
        <w:rPr>
          <w:i/>
        </w:rPr>
        <w:t xml:space="preserve">Y. pestis</w:t>
      </w:r>
      <w:r>
        <w:t xml:space="preserve"> </w:t>
      </w:r>
      <w:r>
        <w:t xml:space="preserve">on a global scale, and it was recently proposed</w:t>
      </w:r>
      <w:r>
        <w:t xml:space="preserve"> </w:t>
      </w:r>
      <w:r>
        <w:t xml:space="preserve">[</w:t>
      </w:r>
      <w:hyperlink w:anchor="ref-S7uUqUQG">
        <w:r>
          <w:rPr>
            <w:rStyle w:val="Hyperlink"/>
          </w:rPr>
          <w:t xml:space="preserve">2</w:t>
        </w:r>
      </w:hyperlink>
      <w:r>
        <w:t xml:space="preserve">]</w:t>
      </w:r>
      <w:r>
        <w:t xml:space="preserve"> </w:t>
      </w:r>
      <w:r>
        <w:t xml:space="preserve">that our understanding of population structure should be revised according to the latest genomic data.</w:t>
      </w:r>
    </w:p>
    <w:p>
      <w:pPr>
        <w:pStyle w:val="BodyText"/>
      </w:pPr>
      <w:r>
        <w:t xml:space="preserve">We therefore began by estimating a maximum-likelihood phylogeny, using 601 global isolates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 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global phylogeny using three widely-used nomenclature systems: the major branches, metabolic biovars, and historical time periods. In the following section, we compare and critique each system, identify any incongruent divisions and uncertainty, and explore an integrative approach for spatiotemporal analyses.</w:t>
      </w:r>
    </w:p>
    <w:bookmarkStart w:id="0" w:name="fig:divtree_map_timeline"/>
    <w:p>
      <w:pPr>
        <w:pStyle w:val="CaptionedFigure"/>
      </w:pPr>
      <w:bookmarkStart w:id="35" w:name="fig:divtree_map_timeline"/>
      <w:r>
        <w:drawing>
          <wp:inline>
            <wp:extent cx="5943600" cy="8456591"/>
            <wp:effectExtent b="0" l="0" r="0" t="0"/>
            <wp:docPr descr="Figure 1: The phylogenetic, temporal, and geographic distribution of Yersinia pestis genome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15ded0c/main/auspice/all/chromosome/full/filter5/ml/divtree_map_timeline.png" id="0" name="Picture"/>
                    <pic:cNvPicPr>
                      <a:picLocks noChangeArrowheads="1" noChangeAspect="1"/>
                    </pic:cNvPicPr>
                  </pic:nvPicPr>
                  <pic:blipFill>
                    <a:blip r:embed="rId34"/>
                    <a:stretch>
                      <a:fillRect/>
                    </a:stretch>
                  </pic:blipFill>
                  <pic:spPr bwMode="auto">
                    <a:xfrm>
                      <a:off x="0" y="0"/>
                      <a:ext cx="5943600" cy="8456591"/>
                    </a:xfrm>
                    <a:prstGeom prst="rect">
                      <a:avLst/>
                    </a:prstGeom>
                    <a:noFill/>
                    <a:ln w="9525">
                      <a:noFill/>
                      <a:headEnd/>
                      <a:tailEnd/>
                    </a:ln>
                  </pic:spPr>
                </pic:pic>
              </a:graphicData>
            </a:graphic>
          </wp:inline>
        </w:drawing>
      </w:r>
      <w:bookmarkEnd w:id="35"/>
    </w:p>
    <w:p>
      <w:pPr>
        <w:pStyle w:val="ImageCaption"/>
      </w:pPr>
      <w:r>
        <w:t xml:space="preserve">Figure 1: The phylogenetic, temporal, and geographic distribution of</w:t>
      </w:r>
      <w:r>
        <w:t xml:space="preserve"> </w:t>
      </w:r>
      <w:r>
        <w:rPr>
          <w:i/>
        </w:rPr>
        <w:t xml:space="preserve">Yersinia pestis</w:t>
      </w:r>
      <w:r>
        <w:t xml:space="preserve"> </w:t>
      </w:r>
      <w:r>
        <w:t xml:space="preserve">genomes. Top: The maximum-likelihood phylogeny. Middle: The timeline of collection dates. Bottom: The global geographic distribution.</w:t>
      </w:r>
    </w:p>
    <w:bookmarkEnd w:id="0"/>
    <w:p>
      <w:pPr>
        <w:pStyle w:val="Heading4"/>
      </w:pPr>
      <w:bookmarkStart w:id="36" w:name="biovar"/>
      <w:r>
        <w:t xml:space="preserve">Biovar</w:t>
      </w:r>
      <w:bookmarkEnd w:id="36"/>
    </w:p>
    <w:p>
      <w:pPr>
        <w:pStyle w:val="FirstParagraph"/>
      </w:pPr>
      <w:r>
        <w:t xml:space="preserve">The oldest system to date is the biovar nomenclature, which uses metabolic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hyperlink w:anchor="ref-cIuFxbEY">
        <w:r>
          <w:rPr>
            <w:rStyle w:val="Hyperlink"/>
          </w:rPr>
          <w:t xml:space="preserve">4</w:t>
        </w:r>
      </w:hyperlink>
      <w:r>
        <w:t xml:space="preserve">]</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in application,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2</w:t>
        </w:r>
      </w:hyperlink>
      <w:r>
        <w:t xml:space="preserve">]</w:t>
      </w:r>
      <w:r>
        <w:t xml:space="preserve">, which weakens its broader applicability. This is further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6</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7</w:t>
        </w:r>
      </w:hyperlink>
      <w:r>
        <w:t xml:space="preserve">]</w:t>
      </w:r>
      <w:r>
        <w:t xml:space="preserve"> </w:t>
      </w:r>
      <w:r>
        <w:t xml:space="preserve">or extrapolating existing ones</w:t>
      </w:r>
      <w:r>
        <w:t xml:space="preserve"> </w:t>
      </w:r>
      <w:r>
        <w:t xml:space="preserve">[</w:t>
      </w:r>
      <w:hyperlink w:anchor="ref-ACt53Sow">
        <w:r>
          <w:rPr>
            <w:rStyle w:val="Hyperlink"/>
          </w:rPr>
          <w:t xml:space="preserve">8</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2</w:t>
        </w:r>
      </w:hyperlink>
      <w:r>
        <w:t xml:space="preserve">]</w:t>
      </w:r>
      <w:r>
        <w:t xml:space="preserve">. Despite extensive research, it remains unclear which metabolic traits, if any, can be used to classify</w:t>
      </w:r>
      <w:r>
        <w:t xml:space="preserve"> </w:t>
      </w:r>
      <w:r>
        <w:rPr>
          <w:i/>
        </w:rPr>
        <w:t xml:space="preserve">Y. pestis</w:t>
      </w:r>
      <w:r>
        <w:t xml:space="preserve"> </w:t>
      </w:r>
      <w:r>
        <w:t xml:space="preserve">into distinct populations at a global scale.</w:t>
      </w:r>
    </w:p>
    <w:p>
      <w:pPr>
        <w:pStyle w:val="Heading4"/>
      </w:pPr>
      <w:bookmarkStart w:id="37" w:name="major-branch"/>
      <w:r>
        <w:t xml:space="preserve">Major Branch</w:t>
      </w:r>
      <w:bookmarkEnd w:id="37"/>
    </w:p>
    <w:p>
      <w:pPr>
        <w:pStyle w:val="FirstParagraph"/>
      </w:pPr>
      <w:r>
        <w:t xml:space="preserve">In contrast to the biovar nomenclature which emphasizes phenotype,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9</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10</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other biological changes.</w:t>
      </w:r>
    </w:p>
    <w:p>
      <w:pPr>
        <w:pStyle w:val="Heading4"/>
      </w:pPr>
      <w:bookmarkStart w:id="38" w:name="time-period"/>
      <w:r>
        <w:t xml:space="preserve">Time Period</w:t>
      </w:r>
      <w:bookmarkEnd w:id="38"/>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7</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8</w:t>
        </w:r>
      </w:hyperlink>
      <w:r>
        <w:t xml:space="preserve">]</w:t>
      </w:r>
      <w:r>
        <w:t xml:space="preserve">, the Second Pandemic (14th - 18th century CE)</w:t>
      </w:r>
      <w:r>
        <w:t xml:space="preserve"> </w:t>
      </w:r>
      <w:r>
        <w:t xml:space="preserve">[</w:t>
      </w:r>
      <w:hyperlink w:anchor="ref-1CPIgshmC">
        <w:r>
          <w:rPr>
            <w:rStyle w:val="Hyperlink"/>
          </w:rPr>
          <w:t xml:space="preserve">11</w:t>
        </w:r>
      </w:hyperlink>
      <w:r>
        <w:t xml:space="preserve">]</w:t>
      </w:r>
      <w:r>
        <w:t xml:space="preserve">, and the Third Pandemic (19th - 20th century CE)</w:t>
      </w:r>
      <w:r>
        <w:t xml:space="preserve"> </w:t>
      </w:r>
      <w:r>
        <w:t xml:space="preserve">[</w:t>
      </w:r>
      <w:hyperlink w:anchor="ref-ONhNS9aO">
        <w:r>
          <w:rPr>
            <w:rStyle w:val="Hyperlink"/>
          </w:rPr>
          <w:t xml:space="preserve">9</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12</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r>
        <w:t xml:space="preserve">[</w:t>
      </w:r>
      <w:hyperlink w:anchor="ref-MoWKnwLZ">
        <w:r>
          <w:rPr>
            <w:rStyle w:val="Hyperlink"/>
          </w:rPr>
          <w:t xml:space="preserve">13</w:t>
        </w:r>
      </w:hyperlink>
      <w:r>
        <w:t xml:space="preserve">]</w:t>
      </w:r>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14</w:t>
        </w:r>
      </w:hyperlink>
      <w:r>
        <w:t xml:space="preserve">]</w:t>
      </w:r>
      <w:r>
        <w:t xml:space="preserve">. The Second Pandemic is now recognized to have extended into at least the 19th Century</w:t>
      </w:r>
      <w:r>
        <w:t xml:space="preserve"> </w:t>
      </w:r>
      <w:r>
        <w:t xml:space="preserve">[</w:t>
      </w:r>
      <w:hyperlink w:anchor="ref-AbODfcWU">
        <w:r>
          <w:rPr>
            <w:rStyle w:val="Hyperlink"/>
          </w:rPr>
          <w:t xml:space="preserve">15</w:t>
        </w:r>
      </w:hyperlink>
      <w:r>
        <w:t xml:space="preserve">,</w:t>
      </w:r>
      <w:hyperlink w:anchor="ref-137GGjfp5">
        <w:r>
          <w:rPr>
            <w:rStyle w:val="Hyperlink"/>
          </w:rPr>
          <w:t xml:space="preserve">16</w:t>
        </w:r>
      </w:hyperlink>
      <w:r>
        <w:t xml:space="preserve">]</w:t>
      </w:r>
      <w:r>
        <w:t xml:space="preserve"> </w:t>
      </w:r>
      <w:r>
        <w:t xml:space="preserve">and the Third Pandemic is hypothesized to have began as early as the 18th century in southern China</w:t>
      </w:r>
      <w:r>
        <w:t xml:space="preserve"> </w:t>
      </w:r>
      <w:r>
        <w:t xml:space="preserve">[</w:t>
      </w:r>
      <w:hyperlink w:anchor="ref-RWkOSyzX">
        <w:r>
          <w:rPr>
            <w:rStyle w:val="Hyperlink"/>
          </w:rPr>
          <w:t xml:space="preserve">17</w:t>
        </w:r>
      </w:hyperlink>
      <w:r>
        <w:t xml:space="preserve">]</w:t>
      </w:r>
      <w:r>
        <w:t xml:space="preserve">. Unfortunately, this period of overlap remains genomically unsampled, thus it is unclear where exactly to draw a genetic distinction, if it even exists, between these pandemic events.</w:t>
      </w:r>
    </w:p>
    <w:p>
      <w:pPr>
        <w:pStyle w:val="BodyText"/>
      </w:pPr>
      <w:r>
        <w:t xml:space="preserve">Another limitation of this system is that several populations are curiously excluded from the time period nomenclature which emphasizes historically documented pandemics. For example,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18</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17</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in geographic scope, it will be important to consider how to adapt and expand the historical period nomenclature to encompass this new diversity.</w:t>
      </w:r>
    </w:p>
    <w:p>
      <w:pPr>
        <w:pStyle w:val="Heading4"/>
      </w:pPr>
      <w:bookmarkStart w:id="39" w:name="uncertainty"/>
      <w:r>
        <w:t xml:space="preserve">Uncertainty</w:t>
      </w:r>
      <w:bookmarkEnd w:id="39"/>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Instead, integrative approaches have been previously used in large comparative studies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Y4CIJOZW">
        <w:r>
          <w:rPr>
            <w:rStyle w:val="Hyperlink"/>
          </w:rPr>
          <w:t xml:space="preserve">19</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w:t>
      </w:r>
      <w:r>
        <w:t xml:space="preserve">Legend). In the following sections, we highlight the novel insight and issues that arise when this population structure is incorporated into spatiotemporal analysis.</w:t>
      </w:r>
    </w:p>
    <w:p>
      <w:pPr>
        <w:pStyle w:val="Heading3"/>
      </w:pPr>
      <w:bookmarkStart w:id="40" w:name="phylodynamics"/>
      <w:r>
        <w:t xml:space="preserve">Phylodynamics</w:t>
      </w:r>
      <w:bookmarkEnd w:id="40"/>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7</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10</w:t>
        </w:r>
      </w:hyperlink>
      <w:r>
        <w:t xml:space="preserve">]</w:t>
      </w:r>
      <w:r>
        <w:t xml:space="preserve">, and the onset of past pandemics</w:t>
      </w:r>
      <w:r>
        <w:t xml:space="preserve"> </w:t>
      </w:r>
      <w:r>
        <w:t xml:space="preserve">[</w:t>
      </w:r>
      <w:hyperlink w:anchor="ref-vk7LFPKc">
        <w:r>
          <w:rPr>
            <w:rStyle w:val="Hyperlink"/>
          </w:rPr>
          <w:t xml:space="preserve">6</w:t>
        </w:r>
      </w:hyperlink>
      <w:r>
        <w:t xml:space="preserve">,</w:t>
      </w:r>
      <w:hyperlink w:anchor="ref-ACt53Sow">
        <w:r>
          <w:rPr>
            <w:rStyle w:val="Hyperlink"/>
          </w:rPr>
          <w:t xml:space="preserve">8</w:t>
        </w:r>
      </w:hyperlink>
      <w:r>
        <w:t xml:space="preserve">,</w:t>
      </w:r>
      <w:hyperlink w:anchor="ref-ONhNS9aO">
        <w:r>
          <w:rPr>
            <w:rStyle w:val="Hyperlink"/>
          </w:rPr>
          <w:t xml:space="preserve">9</w:t>
        </w:r>
      </w:hyperlink>
      <w:r>
        <w:t xml:space="preserve">]</w:t>
      </w:r>
      <w:r>
        <w:t xml:space="preserve">.</w:t>
      </w:r>
      <w:r>
        <w:t xml:space="preserve"> </w:t>
      </w:r>
      <w:r>
        <w:t xml:space="preserve">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8</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11</w:t>
        </w:r>
      </w:hyperlink>
      <w:r>
        <w:t xml:space="preserve">,</w:t>
      </w:r>
      <w:hyperlink w:anchor="ref-1cTipQcd">
        <w:r>
          <w:rPr>
            <w:rStyle w:val="Hyperlink"/>
          </w:rPr>
          <w:t xml:space="preserve">20</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7</w:t>
        </w:r>
      </w:hyperlink>
      <w:r>
        <w:t xml:space="preserve">,</w:t>
      </w:r>
      <w:hyperlink w:anchor="ref-ONhNS9aO">
        <w:r>
          <w:rPr>
            <w:rStyle w:val="Hyperlink"/>
          </w:rPr>
          <w:t xml:space="preserve">9</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41" w:name="rate-variation"/>
      <w:r>
        <w:t xml:space="preserve">Rate Variation</w:t>
      </w:r>
      <w:bookmarkEnd w:id="41"/>
    </w:p>
    <w:p>
      <w:pPr>
        <w:pStyle w:val="FirstParagraph"/>
      </w:pPr>
      <w:r>
        <w:t xml:space="preserve">In light of this evolutionary debate, we began our temporal analysis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11</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collection date and genetic distance to the root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ecological processes, such as the cycling between endemic and epidemic phases</w:t>
      </w:r>
      <w:r>
        <w:t xml:space="preserve"> </w:t>
      </w:r>
      <w:r>
        <w:t xml:space="preserve">[</w:t>
      </w:r>
      <w:hyperlink w:anchor="ref-ONhNS9aO">
        <w:r>
          <w:rPr>
            <w:rStyle w:val="Hyperlink"/>
          </w:rPr>
          <w:t xml:space="preserve">9</w:t>
        </w:r>
      </w:hyperlink>
      <w:r>
        <w:t xml:space="preserve">]</w:t>
      </w:r>
      <w:r>
        <w:t xml:space="preserve"> </w:t>
      </w:r>
      <w:r>
        <w:t xml:space="preserve">and geographic expansions over large distances</w:t>
      </w:r>
      <w:r>
        <w:t xml:space="preserve"> </w:t>
      </w:r>
      <w:r>
        <w:t xml:space="preserve">[</w:t>
      </w:r>
      <w:hyperlink w:anchor="ref-1CPIgshmC">
        <w:r>
          <w:rPr>
            <w:rStyle w:val="Hyperlink"/>
          </w:rPr>
          <w:t xml:space="preserve">11</w:t>
        </w:r>
      </w:hyperlink>
      <w:r>
        <w:t xml:space="preserve">]</w:t>
      </w:r>
      <w:r>
        <w:t xml:space="preserve">. However, we argue that several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factor that is methodological in nature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in which populations sampled over several millennia (Bronze Age) have less variation 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21</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will lead to underestimating internal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Heading4"/>
      </w:pPr>
      <w:bookmarkStart w:id="45" w:name="slow-long-term-substitution-rate"/>
      <w:r>
        <w:t xml:space="preserve">Slow, Long-Term Substitution Rate</w:t>
      </w:r>
      <w:bookmarkEnd w:id="45"/>
    </w:p>
    <w:p>
      <w:pPr>
        <w:pStyle w:val="FirstParagraph"/>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20</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or 1 substitution every 10 to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22</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 Furthermore, the little phylogenetic signal that accumulates in the population may be easily obscured or biased by spurious mutations in a single sample.</w:t>
      </w:r>
    </w:p>
    <w:p>
      <w:pPr>
        <w:pStyle w:val="Heading4"/>
      </w:pPr>
      <w:bookmarkStart w:id="46" w:name="high-short-term-mutation-rate"/>
      <w:r>
        <w:t xml:space="preserve">High, Short Term Mutation Rate</w:t>
      </w:r>
      <w:bookmarkEnd w:id="46"/>
    </w:p>
    <w:p>
      <w:pPr>
        <w:pStyle w:val="FirstParagraph"/>
      </w:pPr>
      <w:r>
        <w:t xml:space="preserve">The</w:t>
      </w:r>
      <w:r>
        <w:t xml:space="preserve"> </w:t>
      </w:r>
      <w:r>
        <w:rPr>
          <w:i/>
        </w:rPr>
        <w:t xml:space="preserve">medievalis</w:t>
      </w:r>
      <w:r>
        <w:t xml:space="preserve"> </w:t>
      </w:r>
      <w:r>
        <w:t xml:space="preserve">population is an extreme example of mutational bias, as several samples collected between 1970 and 1980 are exceptionally divergent (Figure</w:t>
      </w:r>
      <w:r>
        <w:t xml:space="preserve"> </w:t>
      </w:r>
      <w:hyperlink w:anchor="fig:rtt">
        <w:r>
          <w:rPr>
            <w:rStyle w:val="Hyperlink"/>
          </w:rPr>
          <w:t xml:space="preserve">2</w:t>
        </w:r>
      </w:hyperlink>
      <w:r>
        <w:t xml:space="preserve">). This short-term diversity is largely due to mutations observed in only a single isolate, which manifest as long terminal branches in the maximum-likelihood phylogeny (Figure</w:t>
      </w:r>
      <w:r>
        <w:t xml:space="preserve"> </w:t>
      </w:r>
      <w:hyperlink w:anchor="fig:divtree_map_timeline">
        <w:r>
          <w:rPr>
            <w:rStyle w:val="Hyperlink"/>
          </w:rPr>
          <w:t xml:space="preserve">1</w:t>
        </w:r>
      </w:hyperlink>
      <w:r>
        <w:t xml:space="preserve">, Figure</w:t>
      </w:r>
      <w:r>
        <w:t xml:space="preserve"> </w:t>
      </w:r>
      <w:hyperlink w:anchor="fig:long_branches">
        <w:r>
          <w:rPr>
            <w:rStyle w:val="Hyperlink"/>
          </w:rPr>
          <w:t xml:space="preserve">4</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w:t>
      </w:r>
      <w:r>
        <w:t xml:space="preserve"> </w:t>
      </w:r>
      <w:hyperlink w:anchor="fig:meanRate_stdev_tmrca">
        <w:r>
          <w:rPr>
            <w:rStyle w:val="Hyperlink"/>
          </w:rPr>
          <w:t xml:space="preserve">3</w:t>
        </w:r>
      </w:hyperlink>
      <w:r>
        <w:t xml:space="preserve">). Given the extensive presence of these apparent outliers, inclusion or exclusion of these samples may have profound impacts on spatiotemporal analyses. Specifically, these populations may appear to have more rate acceleration events, a faster rate of spread, and unexpectedly young node dates.</w:t>
      </w:r>
    </w:p>
    <w:p>
      <w:pPr>
        <w:pStyle w:val="Heading4"/>
      </w:pPr>
      <w:bookmarkStart w:id="47" w:name="species-wide-molecular-clock"/>
      <w:r>
        <w:t xml:space="preserve">Species-Wide Molecular Clock</w:t>
      </w:r>
      <w:bookmarkEnd w:id="47"/>
    </w:p>
    <w:p>
      <w:pPr>
        <w:pStyle w:val="FirstParagraph"/>
      </w:pPr>
      <w:r>
        <w:t xml:space="preserve">As the root-to-tip regression revealed poor support for a strict clock (Figure</w:t>
      </w:r>
      <w:r>
        <w:t xml:space="preserve"> </w:t>
      </w:r>
      <w:hyperlink w:anchor="fig:rtt">
        <w:r>
          <w:rPr>
            <w:rStyle w:val="Hyperlink"/>
          </w:rPr>
          <w:t xml:space="preserve">2</w:t>
        </w:r>
      </w:hyperlink>
      <w:r>
        <w:t xml:space="preserve">), our next step was modeling the observed rate variation using relaxed clocks. To investigate the degree of temporal structure in</w:t>
      </w:r>
      <w:r>
        <w:t xml:space="preserve"> </w:t>
      </w:r>
      <w:r>
        <w:rPr>
          <w:i/>
        </w:rPr>
        <w:t xml:space="preserve">Y. pestis</w:t>
      </w:r>
      <w:r>
        <w:t xml:space="preserve">, we performed a Bayesian evaluation of temporal signal (BETS) test</w:t>
      </w:r>
      <w:r>
        <w:t xml:space="preserve"> </w:t>
      </w:r>
      <w:r>
        <w:t xml:space="preserve">[</w:t>
      </w:r>
      <w:hyperlink w:anchor="ref-zikRADit">
        <w:r>
          <w:rPr>
            <w:rStyle w:val="Hyperlink"/>
          </w:rPr>
          <w:t xml:space="preserve">23</w:t>
        </w:r>
      </w:hyperlink>
      <w:r>
        <w:t xml:space="preserve">]</w:t>
      </w:r>
      <w:r>
        <w:t xml:space="preserve">.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w:t>
      </w:r>
    </w:p>
    <w:p>
      <w:pPr>
        <w:pStyle w:val="BodyText"/>
      </w:pPr>
      <w:r>
        <w:t xml:space="preserve">Unfortunately, a BETS test was inconclusive when attempting to fit a clock model to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decreasing the number of genomes, using fixed tip dates, and fixing the tree topology. This observation is consistent with previous analyses</w:t>
      </w:r>
      <w:r>
        <w:t xml:space="preserve"> </w:t>
      </w:r>
      <w:r>
        <w:t xml:space="preserve">[</w:t>
      </w:r>
      <w:hyperlink w:anchor="ref-ACt53Sow">
        <w:r>
          <w:rPr>
            <w:rStyle w:val="Hyperlink"/>
          </w:rPr>
          <w:t xml:space="preserve">8</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However, as other studies have suggested data composition is a strong determinant of temporal signal</w:t>
      </w:r>
      <w:r>
        <w:t xml:space="preserve"> </w:t>
      </w:r>
      <w:r>
        <w:t xml:space="preserve">[</w:t>
      </w:r>
      <w:hyperlink w:anchor="ref-1cTipQcd">
        <w:r>
          <w:rPr>
            <w:rStyle w:val="Hyperlink"/>
          </w:rPr>
          <w:t xml:space="preserve">20</w:t>
        </w:r>
      </w:hyperlink>
      <w:r>
        <w:t xml:space="preserve">]</w:t>
      </w:r>
      <w:r>
        <w:t xml:space="preserve"> </w:t>
      </w:r>
      <w:r>
        <w:t xml:space="preserve">we then repeated the BETS test by modeling each of the 12 populations of</w:t>
      </w:r>
      <w:r>
        <w:t xml:space="preserve"> </w:t>
      </w:r>
      <w:r>
        <w:rPr>
          <w:i/>
        </w:rPr>
        <w:t xml:space="preserve">Y. pestis</w:t>
      </w:r>
      <w:r>
        <w:t xml:space="preserve"> </w:t>
      </w:r>
      <w:r>
        <w:t xml:space="preserve">in isolation.</w:t>
      </w:r>
    </w:p>
    <w:p>
      <w:pPr>
        <w:pStyle w:val="Heading4"/>
      </w:pPr>
      <w:bookmarkStart w:id="48" w:name="population-specific-molecular-clocks"/>
      <w:r>
        <w:t xml:space="preserve">Population-Specific Molecular Clocks</w:t>
      </w:r>
      <w:bookmarkEnd w:id="48"/>
    </w:p>
    <w:p>
      <w:pPr>
        <w:pStyle w:val="FirstParagraph"/>
      </w:pPr>
      <w:r>
        <w:t xml:space="preserve">In contrast to the species-wide model, separating the genomic dataset by population dramatically stabilized the Bayesian analysis. All clock model parameters were well-sampled with effective sample sizes (ESS) greater than 200 and temporal signal detected in 9 out of 12 populations (Figure</w:t>
      </w:r>
      <w:r>
        <w:t xml:space="preserve"> </w:t>
      </w:r>
      <w:hyperlink w:anchor="fig:meanRate_stdev_tmrca">
        <w:r>
          <w:rPr>
            <w:rStyle w:val="Hyperlink"/>
          </w:rPr>
          <w:t xml:space="preserve">3</w:t>
        </w:r>
      </w:hyperlink>
      <w:r>
        <w:t xml:space="preserve">, Table</w:t>
      </w:r>
      <w:r>
        <w:t xml:space="preserve"> </w:t>
      </w:r>
      <w:hyperlink w:anchor="tbl:bets">
        <w:r>
          <w:rPr>
            <w:rStyle w:val="Hyperlink"/>
          </w:rPr>
          <w:t xml:space="preserve">1</w:t>
        </w:r>
      </w:hyperlink>
      <w:r>
        <w:t xml:space="preserve">). However, this improved model performance came at the cost of model accuracy. Without the calibrating influence of ancient DNA samples, the modern populations were frequently estimated to have dates associated with their most recent common ancestor (MRCA) that violated the ancestor-descendant relationships present in the maximum-likelihood phylogeny (Figure</w:t>
      </w:r>
      <w:r>
        <w:t xml:space="preserve"> </w:t>
      </w:r>
      <w:hyperlink w:anchor="fig:meanRate_stdev_tmrca">
        <w:r>
          <w:rPr>
            <w:rStyle w:val="Hyperlink"/>
          </w:rPr>
          <w:t xml:space="preserve">3</w:t>
        </w:r>
      </w:hyperlink>
      <w:r>
        <w:t xml:space="preserve">, Figure</w:t>
      </w:r>
      <w:r>
        <w:t xml:space="preserve"> </w:t>
      </w:r>
      <w:hyperlink w:anchor="fig:divtree_map_timeline">
        <w:r>
          <w:rPr>
            <w:rStyle w:val="Hyperlink"/>
          </w:rPr>
          <w:t xml:space="preserve">1</w:t>
        </w:r>
      </w:hyperlink>
      <w:r>
        <w:t xml:space="preserve">). Thus despite having measurable temporal signal and objectively good model performance according to Bayesian criteria, the population-specific models were highly incongruent with each other. In the following sections, we interpret these incongruencies in light of the time-dependency of molecular rates, and discuss their ramifications.</w:t>
      </w:r>
    </w:p>
    <w:bookmarkStart w:id="0" w:name="fig:meanRate_stdev_tmrca"/>
    <w:p>
      <w:pPr>
        <w:pStyle w:val="CaptionedFigure"/>
      </w:pPr>
      <w:bookmarkStart w:id="50" w:name="fig:meanRate_stdev_tmrca"/>
      <w:r>
        <w:drawing>
          <wp:inline>
            <wp:extent cx="5943600" cy="6493425"/>
            <wp:effectExtent b="0" l="0" r="0" t="0"/>
            <wp:docPr descr="Figure 3: The 95% HPD estimates of the substitution rate and the date of the most recent common ancestor (MRCA) by population. Each distribution is annotated with the peak value." title="" id="1" name="Picture"/>
            <a:graphic>
              <a:graphicData uri="http://schemas.openxmlformats.org/drawingml/2006/picture">
                <pic:pic>
                  <pic:nvPicPr>
                    <pic:cNvPr descr="https://rawcdn.githack.com/ktmeaton/plague-phylogeography-projects/bb508ce/main/beast/all/chromosome/clade/log/meanRate_stdev_tmrca.png" id="0" name="Picture"/>
                    <pic:cNvPicPr>
                      <a:picLocks noChangeArrowheads="1" noChangeAspect="1"/>
                    </pic:cNvPicPr>
                  </pic:nvPicPr>
                  <pic:blipFill>
                    <a:blip r:embed="rId49"/>
                    <a:stretch>
                      <a:fillRect/>
                    </a:stretch>
                  </pic:blipFill>
                  <pic:spPr bwMode="auto">
                    <a:xfrm>
                      <a:off x="0" y="0"/>
                      <a:ext cx="5943600" cy="6493425"/>
                    </a:xfrm>
                    <a:prstGeom prst="rect">
                      <a:avLst/>
                    </a:prstGeom>
                    <a:noFill/>
                    <a:ln w="9525">
                      <a:noFill/>
                      <a:headEnd/>
                      <a:tailEnd/>
                    </a:ln>
                  </pic:spPr>
                </pic:pic>
              </a:graphicData>
            </a:graphic>
          </wp:inline>
        </w:drawing>
      </w:r>
      <w:bookmarkEnd w:id="50"/>
    </w:p>
    <w:p>
      <w:pPr>
        <w:pStyle w:val="ImageCaption"/>
      </w:pPr>
      <w:r>
        <w:t xml:space="preserve">Figure 3: The 95% HPD estimates of the substitution rate and the date of the most recent common ancestor (MRCA) by population. Each distribution is annotated with the peak value.</w:t>
      </w:r>
    </w:p>
    <w:bookmarkEnd w:id="0"/>
    <w:p>
      <w:pPr>
        <w:pStyle w:val="Heading4"/>
      </w:pPr>
      <w:bookmarkStart w:id="51" w:name="sampling-time-frame"/>
      <w:r>
        <w:t xml:space="preserve">Sampling Time Frame</w:t>
      </w:r>
      <w:bookmarkEnd w:id="51"/>
    </w:p>
    <w:p>
      <w:pPr>
        <w:pStyle w:val="FirstParagraph"/>
      </w:pPr>
      <w:r>
        <w:t xml:space="preserve">For example, all clock model parameters appeared to be robust according to objective Bayesian criteria, such as the degree of chain mixing and ESS scores. However, … had dates for the most recent common ancestor (MRCA) that violated the ancestor-descendant relationships present in the maximum-likelihood phylogeny. For example, the root of the</w:t>
      </w:r>
      <w:r>
        <w:t xml:space="preserve"> </w:t>
      </w:r>
      <w:r>
        <w:rPr>
          <w:i/>
        </w:rPr>
        <w:t xml:space="preserve">pestoides</w:t>
      </w:r>
      <w:r>
        <w:t xml:space="preserve"> </w:t>
      </w:r>
      <w:r>
        <w:t xml:space="preserve">biovar (0.PE) is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 0.ANT population is also ancestral to the First Pandemic, but has an estimated root date of 1698. Finally, the</w:t>
      </w:r>
      <w:r>
        <w:t xml:space="preserve"> </w:t>
      </w:r>
      <w:r>
        <w:rPr>
          <w:i/>
        </w:rPr>
        <w:t xml:space="preserve">intermedium</w:t>
      </w:r>
      <w:r>
        <w:t xml:space="preserve"> </w:t>
      </w:r>
      <w:r>
        <w:t xml:space="preserve">(1.IN) population is ancestral to the Third Pandemic population (1.ORI biovar and yet their root node dates are contemporaneous (1882 and 1885 respectively).</w:t>
      </w:r>
    </w:p>
    <w:p>
      <w:pPr>
        <w:pStyle w:val="BodyText"/>
      </w:pPr>
      <w:r>
        <w:t xml:space="preserve">To some extent, these inconsistencies can be explained by the presence of transient mutations. The populations with the five highest mean substitution rates and standard deviations also have the five highest number of long, external branches (0.PE, 2.MED, 2.ANT, 1.ORI, 1.IN)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numPr>
          <w:ilvl w:val="0"/>
          <w:numId w:val="1003"/>
        </w:numPr>
        <w:pStyle w:val="Compact"/>
      </w:pPr>
      <w:r>
        <w:t xml:space="preserve">Accurate clock model estimates for</w:t>
      </w:r>
      <w:r>
        <w:t xml:space="preserve"> </w:t>
      </w:r>
      <w:r>
        <w:rPr>
          <w:i/>
        </w:rPr>
        <w:t xml:space="preserve">Y. pestis</w:t>
      </w:r>
      <w:r>
        <w:t xml:space="preserve"> </w:t>
      </w:r>
      <w:r>
        <w:t xml:space="preserve">require long-term heterochronous sampling. On the order of multiple centuries. More exact estimates of the phylodynamic threshold could be</w:t>
      </w:r>
    </w:p>
    <w:p>
      <w:pPr>
        <w:pStyle w:val="Heading4"/>
      </w:pPr>
      <w:bookmarkStart w:id="52" w:name="rate-overestimation"/>
      <w:r>
        <w:t xml:space="preserve">Rate Overestimation</w:t>
      </w:r>
      <w:bookmarkEnd w:id="52"/>
    </w:p>
    <w:p>
      <w:pPr>
        <w:pStyle w:val="FirstParagraph"/>
      </w:pPr>
      <w:r>
        <w:t xml:space="preserve">The first finding is that several populations have anomalously high substitution rates, namely the</w:t>
      </w:r>
      <w:r>
        <w:t xml:space="preserve"> </w:t>
      </w:r>
      <w:r>
        <w:rPr>
          <w:i/>
        </w:rPr>
        <w:t xml:space="preserve">pestoides</w:t>
      </w:r>
      <w:r>
        <w:t xml:space="preserve"> </w:t>
      </w:r>
      <w:r>
        <w:t xml:space="preserve">(0.PE) and</w:t>
      </w:r>
      <w:r>
        <w:t xml:space="preserve"> </w:t>
      </w:r>
      <w:r>
        <w:rPr>
          <w:i/>
        </w:rPr>
        <w:t xml:space="preserve">medievalis</w:t>
      </w:r>
      <w:r>
        <w:t xml:space="preserve"> </w:t>
      </w:r>
      <w:r>
        <w:t xml:space="preserve">(2.MED) biovars. As previously mentioned, this pattern may be explained by a high number of transient mutations. Indeed, the five populations with the highest number of long terminal branches (0.PE, 2.MED, 1.ORI, 1.IN, 2.ANT), have the five highest mean rates and standard deviations. Furthermore, two of these populations (1.IN, 2.ANT) have no detectable temporal signal. As discussed previously, if these inflated rates are due to spurious mutations rather than fixed substitutions, internal node dates will be unexpectedly young. Fortunately, this can be critiqued using the branching order of the maximum-likelihood phylogeny, as many of these populations are not monophyletic, and have ancestor-descendant relationships between them.</w:t>
      </w:r>
    </w:p>
    <w:p>
      <w:pPr>
        <w:pStyle w:val="BodyText"/>
      </w:pPr>
      <w:r>
        <w:t xml:space="preserve">The most striking example of inconsistent node dating is the</w:t>
      </w:r>
      <w:r>
        <w:t xml:space="preserve"> </w:t>
      </w:r>
      <w:r>
        <w:rPr>
          <w:i/>
        </w:rPr>
        <w:t xml:space="preserve">pestoides</w:t>
      </w:r>
      <w:r>
        <w:t xml:space="preserve"> </w:t>
      </w:r>
      <w:r>
        <w:t xml:space="preserve">biovar (0.PE). The date of this population’s root node, or most recent common ancestor (MRCA), was estimated at approximately 1814. However, this date is topologically inconsistent, as the root of the</w:t>
      </w:r>
      <w:r>
        <w:t xml:space="preserve"> </w:t>
      </w:r>
      <w:r>
        <w:rPr>
          <w:i/>
        </w:rPr>
        <w:t xml:space="preserve">pestoides</w:t>
      </w:r>
      <w:r>
        <w:t xml:space="preserve"> </w:t>
      </w:r>
      <w:r>
        <w:t xml:space="preserve">population falls ancestral to the Plague of Justinian (6</w:t>
      </w:r>
      <w:r>
        <w:t xml:space="preserve">th</w:t>
      </w:r>
      <w:r>
        <w:t xml:space="preserve"> </w:t>
      </w:r>
      <w:r>
        <w:t xml:space="preserve">century) and thus must pre-date this event (Figure</w:t>
      </w:r>
      <w:r>
        <w:t xml:space="preserve"> </w:t>
      </w:r>
      <w:hyperlink w:anchor="fig:divtree_map_timeline">
        <w:r>
          <w:rPr>
            <w:rStyle w:val="Hyperlink"/>
          </w:rPr>
          <w:t xml:space="preserve">1</w:t>
        </w:r>
      </w:hyperlink>
      <w:r>
        <w:t xml:space="preserve">). Similarly, the</w:t>
      </w:r>
      <w:r>
        <w:t xml:space="preserve"> </w:t>
      </w:r>
      <w:r>
        <w:rPr>
          <w:i/>
        </w:rPr>
        <w:t xml:space="preserve">intermedium</w:t>
      </w:r>
      <w:r>
        <w:t xml:space="preserve"> </w:t>
      </w:r>
      <w:r>
        <w:t xml:space="preserve">(1.IN) population falls ancestral to the</w:t>
      </w:r>
      <w:r>
        <w:t xml:space="preserve"> </w:t>
      </w:r>
      <w:r>
        <w:rPr>
          <w:i/>
        </w:rPr>
        <w:t xml:space="preserve">orientalis</w:t>
      </w:r>
      <w:r>
        <w:t xml:space="preserve"> </w:t>
      </w:r>
      <w:r>
        <w:t xml:space="preserve">biovar (1.ORI) and yet their root node dates are contemporaneous (1882 and 1885 respectively). The remaining two possible outliers, 2.MED and 2.ANT, are monophyletic clades and thus have no descendant populations to serve as an upper bound. But we cautiously propose that the root dates of these two populations, 1796 and 1798 respectively, should be treated as highly suspect and likely an underestimate of the true divergence dates.</w:t>
      </w:r>
    </w:p>
    <w:p>
      <w:pPr>
        <w:pStyle w:val="BodyText"/>
      </w:pPr>
      <w:r>
        <w:t xml:space="preserve">This means that 68% of the phylogeny (411/601 genomes) has unreliable clock estimates. So where does that leave us?</w:t>
      </w:r>
    </w:p>
    <w:p>
      <w:pPr>
        <w:pStyle w:val="BodyText"/>
      </w:pPr>
      <w:r>
        <w:t xml:space="preserve">Without the calibrating influencing of ancient DNA samples or the larger phylogeny, the rates and dates associated with the</w:t>
      </w:r>
      <w:r>
        <w:t xml:space="preserve"> </w:t>
      </w:r>
      <w:r>
        <w:rPr>
          <w:i/>
        </w:rPr>
        <w:t xml:space="preserve">pestoides</w:t>
      </w:r>
      <w:r>
        <w:t xml:space="preserve"> </w:t>
      </w:r>
      <w:r>
        <w:t xml:space="preserve">biovar should be treated as highly suspect.</w:t>
      </w:r>
    </w:p>
    <w:p>
      <w:pPr>
        <w:pStyle w:val="BlockText"/>
      </w:pPr>
      <w:r>
        <w:t xml:space="preserve">Should be very cautious trying to date inter-population nodes, ie. the Big Bang Polytomy. Because we don’t fully understand how the rate changes in between them.</w:t>
      </w:r>
    </w:p>
    <w:p>
      <w:pPr>
        <w:pStyle w:val="Heading4"/>
      </w:pPr>
      <w:bookmarkStart w:id="53" w:name="a-new-global-rate"/>
      <w:r>
        <w:t xml:space="preserve">A New Global Rate</w:t>
      </w:r>
      <w:bookmarkEnd w:id="53"/>
    </w:p>
    <w:p>
      <w:pPr>
        <w:pStyle w:val="FirstParagraph"/>
      </w:pPr>
      <w:r>
        <w:t xml:space="preserve">The second finding is that substitution rates in</w:t>
      </w:r>
      <w:r>
        <w:t xml:space="preserve"> </w:t>
      </w:r>
      <w:r>
        <w:rPr>
          <w:i/>
        </w:rPr>
        <w:t xml:space="preserve">Y. pestis</w:t>
      </w:r>
      <w:r>
        <w:t xml:space="preserve"> </w:t>
      </w:r>
      <w:r>
        <w:t xml:space="preserve">have been previously underestimated. The mean substitution rate we estimated from all populations combined, which was highly unstable, was 1.6 x 10</w:t>
      </w:r>
      <w:r>
        <w:t xml:space="preserve">-8</w:t>
      </w:r>
      <w:r>
        <w:t xml:space="preserve">, which falls within published range of 1 to 2 x 10</w:t>
      </w:r>
      <w:r>
        <w:t xml:space="preserve">-8</w:t>
      </w:r>
      <w:r>
        <w:t xml:space="preserve">. However, no</w:t>
      </w:r>
      <w:r>
        <w:t xml:space="preserve"> </w:t>
      </w:r>
      <w:r>
        <w:rPr>
          <w:i/>
        </w:rPr>
        <w:t xml:space="preserve">Y. pestis</w:t>
      </w:r>
      <w:r>
        <w:t xml:space="preserve"> </w:t>
      </w:r>
      <w:r>
        <w:t xml:space="preserve">population was observed to have a mean substitution rate this slow. Instead ranged from 3.6 x 10</w:t>
      </w:r>
      <w:r>
        <w:t xml:space="preserve">-8</w:t>
      </w:r>
      <w:r>
        <w:t xml:space="preserve"> </w:t>
      </w:r>
      <w:r>
        <w:t xml:space="preserve">during the First Pandemic (0.ANT4 to 6.16 x 10</w:t>
      </w:r>
      <w:r>
        <w:t xml:space="preserve">-7</w:t>
      </w:r>
      <w:r>
        <w:t xml:space="preserve"> </w:t>
      </w:r>
      <w:r>
        <w:t xml:space="preserve">in the</w:t>
      </w:r>
      <w:r>
        <w:t xml:space="preserve"> </w:t>
      </w:r>
      <w:r>
        <w:rPr>
          <w:i/>
        </w:rPr>
        <w:t xml:space="preserve">pestoides</w:t>
      </w:r>
      <w:r>
        <w:t xml:space="preserve"> </w:t>
      </w:r>
      <w:r>
        <w:t xml:space="preserve">biovar (0.PE).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t>
      </w:r>
      <w:r>
        <w:t xml:space="preserve">[</w:t>
      </w:r>
      <w:hyperlink w:anchor="ref-1cTipQcd">
        <w:r>
          <w:rPr>
            <w:rStyle w:val="Hyperlink"/>
          </w:rPr>
          <w:t xml:space="preserve">20</w:t>
        </w:r>
      </w:hyperlink>
      <w:r>
        <w:t xml:space="preserve">]</w:t>
      </w:r>
      <w:r>
        <w:t xml:space="preserve">.</w:t>
      </w:r>
    </w:p>
    <w:p>
      <w:pPr>
        <w:pStyle w:val="BodyText"/>
      </w:pPr>
      <w:r>
        <w:t xml:space="preserve">As mentioned previously, inaccurate substitution rates have important consequences for node-dating. Specifically, underestimating the global rate leads to overestimating the age of the MRCA.</w:t>
      </w:r>
    </w:p>
    <w:p>
      <w:pPr>
        <w:pStyle w:val="Heading3"/>
      </w:pPr>
      <w:bookmarkStart w:id="54" w:name="phylogeography"/>
      <w:r>
        <w:t xml:space="preserve">Phylogeography</w:t>
      </w:r>
      <w:bookmarkEnd w:id="54"/>
    </w:p>
    <w:p>
      <w:pPr>
        <w:pStyle w:val="Heading2"/>
      </w:pPr>
      <w:bookmarkStart w:id="55" w:name="conclusions"/>
      <w:r>
        <w:t xml:space="preserve">Conclusions</w:t>
      </w:r>
      <w:bookmarkEnd w:id="55"/>
    </w:p>
    <w:p>
      <w:pPr>
        <w:pStyle w:val="Heading2"/>
      </w:pPr>
      <w:bookmarkStart w:id="56" w:name="methods"/>
      <w:r>
        <w:t xml:space="preserve">Methods</w:t>
      </w:r>
      <w:bookmarkEnd w:id="56"/>
    </w:p>
    <w:p>
      <w:pPr>
        <w:pStyle w:val="Heading2"/>
      </w:pPr>
      <w:bookmarkStart w:id="57" w:name="references"/>
      <w:r>
        <w:t xml:space="preserve">References</w:t>
      </w:r>
      <w:bookmarkEnd w:id="57"/>
    </w:p>
    <w:bookmarkStart w:id="131" w:name="refs"/>
    <w:bookmarkStart w:id="62" w:name="ref-lYwCAR8r"/>
    <w:p>
      <w:pPr>
        <w:pStyle w:val="Bibliography"/>
      </w:pPr>
      <w:r>
        <w:t xml:space="preserve">1.</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58">
        <w:r>
          <w:rPr>
            <w:rStyle w:val="Hyperlink"/>
          </w:rPr>
          <w:t xml:space="preserve">https://www.ncbi.nlm.nih.gov/pmc/articles/PMC6092560/</w:t>
        </w:r>
      </w:hyperlink>
      <w:r>
        <w:t xml:space="preserve"> </w:t>
      </w:r>
      <w:r>
        <w:br/>
      </w:r>
      <w:r>
        <w:t xml:space="preserve">DOI:</w:t>
      </w:r>
      <w:r>
        <w:t xml:space="preserve"> </w:t>
      </w:r>
      <w:hyperlink r:id="rId59">
        <w:r>
          <w:rPr>
            <w:rStyle w:val="Hyperlink"/>
          </w:rPr>
          <w:t xml:space="preserve">10.1016/j.tree.2018.05.005</w:t>
        </w:r>
      </w:hyperlink>
      <w:r>
        <w:t xml:space="preserve"> </w:t>
      </w:r>
      <w:r>
        <w:t xml:space="preserve">· PMID:</w:t>
      </w:r>
      <w:r>
        <w:t xml:space="preserve"> </w:t>
      </w:r>
      <w:hyperlink r:id="rId60">
        <w:r>
          <w:rPr>
            <w:rStyle w:val="Hyperlink"/>
          </w:rPr>
          <w:t xml:space="preserve">30007846</w:t>
        </w:r>
      </w:hyperlink>
      <w:r>
        <w:t xml:space="preserve"> </w:t>
      </w:r>
      <w:r>
        <w:t xml:space="preserve">· PMCID:</w:t>
      </w:r>
      <w:r>
        <w:t xml:space="preserve"> </w:t>
      </w:r>
      <w:hyperlink r:id="rId61">
        <w:r>
          <w:rPr>
            <w:rStyle w:val="Hyperlink"/>
          </w:rPr>
          <w:t xml:space="preserve">PMC6092560</w:t>
        </w:r>
      </w:hyperlink>
    </w:p>
    <w:bookmarkEnd w:id="62"/>
    <w:bookmarkStart w:id="65" w:name="ref-S7uUqUQG"/>
    <w:p>
      <w:pPr>
        <w:pStyle w:val="Bibliography"/>
      </w:pPr>
      <w:r>
        <w:t xml:space="preserve">2.</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63">
        <w:r>
          <w:rPr>
            <w:rStyle w:val="Hyperlink"/>
          </w:rPr>
          <w:t xml:space="preserve">https://www.frontiersin.org/article/10.3389/fmicb.2018.01106/full</w:t>
        </w:r>
      </w:hyperlink>
      <w:r>
        <w:t xml:space="preserve"> </w:t>
      </w:r>
      <w:r>
        <w:br/>
      </w:r>
      <w:r>
        <w:t xml:space="preserve">DOI:</w:t>
      </w:r>
      <w:r>
        <w:t xml:space="preserve"> </w:t>
      </w:r>
      <w:hyperlink r:id="rId64">
        <w:r>
          <w:rPr>
            <w:rStyle w:val="Hyperlink"/>
          </w:rPr>
          <w:t xml:space="preserve">10.3389/fmicb.2018.01106</w:t>
        </w:r>
      </w:hyperlink>
    </w:p>
    <w:bookmarkEnd w:id="65"/>
    <w:bookmarkStart w:id="69"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66">
        <w:r>
          <w:rPr>
            <w:rStyle w:val="Hyperlink"/>
          </w:rPr>
          <w:t xml:space="preserve">https://www.ncbi.nlm.nih.gov/pmc/articles/PMC2554099/</w:t>
        </w:r>
      </w:hyperlink>
      <w:r>
        <w:t xml:space="preserve"> </w:t>
      </w:r>
      <w:r>
        <w:br/>
      </w:r>
      <w:r>
        <w:t xml:space="preserve">PMID:</w:t>
      </w:r>
      <w:r>
        <w:t xml:space="preserve"> </w:t>
      </w:r>
      <w:hyperlink r:id="rId67">
        <w:r>
          <w:rPr>
            <w:rStyle w:val="Hyperlink"/>
          </w:rPr>
          <w:t xml:space="preserve">14859080</w:t>
        </w:r>
      </w:hyperlink>
      <w:r>
        <w:t xml:space="preserve"> </w:t>
      </w:r>
      <w:r>
        <w:t xml:space="preserve">· PMCID:</w:t>
      </w:r>
      <w:r>
        <w:t xml:space="preserve"> </w:t>
      </w:r>
      <w:hyperlink r:id="rId68">
        <w:r>
          <w:rPr>
            <w:rStyle w:val="Hyperlink"/>
          </w:rPr>
          <w:t xml:space="preserve">PMC2554099</w:t>
        </w:r>
      </w:hyperlink>
    </w:p>
    <w:bookmarkEnd w:id="69"/>
    <w:bookmarkStart w:id="72"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70">
        <w:r>
          <w:rPr>
            <w:rStyle w:val="Hyperlink"/>
          </w:rPr>
          <w:t xml:space="preserve">http://www.sciencedirect.com/science/article/pii/S1286457904002357</w:t>
        </w:r>
      </w:hyperlink>
      <w:r>
        <w:t xml:space="preserve"> </w:t>
      </w:r>
      <w:r>
        <w:br/>
      </w:r>
      <w:r>
        <w:t xml:space="preserve">DOI:</w:t>
      </w:r>
      <w:r>
        <w:t xml:space="preserve"> </w:t>
      </w:r>
      <w:hyperlink r:id="rId71">
        <w:r>
          <w:rPr>
            <w:rStyle w:val="Hyperlink"/>
          </w:rPr>
          <w:t xml:space="preserve">10.1016/j.micinf.2004.08.002</w:t>
        </w:r>
      </w:hyperlink>
    </w:p>
    <w:bookmarkEnd w:id="72"/>
    <w:bookmarkStart w:id="75"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73">
        <w:r>
          <w:rPr>
            <w:rStyle w:val="Hyperlink"/>
          </w:rPr>
          <w:t xml:space="preserve">https://journals.plos.org/plosone/article?id=10.1371/journal.pone.0006000</w:t>
        </w:r>
      </w:hyperlink>
      <w:r>
        <w:t xml:space="preserve"> </w:t>
      </w:r>
      <w:r>
        <w:br/>
      </w:r>
      <w:r>
        <w:t xml:space="preserve">DOI:</w:t>
      </w:r>
      <w:r>
        <w:t xml:space="preserve"> </w:t>
      </w:r>
      <w:hyperlink r:id="rId74">
        <w:r>
          <w:rPr>
            <w:rStyle w:val="Hyperlink"/>
          </w:rPr>
          <w:t xml:space="preserve">10.1371/journal.pone.0006000</w:t>
        </w:r>
      </w:hyperlink>
    </w:p>
    <w:bookmarkEnd w:id="75"/>
    <w:bookmarkStart w:id="78" w:name="ref-vk7LFPKc"/>
    <w:p>
      <w:pPr>
        <w:pStyle w:val="Bibliography"/>
      </w:pPr>
      <w:r>
        <w:t xml:space="preserve">6.</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76">
        <w:r>
          <w:rPr>
            <w:rStyle w:val="Hyperlink"/>
          </w:rPr>
          <w:t xml:space="preserve">http://www.nature.com/articles/nature10549</w:t>
        </w:r>
      </w:hyperlink>
      <w:r>
        <w:t xml:space="preserve"> </w:t>
      </w:r>
      <w:r>
        <w:br/>
      </w:r>
      <w:r>
        <w:t xml:space="preserve">DOI:</w:t>
      </w:r>
      <w:r>
        <w:t xml:space="preserve"> </w:t>
      </w:r>
      <w:hyperlink r:id="rId77">
        <w:r>
          <w:rPr>
            <w:rStyle w:val="Hyperlink"/>
          </w:rPr>
          <w:t xml:space="preserve">10.1038/nature10549</w:t>
        </w:r>
      </w:hyperlink>
    </w:p>
    <w:bookmarkEnd w:id="78"/>
    <w:bookmarkStart w:id="83" w:name="ref-ZvyYZ3sx"/>
    <w:p>
      <w:pPr>
        <w:pStyle w:val="Bibliography"/>
      </w:pPr>
      <w:r>
        <w:t xml:space="preserve">7.</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79">
        <w:r>
          <w:rPr>
            <w:rStyle w:val="Hyperlink"/>
          </w:rPr>
          <w:t xml:space="preserve">https://www.ncbi.nlm.nih.gov/pmc/articles/PMC4644222/</w:t>
        </w:r>
      </w:hyperlink>
      <w:r>
        <w:t xml:space="preserve"> </w:t>
      </w:r>
      <w:r>
        <w:br/>
      </w:r>
      <w:r>
        <w:t xml:space="preserve">DOI:</w:t>
      </w:r>
      <w:r>
        <w:t xml:space="preserve"> </w:t>
      </w:r>
      <w:hyperlink r:id="rId80">
        <w:r>
          <w:rPr>
            <w:rStyle w:val="Hyperlink"/>
          </w:rPr>
          <w:t xml:space="preserve">10.1016/j.cell.2015.10.009</w:t>
        </w:r>
      </w:hyperlink>
      <w:r>
        <w:t xml:space="preserve"> </w:t>
      </w:r>
      <w:r>
        <w:t xml:space="preserve">· PMID:</w:t>
      </w:r>
      <w:r>
        <w:t xml:space="preserve"> </w:t>
      </w:r>
      <w:hyperlink r:id="rId81">
        <w:r>
          <w:rPr>
            <w:rStyle w:val="Hyperlink"/>
          </w:rPr>
          <w:t xml:space="preserve">26496604</w:t>
        </w:r>
      </w:hyperlink>
      <w:r>
        <w:t xml:space="preserve"> </w:t>
      </w:r>
      <w:r>
        <w:t xml:space="preserve">· PMCID:</w:t>
      </w:r>
      <w:r>
        <w:t xml:space="preserve"> </w:t>
      </w:r>
      <w:hyperlink r:id="rId82">
        <w:r>
          <w:rPr>
            <w:rStyle w:val="Hyperlink"/>
          </w:rPr>
          <w:t xml:space="preserve">PMC4644222</w:t>
        </w:r>
      </w:hyperlink>
    </w:p>
    <w:bookmarkEnd w:id="83"/>
    <w:bookmarkStart w:id="86" w:name="ref-ACt53Sow"/>
    <w:p>
      <w:pPr>
        <w:pStyle w:val="Bibliography"/>
      </w:pPr>
      <w:r>
        <w:t xml:space="preserve">8.</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4">
        <w:r>
          <w:rPr>
            <w:rStyle w:val="Hyperlink"/>
          </w:rPr>
          <w:t xml:space="preserve">https://linkinghub.elsevier.com/retrieve/pii/S1473309913703232</w:t>
        </w:r>
      </w:hyperlink>
      <w:r>
        <w:t xml:space="preserve"> </w:t>
      </w:r>
      <w:r>
        <w:br/>
      </w:r>
      <w:r>
        <w:t xml:space="preserve">DOI:</w:t>
      </w:r>
      <w:r>
        <w:t xml:space="preserve"> </w:t>
      </w:r>
      <w:hyperlink r:id="rId85">
        <w:r>
          <w:rPr>
            <w:rStyle w:val="Hyperlink"/>
          </w:rPr>
          <w:t xml:space="preserve">10.1016/s1473-3099(13)70323-2</w:t>
        </w:r>
      </w:hyperlink>
    </w:p>
    <w:bookmarkEnd w:id="86"/>
    <w:bookmarkStart w:id="89" w:name="ref-ONhNS9aO"/>
    <w:p>
      <w:pPr>
        <w:pStyle w:val="Bibliography"/>
      </w:pPr>
      <w:r>
        <w:t xml:space="preserve">9.</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87">
        <w:r>
          <w:rPr>
            <w:rStyle w:val="Hyperlink"/>
          </w:rPr>
          <w:t xml:space="preserve">http://www.pnas.org/cgi/doi/10.1073/pnas.1205750110</w:t>
        </w:r>
      </w:hyperlink>
      <w:r>
        <w:t xml:space="preserve"> </w:t>
      </w:r>
      <w:r>
        <w:br/>
      </w:r>
      <w:r>
        <w:t xml:space="preserve">DOI:</w:t>
      </w:r>
      <w:r>
        <w:t xml:space="preserve"> </w:t>
      </w:r>
      <w:hyperlink r:id="rId88">
        <w:r>
          <w:rPr>
            <w:rStyle w:val="Hyperlink"/>
          </w:rPr>
          <w:t xml:space="preserve">10.1073/pnas.1205750110</w:t>
        </w:r>
      </w:hyperlink>
    </w:p>
    <w:bookmarkEnd w:id="89"/>
    <w:bookmarkStart w:id="92" w:name="ref-qLAL8Don"/>
    <w:p>
      <w:pPr>
        <w:pStyle w:val="Bibliography"/>
      </w:pPr>
      <w:r>
        <w:t xml:space="preserve">10.</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0">
        <w:r>
          <w:rPr>
            <w:rStyle w:val="Hyperlink"/>
          </w:rPr>
          <w:t xml:space="preserve">https://www.thelancet.com/journals/lanmic/article/PIIS2666-5247(20)30176-2/abstract</w:t>
        </w:r>
      </w:hyperlink>
      <w:r>
        <w:t xml:space="preserve"> </w:t>
      </w:r>
      <w:r>
        <w:br/>
      </w:r>
      <w:r>
        <w:t xml:space="preserve">DOI:</w:t>
      </w:r>
      <w:r>
        <w:t xml:space="preserve"> </w:t>
      </w:r>
      <w:hyperlink r:id="rId91">
        <w:r>
          <w:rPr>
            <w:rStyle w:val="Hyperlink"/>
          </w:rPr>
          <w:t xml:space="preserve">10.1016/s2666-5247(20)30176-2</w:t>
        </w:r>
      </w:hyperlink>
    </w:p>
    <w:bookmarkEnd w:id="92"/>
    <w:bookmarkStart w:id="95" w:name="ref-1CPIgshmC"/>
    <w:p>
      <w:pPr>
        <w:pStyle w:val="Bibliography"/>
      </w:pPr>
      <w:r>
        <w:t xml:space="preserve">11.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93">
        <w:r>
          <w:rPr>
            <w:rStyle w:val="Hyperlink"/>
          </w:rPr>
          <w:t xml:space="preserve">https://www.nature.com/articles/s41467-019-12154-0</w:t>
        </w:r>
      </w:hyperlink>
      <w:r>
        <w:t xml:space="preserve"> </w:t>
      </w:r>
      <w:r>
        <w:br/>
      </w:r>
      <w:r>
        <w:t xml:space="preserve">DOI:</w:t>
      </w:r>
      <w:r>
        <w:t xml:space="preserve"> </w:t>
      </w:r>
      <w:hyperlink r:id="rId94">
        <w:r>
          <w:rPr>
            <w:rStyle w:val="Hyperlink"/>
          </w:rPr>
          <w:t xml:space="preserve">10.1038/s41467-019-12154-0</w:t>
        </w:r>
      </w:hyperlink>
    </w:p>
    <w:bookmarkEnd w:id="95"/>
    <w:bookmarkStart w:id="98" w:name="ref-mkJFtJz5"/>
    <w:p>
      <w:pPr>
        <w:pStyle w:val="Bibliography"/>
      </w:pPr>
      <w:r>
        <w:t xml:space="preserve">12.</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96">
        <w:r>
          <w:rPr>
            <w:rStyle w:val="Hyperlink"/>
          </w:rPr>
          <w:t xml:space="preserve">https://www.nature.com/articles/s41467-018-04550-9</w:t>
        </w:r>
      </w:hyperlink>
      <w:r>
        <w:t xml:space="preserve"> </w:t>
      </w:r>
      <w:r>
        <w:br/>
      </w:r>
      <w:r>
        <w:t xml:space="preserve">DOI:</w:t>
      </w:r>
      <w:r>
        <w:t xml:space="preserve"> </w:t>
      </w:r>
      <w:hyperlink r:id="rId97">
        <w:r>
          <w:rPr>
            <w:rStyle w:val="Hyperlink"/>
          </w:rPr>
          <w:t xml:space="preserve">10.1038/s41467-018-04550-9</w:t>
        </w:r>
      </w:hyperlink>
    </w:p>
    <w:bookmarkEnd w:id="98"/>
    <w:bookmarkStart w:id="101" w:name="ref-MoWKnwLZ"/>
    <w:p>
      <w:pPr>
        <w:pStyle w:val="Bibliography"/>
      </w:pPr>
      <w:r>
        <w:t xml:space="preserve">13.</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99">
        <w:r>
          <w:rPr>
            <w:rStyle w:val="Hyperlink"/>
          </w:rPr>
          <w:t xml:space="preserve">10.1146/annurev.ento.50.071803.130337</w:t>
        </w:r>
      </w:hyperlink>
      <w:r>
        <w:t xml:space="preserve"> </w:t>
      </w:r>
      <w:r>
        <w:t xml:space="preserve">· PMID:</w:t>
      </w:r>
      <w:r>
        <w:t xml:space="preserve"> </w:t>
      </w:r>
      <w:hyperlink r:id="rId100">
        <w:r>
          <w:rPr>
            <w:rStyle w:val="Hyperlink"/>
          </w:rPr>
          <w:t xml:space="preserve">15471529</w:t>
        </w:r>
      </w:hyperlink>
    </w:p>
    <w:bookmarkEnd w:id="101"/>
    <w:bookmarkStart w:id="103" w:name="ref-1FNi5AFJf"/>
    <w:p>
      <w:pPr>
        <w:pStyle w:val="Bibliography"/>
      </w:pPr>
      <w:r>
        <w:t xml:space="preserve">14.</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02">
        <w:r>
          <w:rPr>
            <w:rStyle w:val="Hyperlink"/>
          </w:rPr>
          <w:t xml:space="preserve">https://scholarworks.wmich.edu/tmg/vol1/iss1/9/</w:t>
        </w:r>
      </w:hyperlink>
    </w:p>
    <w:bookmarkEnd w:id="103"/>
    <w:bookmarkStart w:id="106" w:name="ref-AbODfcWU"/>
    <w:p>
      <w:pPr>
        <w:pStyle w:val="Bibliography"/>
      </w:pPr>
      <w:r>
        <w:t xml:space="preserve">15.</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04">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05">
        <w:r>
          <w:rPr>
            <w:rStyle w:val="Hyperlink"/>
          </w:rPr>
          <w:t xml:space="preserve">10.1017/s0020743819000667</w:t>
        </w:r>
      </w:hyperlink>
    </w:p>
    <w:bookmarkEnd w:id="106"/>
    <w:bookmarkStart w:id="109" w:name="ref-137GGjfp5"/>
    <w:p>
      <w:pPr>
        <w:pStyle w:val="Bibliography"/>
      </w:pPr>
      <w:r>
        <w:t xml:space="preserve">16.</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07">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08">
        <w:r>
          <w:rPr>
            <w:rStyle w:val="Hyperlink"/>
          </w:rPr>
          <w:t xml:space="preserve">10.1017/npt.2020.27</w:t>
        </w:r>
      </w:hyperlink>
    </w:p>
    <w:bookmarkEnd w:id="109"/>
    <w:bookmarkStart w:id="112" w:name="ref-RWkOSyzX"/>
    <w:p>
      <w:pPr>
        <w:pStyle w:val="Bibliography"/>
      </w:pPr>
      <w:r>
        <w:t xml:space="preserve">17.</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10">
        <w:r>
          <w:rPr>
            <w:rStyle w:val="Hyperlink"/>
          </w:rPr>
          <w:t xml:space="preserve">https://royalsocietypublishing.org/doi/10.1098/rspb.2013.3159</w:t>
        </w:r>
      </w:hyperlink>
      <w:r>
        <w:t xml:space="preserve"> </w:t>
      </w:r>
      <w:r>
        <w:br/>
      </w:r>
      <w:r>
        <w:t xml:space="preserve">DOI:</w:t>
      </w:r>
      <w:r>
        <w:t xml:space="preserve"> </w:t>
      </w:r>
      <w:hyperlink r:id="rId111">
        <w:r>
          <w:rPr>
            <w:rStyle w:val="Hyperlink"/>
          </w:rPr>
          <w:t xml:space="preserve">10.1098/rspb.2013.3159</w:t>
        </w:r>
      </w:hyperlink>
    </w:p>
    <w:bookmarkEnd w:id="112"/>
    <w:bookmarkStart w:id="115" w:name="ref-3aFEkVra"/>
    <w:p>
      <w:pPr>
        <w:pStyle w:val="Bibliography"/>
      </w:pPr>
      <w:r>
        <w:t xml:space="preserve">18.</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13">
        <w:r>
          <w:rPr>
            <w:rStyle w:val="Hyperlink"/>
          </w:rPr>
          <w:t xml:space="preserve">https://journals.plos.org/plosone/article?id=10.1371/journal.pone.0244615</w:t>
        </w:r>
      </w:hyperlink>
      <w:r>
        <w:t xml:space="preserve"> </w:t>
      </w:r>
      <w:r>
        <w:br/>
      </w:r>
      <w:r>
        <w:t xml:space="preserve">DOI:</w:t>
      </w:r>
      <w:r>
        <w:t xml:space="preserve"> </w:t>
      </w:r>
      <w:hyperlink r:id="rId114">
        <w:r>
          <w:rPr>
            <w:rStyle w:val="Hyperlink"/>
          </w:rPr>
          <w:t xml:space="preserve">10.1371/journal.pone.0244615</w:t>
        </w:r>
      </w:hyperlink>
    </w:p>
    <w:bookmarkEnd w:id="115"/>
    <w:bookmarkStart w:id="119" w:name="ref-Y4CIJOZW"/>
    <w:p>
      <w:pPr>
        <w:pStyle w:val="Bibliography"/>
      </w:pPr>
      <w:r>
        <w:t xml:space="preserve">19.</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16">
        <w:r>
          <w:rPr>
            <w:rStyle w:val="Hyperlink"/>
          </w:rPr>
          <w:t xml:space="preserve">10.1038/ng.705</w:t>
        </w:r>
      </w:hyperlink>
      <w:r>
        <w:t xml:space="preserve"> </w:t>
      </w:r>
      <w:r>
        <w:t xml:space="preserve">· PMID:</w:t>
      </w:r>
      <w:r>
        <w:t xml:space="preserve"> </w:t>
      </w:r>
      <w:hyperlink r:id="rId117">
        <w:r>
          <w:rPr>
            <w:rStyle w:val="Hyperlink"/>
          </w:rPr>
          <w:t xml:space="preserve">21037571</w:t>
        </w:r>
      </w:hyperlink>
      <w:r>
        <w:t xml:space="preserve"> </w:t>
      </w:r>
      <w:r>
        <w:t xml:space="preserve">· PMCID:</w:t>
      </w:r>
      <w:r>
        <w:t xml:space="preserve"> </w:t>
      </w:r>
      <w:hyperlink r:id="rId118">
        <w:r>
          <w:rPr>
            <w:rStyle w:val="Hyperlink"/>
          </w:rPr>
          <w:t xml:space="preserve">PMC2999892</w:t>
        </w:r>
      </w:hyperlink>
    </w:p>
    <w:bookmarkEnd w:id="119"/>
    <w:bookmarkStart w:id="124" w:name="ref-1cTipQcd"/>
    <w:p>
      <w:pPr>
        <w:pStyle w:val="Bibliography"/>
      </w:pPr>
      <w:r>
        <w:t xml:space="preserve">20.</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0">
        <w:r>
          <w:rPr>
            <w:rStyle w:val="Hyperlink"/>
          </w:rPr>
          <w:t xml:space="preserve">https://www.ncbi.nlm.nih.gov/pmc/articles/PMC5320706/</w:t>
        </w:r>
      </w:hyperlink>
      <w:r>
        <w:t xml:space="preserve"> </w:t>
      </w:r>
      <w:r>
        <w:br/>
      </w:r>
      <w:r>
        <w:t xml:space="preserve">DOI:</w:t>
      </w:r>
      <w:r>
        <w:t xml:space="preserve"> </w:t>
      </w:r>
      <w:hyperlink r:id="rId121">
        <w:r>
          <w:rPr>
            <w:rStyle w:val="Hyperlink"/>
          </w:rPr>
          <w:t xml:space="preserve">10.1099/mgen.0.000094</w:t>
        </w:r>
      </w:hyperlink>
      <w:r>
        <w:t xml:space="preserve"> </w:t>
      </w:r>
      <w:r>
        <w:t xml:space="preserve">· PMID:</w:t>
      </w:r>
      <w:r>
        <w:t xml:space="preserve"> </w:t>
      </w:r>
      <w:hyperlink r:id="rId122">
        <w:r>
          <w:rPr>
            <w:rStyle w:val="Hyperlink"/>
          </w:rPr>
          <w:t xml:space="preserve">28348834</w:t>
        </w:r>
      </w:hyperlink>
      <w:r>
        <w:t xml:space="preserve"> </w:t>
      </w:r>
      <w:r>
        <w:t xml:space="preserve">· PMCID:</w:t>
      </w:r>
      <w:r>
        <w:t xml:space="preserve"> </w:t>
      </w:r>
      <w:hyperlink r:id="rId123">
        <w:r>
          <w:rPr>
            <w:rStyle w:val="Hyperlink"/>
          </w:rPr>
          <w:t xml:space="preserve">PMC5320706</w:t>
        </w:r>
      </w:hyperlink>
    </w:p>
    <w:bookmarkEnd w:id="124"/>
    <w:bookmarkStart w:id="126" w:name="ref-orBi9QMY"/>
    <w:p>
      <w:pPr>
        <w:pStyle w:val="Bibliography"/>
      </w:pPr>
      <w:r>
        <w:t xml:space="preserve">21.</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25">
        <w:r>
          <w:rPr>
            <w:rStyle w:val="Hyperlink"/>
          </w:rPr>
          <w:t xml:space="preserve">https://doi.org/10.1093/molbev/msi145</w:t>
        </w:r>
      </w:hyperlink>
      <w:r>
        <w:t xml:space="preserve"> </w:t>
      </w:r>
      <w:r>
        <w:br/>
      </w:r>
      <w:r>
        <w:t xml:space="preserve">DOI:</w:t>
      </w:r>
      <w:r>
        <w:t xml:space="preserve"> </w:t>
      </w:r>
      <w:hyperlink r:id="rId125">
        <w:r>
          <w:rPr>
            <w:rStyle w:val="Hyperlink"/>
          </w:rPr>
          <w:t xml:space="preserve">10.1093/molbev/msi145</w:t>
        </w:r>
      </w:hyperlink>
    </w:p>
    <w:bookmarkEnd w:id="126"/>
    <w:bookmarkStart w:id="128" w:name="ref-hcvZW0sG"/>
    <w:p>
      <w:pPr>
        <w:pStyle w:val="Bibliography"/>
      </w:pPr>
      <w:r>
        <w:t xml:space="preserve">22.</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27">
        <w:r>
          <w:rPr>
            <w:rStyle w:val="Hyperlink"/>
          </w:rPr>
          <w:t xml:space="preserve">https://doi.org/10.1093/ve/veaa061</w:t>
        </w:r>
      </w:hyperlink>
      <w:r>
        <w:t xml:space="preserve"> </w:t>
      </w:r>
      <w:r>
        <w:br/>
      </w:r>
      <w:r>
        <w:t xml:space="preserve">DOI:</w:t>
      </w:r>
      <w:r>
        <w:t xml:space="preserve"> </w:t>
      </w:r>
      <w:hyperlink r:id="rId127">
        <w:r>
          <w:rPr>
            <w:rStyle w:val="Hyperlink"/>
          </w:rPr>
          <w:t xml:space="preserve">10.1093/ve/veaa061</w:t>
        </w:r>
      </w:hyperlink>
    </w:p>
    <w:bookmarkEnd w:id="128"/>
    <w:bookmarkStart w:id="130" w:name="ref-zikRADit"/>
    <w:p>
      <w:pPr>
        <w:pStyle w:val="Bibliography"/>
      </w:pPr>
      <w:r>
        <w:t xml:space="preserve">23.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29">
        <w:r>
          <w:rPr>
            <w:rStyle w:val="Hyperlink"/>
          </w:rPr>
          <w:t xml:space="preserve">https://doi.org/10.1093/molbev/msaa163</w:t>
        </w:r>
      </w:hyperlink>
      <w:r>
        <w:t xml:space="preserve"> </w:t>
      </w:r>
      <w:r>
        <w:br/>
      </w:r>
      <w:r>
        <w:t xml:space="preserve">DOI:</w:t>
      </w:r>
      <w:r>
        <w:t xml:space="preserve"> </w:t>
      </w:r>
      <w:hyperlink r:id="rId129">
        <w:r>
          <w:rPr>
            <w:rStyle w:val="Hyperlink"/>
          </w:rPr>
          <w:t xml:space="preserve">10.1093/molbev/msaa163</w:t>
        </w:r>
      </w:hyperlink>
    </w:p>
    <w:bookmarkEnd w:id="130"/>
    <w:bookmarkEnd w:id="131"/>
    <w:p>
      <w:pPr>
        <w:pStyle w:val="Heading2"/>
      </w:pPr>
      <w:bookmarkStart w:id="132" w:name="supplementary-information"/>
      <w:r>
        <w:t xml:space="preserve">Supplementary Information</w:t>
      </w:r>
      <w:bookmarkEnd w:id="132"/>
    </w:p>
    <w:bookmarkStart w:id="0" w:name="fig:long_branches"/>
    <w:p>
      <w:pPr>
        <w:pStyle w:val="CaptionedFigure"/>
      </w:pPr>
      <w:bookmarkStart w:id="134" w:name="fig:long_branches"/>
      <w:r>
        <w:drawing>
          <wp:inline>
            <wp:extent cx="5225142" cy="5610656"/>
            <wp:effectExtent b="0" l="0" r="0" t="0"/>
            <wp:docPr descr="Figure 4: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f2ff841/main/iqtree_stats/all/chromosome/full/filter5/long_branches.png" id="0" name="Picture"/>
                    <pic:cNvPicPr>
                      <a:picLocks noChangeArrowheads="1" noChangeAspect="1"/>
                    </pic:cNvPicPr>
                  </pic:nvPicPr>
                  <pic:blipFill>
                    <a:blip r:embed="rId133"/>
                    <a:stretch>
                      <a:fillRect/>
                    </a:stretch>
                  </pic:blipFill>
                  <pic:spPr bwMode="auto">
                    <a:xfrm>
                      <a:off x="0" y="0"/>
                      <a:ext cx="5225142" cy="5610656"/>
                    </a:xfrm>
                    <a:prstGeom prst="rect">
                      <a:avLst/>
                    </a:prstGeom>
                    <a:noFill/>
                    <a:ln w="9525">
                      <a:noFill/>
                      <a:headEnd/>
                      <a:tailEnd/>
                    </a:ln>
                  </pic:spPr>
                </pic:pic>
              </a:graphicData>
            </a:graphic>
          </wp:inline>
        </w:drawing>
      </w:r>
      <w:bookmarkEnd w:id="134"/>
    </w:p>
    <w:p>
      <w:pPr>
        <w:pStyle w:val="ImageCaption"/>
      </w:pPr>
      <w:r>
        <w:t xml:space="preserve">Figure 4: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*0.PRE had temporal signal according to a strict clock, although the relaxed clock with no dates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0.PRE had temporal signal according to a strict clock, although the relaxed clock with no dates model had the highest likelihood. "/>
      </w:tblPr>
      <w:tblGrid>
        <w:gridCol w:w="621"/>
        <w:gridCol w:w="258"/>
        <w:gridCol w:w="983"/>
        <w:gridCol w:w="776"/>
        <w:gridCol w:w="724"/>
        <w:gridCol w:w="1190"/>
        <w:gridCol w:w="1035"/>
        <w:gridCol w:w="1242"/>
        <w:gridCol w:w="1087"/>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No Dates</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No Dates</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Relaxed Clock</w:t>
            </w:r>
          </w:p>
        </w:tc>
        <w:tc>
          <w:p>
            <w:pPr>
              <w:pStyle w:val="Compact"/>
              <w:jc w:val="center"/>
            </w:pPr>
            <w:r>
              <w:t xml:space="preserve">36</w:t>
            </w:r>
          </w:p>
        </w:tc>
        <w:tc>
          <w:p>
            <w:pPr>
              <w:pStyle w:val="Compact"/>
              <w:jc w:val="center"/>
            </w:pPr>
            <w:r>
              <w:t xml:space="preserve">-5899691</w:t>
            </w:r>
          </w:p>
        </w:tc>
        <w:tc>
          <w:p>
            <w:pPr>
              <w:pStyle w:val="Compact"/>
              <w:jc w:val="center"/>
            </w:pPr>
            <w:r>
              <w:t xml:space="preserve">-5899661</w:t>
            </w:r>
          </w:p>
        </w:tc>
        <w:tc>
          <w:p>
            <w:pPr>
              <w:pStyle w:val="Compact"/>
              <w:jc w:val="center"/>
            </w:pPr>
            <w:r>
              <w:t xml:space="preserve">-5899601</w:t>
            </w:r>
          </w:p>
        </w:tc>
        <w:tc>
          <w:p>
            <w:pPr>
              <w:pStyle w:val="Compact"/>
              <w:jc w:val="center"/>
            </w:pPr>
            <w:r>
              <w:t xml:space="preserve">-5899566</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w:t>
            </w:r>
          </w:p>
        </w:tc>
        <w:tc>
          <w:p>
            <w:pPr>
              <w:pStyle w:val="Compact"/>
              <w:jc w:val="center"/>
            </w:pPr>
            <w:r>
              <w:t xml:space="preserve">-5891399</w:t>
            </w:r>
          </w:p>
        </w:tc>
        <w:tc>
          <w:p>
            <w:pPr>
              <w:pStyle w:val="Compact"/>
              <w:jc w:val="center"/>
            </w:pPr>
            <w:r>
              <w:t xml:space="preserve">-5891403</w:t>
            </w:r>
          </w:p>
        </w:tc>
        <w:tc>
          <w:p>
            <w:pPr>
              <w:pStyle w:val="Compact"/>
              <w:jc w:val="center"/>
            </w:pPr>
            <w:r>
              <w:t xml:space="preserve">-5891344</w:t>
            </w:r>
          </w:p>
        </w:tc>
        <w:tc>
          <w:p>
            <w:pPr>
              <w:pStyle w:val="Compact"/>
              <w:jc w:val="center"/>
            </w:pPr>
            <w:r>
              <w:t xml:space="preserve">-5891355</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Relaxed Clock</w:t>
            </w:r>
          </w:p>
        </w:tc>
        <w:tc>
          <w:p>
            <w:pPr>
              <w:pStyle w:val="Compact"/>
              <w:jc w:val="center"/>
            </w:pPr>
            <w:r>
              <w:t xml:space="preserve">13</w:t>
            </w:r>
          </w:p>
        </w:tc>
        <w:tc>
          <w:p>
            <w:pPr>
              <w:pStyle w:val="Compact"/>
              <w:jc w:val="center"/>
            </w:pPr>
            <w:r>
              <w:t xml:space="preserve">-5882596</w:t>
            </w:r>
          </w:p>
        </w:tc>
        <w:tc>
          <w:p>
            <w:pPr>
              <w:pStyle w:val="Compact"/>
              <w:jc w:val="center"/>
            </w:pPr>
            <w:r>
              <w:t xml:space="preserve">-5882587</w:t>
            </w:r>
          </w:p>
        </w:tc>
        <w:tc>
          <w:p>
            <w:pPr>
              <w:pStyle w:val="Compact"/>
              <w:jc w:val="center"/>
            </w:pPr>
            <w:r>
              <w:t xml:space="preserve">-5882595</w:t>
            </w:r>
          </w:p>
        </w:tc>
        <w:tc>
          <w:p>
            <w:pPr>
              <w:pStyle w:val="Compact"/>
              <w:jc w:val="center"/>
            </w:pPr>
            <w:r>
              <w:t xml:space="preserve">-5882582</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Relaxed Clock</w:t>
            </w:r>
          </w:p>
        </w:tc>
        <w:tc>
          <w:p>
            <w:pPr>
              <w:pStyle w:val="Compact"/>
              <w:jc w:val="center"/>
            </w:pPr>
            <w:r>
              <w:t xml:space="preserve">44</w:t>
            </w:r>
          </w:p>
        </w:tc>
        <w:tc>
          <w:p>
            <w:pPr>
              <w:pStyle w:val="Compact"/>
              <w:jc w:val="center"/>
            </w:pPr>
            <w:r>
              <w:t xml:space="preserve">-5888140</w:t>
            </w:r>
          </w:p>
        </w:tc>
        <w:tc>
          <w:p>
            <w:pPr>
              <w:pStyle w:val="Compact"/>
              <w:jc w:val="center"/>
            </w:pPr>
            <w:r>
              <w:t xml:space="preserve">-5888130</w:t>
            </w:r>
          </w:p>
        </w:tc>
        <w:tc>
          <w:p>
            <w:pPr>
              <w:pStyle w:val="Compact"/>
              <w:jc w:val="center"/>
            </w:pPr>
            <w:r>
              <w:t xml:space="preserve">-5888082</w:t>
            </w:r>
          </w:p>
        </w:tc>
        <w:tc>
          <w:p>
            <w:pPr>
              <w:pStyle w:val="Compact"/>
              <w:jc w:val="center"/>
            </w:pPr>
            <w:r>
              <w:t xml:space="preserve">-5888038</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Relaxed Clock</w:t>
            </w:r>
          </w:p>
        </w:tc>
        <w:tc>
          <w:p>
            <w:pPr>
              <w:pStyle w:val="Compact"/>
              <w:jc w:val="center"/>
            </w:pPr>
            <w:r>
              <w:t xml:space="preserve">4</w:t>
            </w:r>
          </w:p>
        </w:tc>
        <w:tc>
          <w:p>
            <w:pPr>
              <w:pStyle w:val="Compact"/>
              <w:jc w:val="center"/>
            </w:pPr>
            <w:r>
              <w:t xml:space="preserve">-5920837</w:t>
            </w:r>
          </w:p>
        </w:tc>
        <w:tc>
          <w:p>
            <w:pPr>
              <w:pStyle w:val="Compact"/>
              <w:jc w:val="center"/>
            </w:pPr>
            <w:r>
              <w:t xml:space="preserve">-5920733</w:t>
            </w:r>
          </w:p>
        </w:tc>
        <w:tc>
          <w:p>
            <w:pPr>
              <w:pStyle w:val="Compact"/>
              <w:jc w:val="center"/>
            </w:pPr>
            <w:r>
              <w:t xml:space="preserve">-5919662</w:t>
            </w:r>
          </w:p>
        </w:tc>
        <w:tc>
          <w:p>
            <w:pPr>
              <w:pStyle w:val="Compact"/>
              <w:jc w:val="center"/>
            </w:pPr>
            <w:r>
              <w:t xml:space="preserve">-5919658</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w:t>
            </w:r>
          </w:p>
        </w:tc>
        <w:tc>
          <w:p>
            <w:pPr>
              <w:pStyle w:val="Compact"/>
              <w:jc w:val="center"/>
            </w:pPr>
            <w:r>
              <w:t xml:space="preserve">-5892876</w:t>
            </w:r>
          </w:p>
        </w:tc>
        <w:tc>
          <w:p>
            <w:pPr>
              <w:pStyle w:val="Compact"/>
              <w:jc w:val="center"/>
            </w:pPr>
            <w:r>
              <w:t xml:space="preserve">-5892895</w:t>
            </w:r>
          </w:p>
        </w:tc>
        <w:tc>
          <w:p>
            <w:pPr>
              <w:pStyle w:val="Compact"/>
              <w:jc w:val="center"/>
            </w:pPr>
            <w:r>
              <w:t xml:space="preserve">-5892791</w:t>
            </w:r>
          </w:p>
        </w:tc>
        <w:tc>
          <w:p>
            <w:pPr>
              <w:pStyle w:val="Compact"/>
              <w:jc w:val="center"/>
            </w:pPr>
            <w:r>
              <w:t xml:space="preserve">-5892805</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Relaxed Clock</w:t>
            </w:r>
          </w:p>
        </w:tc>
        <w:tc>
          <w:p>
            <w:pPr>
              <w:pStyle w:val="Compact"/>
              <w:jc w:val="center"/>
            </w:pPr>
            <w:r>
              <w:t xml:space="preserve">4</w:t>
            </w:r>
          </w:p>
        </w:tc>
        <w:tc>
          <w:p>
            <w:pPr>
              <w:pStyle w:val="Compact"/>
              <w:jc w:val="center"/>
            </w:pPr>
            <w:r>
              <w:t xml:space="preserve">-5886031</w:t>
            </w:r>
          </w:p>
        </w:tc>
        <w:tc>
          <w:p>
            <w:pPr>
              <w:pStyle w:val="Compact"/>
              <w:jc w:val="center"/>
            </w:pPr>
            <w:r>
              <w:t xml:space="preserve">-5886034</w:t>
            </w:r>
          </w:p>
        </w:tc>
        <w:tc>
          <w:p>
            <w:pPr>
              <w:pStyle w:val="Compact"/>
              <w:jc w:val="center"/>
            </w:pPr>
            <w:r>
              <w:t xml:space="preserve">-5886026</w:t>
            </w:r>
          </w:p>
        </w:tc>
        <w:tc>
          <w:p>
            <w:pPr>
              <w:pStyle w:val="Compact"/>
              <w:jc w:val="center"/>
            </w:pPr>
            <w:r>
              <w:t xml:space="preserve">-5886022</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w:t>
            </w:r>
          </w:p>
        </w:tc>
        <w:tc>
          <w:p>
            <w:pPr>
              <w:pStyle w:val="Compact"/>
              <w:jc w:val="center"/>
            </w:pPr>
            <w:r>
              <w:t xml:space="preserve">-5887497</w:t>
            </w:r>
          </w:p>
        </w:tc>
        <w:tc>
          <w:p>
            <w:pPr>
              <w:pStyle w:val="Compact"/>
              <w:jc w:val="center"/>
            </w:pPr>
            <w:r>
              <w:t xml:space="preserve">-5887506</w:t>
            </w:r>
          </w:p>
        </w:tc>
        <w:tc>
          <w:p>
            <w:pPr>
              <w:pStyle w:val="Compact"/>
              <w:jc w:val="center"/>
            </w:pPr>
            <w:r>
              <w:t xml:space="preserve">-5887495</w:t>
            </w:r>
          </w:p>
        </w:tc>
        <w:tc>
          <w:p>
            <w:pPr>
              <w:pStyle w:val="Compact"/>
              <w:jc w:val="center"/>
            </w:pPr>
            <w:r>
              <w:t xml:space="preserve">-5887506</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Relaxed Clock</w:t>
            </w:r>
          </w:p>
        </w:tc>
        <w:tc>
          <w:p>
            <w:pPr>
              <w:pStyle w:val="Compact"/>
              <w:jc w:val="center"/>
            </w:pPr>
            <w:r>
              <w:t xml:space="preserve">6</w:t>
            </w:r>
          </w:p>
        </w:tc>
        <w:tc>
          <w:p>
            <w:pPr>
              <w:pStyle w:val="Compact"/>
              <w:jc w:val="center"/>
            </w:pPr>
            <w:r>
              <w:t xml:space="preserve">-5889526</w:t>
            </w:r>
          </w:p>
        </w:tc>
        <w:tc>
          <w:p>
            <w:pPr>
              <w:pStyle w:val="Compact"/>
              <w:jc w:val="center"/>
            </w:pPr>
            <w:r>
              <w:t xml:space="preserve">-5889520</w:t>
            </w:r>
          </w:p>
        </w:tc>
        <w:tc>
          <w:p>
            <w:pPr>
              <w:pStyle w:val="Compact"/>
              <w:jc w:val="center"/>
            </w:pPr>
            <w:r>
              <w:t xml:space="preserve">-5889502</w:t>
            </w:r>
          </w:p>
        </w:tc>
        <w:tc>
          <w:p>
            <w:pPr>
              <w:pStyle w:val="Compact"/>
              <w:jc w:val="center"/>
            </w:pPr>
            <w:r>
              <w:t xml:space="preserve">-5889496</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Relaxed Clock</w:t>
            </w:r>
          </w:p>
        </w:tc>
        <w:tc>
          <w:p>
            <w:pPr>
              <w:pStyle w:val="Compact"/>
              <w:jc w:val="center"/>
            </w:pPr>
            <w:r>
              <w:t xml:space="preserve">13298</w:t>
            </w:r>
          </w:p>
        </w:tc>
        <w:tc>
          <w:p>
            <w:pPr>
              <w:pStyle w:val="Compact"/>
              <w:jc w:val="center"/>
            </w:pPr>
            <w:r>
              <w:t xml:space="preserve">-5896014</w:t>
            </w:r>
          </w:p>
        </w:tc>
        <w:tc>
          <w:p>
            <w:pPr>
              <w:pStyle w:val="Compact"/>
              <w:jc w:val="center"/>
            </w:pPr>
            <w:r>
              <w:t xml:space="preserve">-5896016</w:t>
            </w:r>
          </w:p>
        </w:tc>
        <w:tc>
          <w:p>
            <w:pPr>
              <w:pStyle w:val="Compact"/>
              <w:jc w:val="center"/>
            </w:pPr>
            <w:r>
              <w:t xml:space="preserve">-5895880</w:t>
            </w:r>
          </w:p>
        </w:tc>
        <w:tc>
          <w:p>
            <w:pPr>
              <w:pStyle w:val="Compact"/>
              <w:jc w:val="center"/>
            </w:pPr>
            <w:r>
              <w:t xml:space="preserve">-5882582</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Relaxed Clock</w:t>
            </w:r>
          </w:p>
        </w:tc>
        <w:tc>
          <w:p>
            <w:pPr>
              <w:pStyle w:val="Compact"/>
              <w:jc w:val="center"/>
            </w:pPr>
            <w:r>
              <w:t xml:space="preserve">12</w:t>
            </w:r>
          </w:p>
        </w:tc>
        <w:tc>
          <w:p>
            <w:pPr>
              <w:pStyle w:val="Compact"/>
              <w:jc w:val="center"/>
            </w:pPr>
            <w:r>
              <w:t xml:space="preserve">-5945603</w:t>
            </w:r>
          </w:p>
        </w:tc>
        <w:tc>
          <w:p>
            <w:pPr>
              <w:pStyle w:val="Compact"/>
              <w:jc w:val="center"/>
            </w:pPr>
            <w:r>
              <w:t xml:space="preserve">-5945574</w:t>
            </w:r>
          </w:p>
        </w:tc>
        <w:tc>
          <w:p>
            <w:pPr>
              <w:pStyle w:val="Compact"/>
              <w:jc w:val="center"/>
            </w:pPr>
            <w:r>
              <w:t xml:space="preserve">-5944627</w:t>
            </w:r>
          </w:p>
        </w:tc>
        <w:tc>
          <w:p>
            <w:pPr>
              <w:pStyle w:val="Compact"/>
              <w:jc w:val="center"/>
            </w:pPr>
            <w:r>
              <w:t xml:space="preserve">-5944614</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Relaxed Clock</w:t>
            </w:r>
          </w:p>
        </w:tc>
        <w:tc>
          <w:p>
            <w:pPr>
              <w:pStyle w:val="Compact"/>
              <w:jc w:val="center"/>
            </w:pPr>
            <w:r>
              <w:t xml:space="preserve">83*</w:t>
            </w:r>
          </w:p>
        </w:tc>
        <w:tc>
          <w:p>
            <w:pPr>
              <w:pStyle w:val="Compact"/>
              <w:jc w:val="center"/>
            </w:pPr>
            <w:r>
              <w:t xml:space="preserve">-5892926</w:t>
            </w:r>
          </w:p>
        </w:tc>
        <w:tc>
          <w:p>
            <w:pPr>
              <w:pStyle w:val="Compact"/>
              <w:jc w:val="center"/>
            </w:pPr>
            <w:r>
              <w:t xml:space="preserve">-5892843</w:t>
            </w:r>
          </w:p>
        </w:tc>
        <w:tc>
          <w:p>
            <w:pPr>
              <w:pStyle w:val="Compact"/>
              <w:jc w:val="center"/>
            </w:pPr>
            <w:r>
              <w:t xml:space="preserve">-5892739</w:t>
            </w:r>
          </w:p>
        </w:tc>
        <w:tc>
          <w:p>
            <w:pPr>
              <w:pStyle w:val="Compact"/>
              <w:jc w:val="center"/>
            </w:pPr>
            <w:r>
              <w:t xml:space="preserve">-5892741</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133" Target="media/rId133.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23" Target="media/rId23.svg" /><Relationship Type="http://schemas.openxmlformats.org/officeDocument/2006/relationships/hyperlink" Id="rId104"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6" Target="http://www.nature.com/articles/nature10549" TargetMode="External" /><Relationship Type="http://schemas.openxmlformats.org/officeDocument/2006/relationships/hyperlink" Id="rId87" Target="http://www.pnas.org/cgi/doi/10.1073/pnas.1205750110" TargetMode="External" /><Relationship Type="http://schemas.openxmlformats.org/officeDocument/2006/relationships/hyperlink" Id="rId70" Target="http://www.sciencedirect.com/science/article/pii/S1286457904002357" TargetMode="External" /><Relationship Type="http://schemas.openxmlformats.org/officeDocument/2006/relationships/hyperlink" Id="rId85" Target="https://doi.org/10.1016/S1473-3099(13)70323-2" TargetMode="External" /><Relationship Type="http://schemas.openxmlformats.org/officeDocument/2006/relationships/hyperlink" Id="rId91" Target="https://doi.org/10.1016/S2666-5247(20)30176-2" TargetMode="External" /><Relationship Type="http://schemas.openxmlformats.org/officeDocument/2006/relationships/hyperlink" Id="rId80" Target="https://doi.org/10.1016/j.cell.2015.10.009" TargetMode="External" /><Relationship Type="http://schemas.openxmlformats.org/officeDocument/2006/relationships/hyperlink" Id="rId71" Target="https://doi.org/10.1016/j.micinf.2004.08.002" TargetMode="External" /><Relationship Type="http://schemas.openxmlformats.org/officeDocument/2006/relationships/hyperlink" Id="rId59" Target="https://doi.org/10.1016/j.tree.2018.05.005" TargetMode="External" /><Relationship Type="http://schemas.openxmlformats.org/officeDocument/2006/relationships/hyperlink" Id="rId105" Target="https://doi.org/10.1017/S0020743819000667" TargetMode="External" /><Relationship Type="http://schemas.openxmlformats.org/officeDocument/2006/relationships/hyperlink" Id="rId108" Target="https://doi.org/10.1017/npt.2020.27" TargetMode="External" /><Relationship Type="http://schemas.openxmlformats.org/officeDocument/2006/relationships/hyperlink" Id="rId77" Target="https://doi.org/10.1038/nature10549" TargetMode="External" /><Relationship Type="http://schemas.openxmlformats.org/officeDocument/2006/relationships/hyperlink" Id="rId116" Target="https://doi.org/10.1038/ng.705" TargetMode="External" /><Relationship Type="http://schemas.openxmlformats.org/officeDocument/2006/relationships/hyperlink" Id="rId97" Target="https://doi.org/10.1038/s41467-018-04550-9" TargetMode="External" /><Relationship Type="http://schemas.openxmlformats.org/officeDocument/2006/relationships/hyperlink" Id="rId94" Target="https://doi.org/10.1038/s41467-019-12154-0" TargetMode="External" /><Relationship Type="http://schemas.openxmlformats.org/officeDocument/2006/relationships/hyperlink" Id="rId88" Target="https://doi.org/10.1073/pnas.1205750110" TargetMode="External" /><Relationship Type="http://schemas.openxmlformats.org/officeDocument/2006/relationships/hyperlink" Id="rId129" Target="https://doi.org/10.1093/molbev/msaa163" TargetMode="External" /><Relationship Type="http://schemas.openxmlformats.org/officeDocument/2006/relationships/hyperlink" Id="rId125" Target="https://doi.org/10.1093/molbev/msi145" TargetMode="External" /><Relationship Type="http://schemas.openxmlformats.org/officeDocument/2006/relationships/hyperlink" Id="rId127" Target="https://doi.org/10.1093/ve/veaa061" TargetMode="External" /><Relationship Type="http://schemas.openxmlformats.org/officeDocument/2006/relationships/hyperlink" Id="rId11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99" Target="https://doi.org/10.1146/annurev.ento.50.071803.130337" TargetMode="External" /><Relationship Type="http://schemas.openxmlformats.org/officeDocument/2006/relationships/hyperlink" Id="rId74" Target="https://doi.org/10.1371/journal.pone.0006000" TargetMode="External" /><Relationship Type="http://schemas.openxmlformats.org/officeDocument/2006/relationships/hyperlink" Id="rId114" Target="https://doi.org/10.1371/journal.pone.0244615" TargetMode="External" /><Relationship Type="http://schemas.openxmlformats.org/officeDocument/2006/relationships/hyperlink" Id="rId64" Target="https://doi.org/10.3389/fmicb.2018.01106" TargetMode="External" /><Relationship Type="http://schemas.openxmlformats.org/officeDocument/2006/relationships/hyperlink" Id="rId21" Target="https://github.com/ktmeaton/obsidian-public/tree/425fc9f5" TargetMode="External" /><Relationship Type="http://schemas.openxmlformats.org/officeDocument/2006/relationships/hyperlink" Id="rId73" Target="https://journals.plos.org/plosone/article?id=10.1371/journal.pone.0006000" TargetMode="External" /><Relationship Type="http://schemas.openxmlformats.org/officeDocument/2006/relationships/hyperlink" Id="rId113" Target="https://journals.plos.org/plosone/article?id=10.1371/journal.pone.0244615" TargetMode="External" /><Relationship Type="http://schemas.openxmlformats.org/officeDocument/2006/relationships/hyperlink" Id="rId8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425fc9f5/academic/Plague%20Phylodynamics%20and%20Phylogeography%20Paper.html" TargetMode="External" /><Relationship Type="http://schemas.openxmlformats.org/officeDocument/2006/relationships/hyperlink" Id="rId110" Target="https://royalsocietypublishing.org/doi/10.1098/rspb.2013.3159" TargetMode="External" /><Relationship Type="http://schemas.openxmlformats.org/officeDocument/2006/relationships/hyperlink" Id="rId102" Target="https://scholarworks.wmich.edu/tmg/vol1/iss1/9/" TargetMode="External" /><Relationship Type="http://schemas.openxmlformats.org/officeDocument/2006/relationships/hyperlink" Id="rId107"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3" Target="https://www.frontiersin.org/article/10.3389/fmicb.2018.01106/full" TargetMode="External" /><Relationship Type="http://schemas.openxmlformats.org/officeDocument/2006/relationships/hyperlink" Id="rId96" Target="https://www.nature.com/articles/s41467-018-04550-9" TargetMode="External" /><Relationship Type="http://schemas.openxmlformats.org/officeDocument/2006/relationships/hyperlink" Id="rId93" Target="https://www.nature.com/articles/s41467-019-12154-0" TargetMode="External" /><Relationship Type="http://schemas.openxmlformats.org/officeDocument/2006/relationships/hyperlink" Id="rId68" Target="https://www.ncbi.nlm.nih.gov/pmc/articles/PMC2554099" TargetMode="External" /><Relationship Type="http://schemas.openxmlformats.org/officeDocument/2006/relationships/hyperlink" Id="rId66" Target="https://www.ncbi.nlm.nih.gov/pmc/articles/PMC2554099/" TargetMode="External" /><Relationship Type="http://schemas.openxmlformats.org/officeDocument/2006/relationships/hyperlink" Id="rId118" Target="https://www.ncbi.nlm.nih.gov/pmc/articles/PMC2999892" TargetMode="External" /><Relationship Type="http://schemas.openxmlformats.org/officeDocument/2006/relationships/hyperlink" Id="rId82" Target="https://www.ncbi.nlm.nih.gov/pmc/articles/PMC4644222" TargetMode="External" /><Relationship Type="http://schemas.openxmlformats.org/officeDocument/2006/relationships/hyperlink" Id="rId79"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61" Target="https://www.ncbi.nlm.nih.gov/pmc/articles/PMC6092560" TargetMode="External" /><Relationship Type="http://schemas.openxmlformats.org/officeDocument/2006/relationships/hyperlink" Id="rId58" Target="https://www.ncbi.nlm.nih.gov/pmc/articles/PMC6092560/" TargetMode="External" /><Relationship Type="http://schemas.openxmlformats.org/officeDocument/2006/relationships/hyperlink" Id="rId67" Target="https://www.ncbi.nlm.nih.gov/pubmed/14859080" TargetMode="External" /><Relationship Type="http://schemas.openxmlformats.org/officeDocument/2006/relationships/hyperlink" Id="rId100" Target="https://www.ncbi.nlm.nih.gov/pubmed/15471529" TargetMode="External" /><Relationship Type="http://schemas.openxmlformats.org/officeDocument/2006/relationships/hyperlink" Id="rId117" Target="https://www.ncbi.nlm.nih.gov/pubmed/21037571" TargetMode="External" /><Relationship Type="http://schemas.openxmlformats.org/officeDocument/2006/relationships/hyperlink" Id="rId81"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60" Target="https://www.ncbi.nlm.nih.gov/pubmed/30007846" TargetMode="External" /><Relationship Type="http://schemas.openxmlformats.org/officeDocument/2006/relationships/hyperlink" Id="rId90"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104"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6" Target="http://www.nature.com/articles/nature10549" TargetMode="External" /><Relationship Type="http://schemas.openxmlformats.org/officeDocument/2006/relationships/hyperlink" Id="rId87" Target="http://www.pnas.org/cgi/doi/10.1073/pnas.1205750110" TargetMode="External" /><Relationship Type="http://schemas.openxmlformats.org/officeDocument/2006/relationships/hyperlink" Id="rId70" Target="http://www.sciencedirect.com/science/article/pii/S1286457904002357" TargetMode="External" /><Relationship Type="http://schemas.openxmlformats.org/officeDocument/2006/relationships/hyperlink" Id="rId85" Target="https://doi.org/10.1016/S1473-3099(13)70323-2" TargetMode="External" /><Relationship Type="http://schemas.openxmlformats.org/officeDocument/2006/relationships/hyperlink" Id="rId91" Target="https://doi.org/10.1016/S2666-5247(20)30176-2" TargetMode="External" /><Relationship Type="http://schemas.openxmlformats.org/officeDocument/2006/relationships/hyperlink" Id="rId80" Target="https://doi.org/10.1016/j.cell.2015.10.009" TargetMode="External" /><Relationship Type="http://schemas.openxmlformats.org/officeDocument/2006/relationships/hyperlink" Id="rId71" Target="https://doi.org/10.1016/j.micinf.2004.08.002" TargetMode="External" /><Relationship Type="http://schemas.openxmlformats.org/officeDocument/2006/relationships/hyperlink" Id="rId59" Target="https://doi.org/10.1016/j.tree.2018.05.005" TargetMode="External" /><Relationship Type="http://schemas.openxmlformats.org/officeDocument/2006/relationships/hyperlink" Id="rId105" Target="https://doi.org/10.1017/S0020743819000667" TargetMode="External" /><Relationship Type="http://schemas.openxmlformats.org/officeDocument/2006/relationships/hyperlink" Id="rId108" Target="https://doi.org/10.1017/npt.2020.27" TargetMode="External" /><Relationship Type="http://schemas.openxmlformats.org/officeDocument/2006/relationships/hyperlink" Id="rId77" Target="https://doi.org/10.1038/nature10549" TargetMode="External" /><Relationship Type="http://schemas.openxmlformats.org/officeDocument/2006/relationships/hyperlink" Id="rId116" Target="https://doi.org/10.1038/ng.705" TargetMode="External" /><Relationship Type="http://schemas.openxmlformats.org/officeDocument/2006/relationships/hyperlink" Id="rId97" Target="https://doi.org/10.1038/s41467-018-04550-9" TargetMode="External" /><Relationship Type="http://schemas.openxmlformats.org/officeDocument/2006/relationships/hyperlink" Id="rId94" Target="https://doi.org/10.1038/s41467-019-12154-0" TargetMode="External" /><Relationship Type="http://schemas.openxmlformats.org/officeDocument/2006/relationships/hyperlink" Id="rId88" Target="https://doi.org/10.1073/pnas.1205750110" TargetMode="External" /><Relationship Type="http://schemas.openxmlformats.org/officeDocument/2006/relationships/hyperlink" Id="rId129" Target="https://doi.org/10.1093/molbev/msaa163" TargetMode="External" /><Relationship Type="http://schemas.openxmlformats.org/officeDocument/2006/relationships/hyperlink" Id="rId125" Target="https://doi.org/10.1093/molbev/msi145" TargetMode="External" /><Relationship Type="http://schemas.openxmlformats.org/officeDocument/2006/relationships/hyperlink" Id="rId127" Target="https://doi.org/10.1093/ve/veaa061" TargetMode="External" /><Relationship Type="http://schemas.openxmlformats.org/officeDocument/2006/relationships/hyperlink" Id="rId11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99" Target="https://doi.org/10.1146/annurev.ento.50.071803.130337" TargetMode="External" /><Relationship Type="http://schemas.openxmlformats.org/officeDocument/2006/relationships/hyperlink" Id="rId74" Target="https://doi.org/10.1371/journal.pone.0006000" TargetMode="External" /><Relationship Type="http://schemas.openxmlformats.org/officeDocument/2006/relationships/hyperlink" Id="rId114" Target="https://doi.org/10.1371/journal.pone.0244615" TargetMode="External" /><Relationship Type="http://schemas.openxmlformats.org/officeDocument/2006/relationships/hyperlink" Id="rId64" Target="https://doi.org/10.3389/fmicb.2018.01106" TargetMode="External" /><Relationship Type="http://schemas.openxmlformats.org/officeDocument/2006/relationships/hyperlink" Id="rId21" Target="https://github.com/ktmeaton/obsidian-public/tree/425fc9f5" TargetMode="External" /><Relationship Type="http://schemas.openxmlformats.org/officeDocument/2006/relationships/hyperlink" Id="rId73" Target="https://journals.plos.org/plosone/article?id=10.1371/journal.pone.0006000" TargetMode="External" /><Relationship Type="http://schemas.openxmlformats.org/officeDocument/2006/relationships/hyperlink" Id="rId113" Target="https://journals.plos.org/plosone/article?id=10.1371/journal.pone.0244615" TargetMode="External" /><Relationship Type="http://schemas.openxmlformats.org/officeDocument/2006/relationships/hyperlink" Id="rId8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425fc9f5/academic/Plague%20Phylodynamics%20and%20Phylogeography%20Paper.html" TargetMode="External" /><Relationship Type="http://schemas.openxmlformats.org/officeDocument/2006/relationships/hyperlink" Id="rId110" Target="https://royalsocietypublishing.org/doi/10.1098/rspb.2013.3159" TargetMode="External" /><Relationship Type="http://schemas.openxmlformats.org/officeDocument/2006/relationships/hyperlink" Id="rId102" Target="https://scholarworks.wmich.edu/tmg/vol1/iss1/9/" TargetMode="External" /><Relationship Type="http://schemas.openxmlformats.org/officeDocument/2006/relationships/hyperlink" Id="rId107"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3" Target="https://www.frontiersin.org/article/10.3389/fmicb.2018.01106/full" TargetMode="External" /><Relationship Type="http://schemas.openxmlformats.org/officeDocument/2006/relationships/hyperlink" Id="rId96" Target="https://www.nature.com/articles/s41467-018-04550-9" TargetMode="External" /><Relationship Type="http://schemas.openxmlformats.org/officeDocument/2006/relationships/hyperlink" Id="rId93" Target="https://www.nature.com/articles/s41467-019-12154-0" TargetMode="External" /><Relationship Type="http://schemas.openxmlformats.org/officeDocument/2006/relationships/hyperlink" Id="rId68" Target="https://www.ncbi.nlm.nih.gov/pmc/articles/PMC2554099" TargetMode="External" /><Relationship Type="http://schemas.openxmlformats.org/officeDocument/2006/relationships/hyperlink" Id="rId66" Target="https://www.ncbi.nlm.nih.gov/pmc/articles/PMC2554099/" TargetMode="External" /><Relationship Type="http://schemas.openxmlformats.org/officeDocument/2006/relationships/hyperlink" Id="rId118" Target="https://www.ncbi.nlm.nih.gov/pmc/articles/PMC2999892" TargetMode="External" /><Relationship Type="http://schemas.openxmlformats.org/officeDocument/2006/relationships/hyperlink" Id="rId82" Target="https://www.ncbi.nlm.nih.gov/pmc/articles/PMC4644222" TargetMode="External" /><Relationship Type="http://schemas.openxmlformats.org/officeDocument/2006/relationships/hyperlink" Id="rId79"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61" Target="https://www.ncbi.nlm.nih.gov/pmc/articles/PMC6092560" TargetMode="External" /><Relationship Type="http://schemas.openxmlformats.org/officeDocument/2006/relationships/hyperlink" Id="rId58" Target="https://www.ncbi.nlm.nih.gov/pmc/articles/PMC6092560/" TargetMode="External" /><Relationship Type="http://schemas.openxmlformats.org/officeDocument/2006/relationships/hyperlink" Id="rId67" Target="https://www.ncbi.nlm.nih.gov/pubmed/14859080" TargetMode="External" /><Relationship Type="http://schemas.openxmlformats.org/officeDocument/2006/relationships/hyperlink" Id="rId100" Target="https://www.ncbi.nlm.nih.gov/pubmed/15471529" TargetMode="External" /><Relationship Type="http://schemas.openxmlformats.org/officeDocument/2006/relationships/hyperlink" Id="rId117" Target="https://www.ncbi.nlm.nih.gov/pubmed/21037571" TargetMode="External" /><Relationship Type="http://schemas.openxmlformats.org/officeDocument/2006/relationships/hyperlink" Id="rId81"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60" Target="https://www.ncbi.nlm.nih.gov/pubmed/30007846" TargetMode="External" /><Relationship Type="http://schemas.openxmlformats.org/officeDocument/2006/relationships/hyperlink" Id="rId90"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2021-09-13T17:30:44Z</dcterms:created>
  <dcterms:modified xsi:type="dcterms:W3CDTF">2021-09-13T17:30:44Z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