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F5D9B" w14:textId="77777777" w:rsidR="009A038F" w:rsidRDefault="00E50C7E">
      <w:pPr>
        <w:pStyle w:val="Title"/>
      </w:pPr>
      <w:r>
        <w:t>Plague Phylodynamics and Phylogeography</w:t>
      </w:r>
    </w:p>
    <w:p w14:paraId="27F701DD" w14:textId="77777777" w:rsidR="009A038F" w:rsidRDefault="00E50C7E">
      <w:pPr>
        <w:pStyle w:val="FirstParagraph"/>
      </w:pPr>
      <w:r>
        <w:t xml:space="preserve"> This manuscript (</w:t>
      </w:r>
      <w:hyperlink r:id="rId7">
        <w:r>
          <w:rPr>
            <w:rStyle w:val="Hyperlink"/>
          </w:rPr>
          <w:t>permalink</w:t>
        </w:r>
      </w:hyperlink>
      <w:r>
        <w:t xml:space="preserve">) was automatically generated from </w:t>
      </w:r>
      <w:hyperlink r:id="rId8">
        <w:r>
          <w:rPr>
            <w:rStyle w:val="Hyperlink"/>
          </w:rPr>
          <w:t>ktmeaton/obsidian-public@4f0256a5</w:t>
        </w:r>
      </w:hyperlink>
      <w:r>
        <w:t xml:space="preserve"> on May 13, 2021. </w:t>
      </w:r>
    </w:p>
    <w:p w14:paraId="4A0F4D1B" w14:textId="77777777" w:rsidR="009A038F" w:rsidRDefault="00E50C7E">
      <w:pPr>
        <w:pStyle w:val="Heading2"/>
      </w:pPr>
      <w:bookmarkStart w:id="0" w:name="authors"/>
      <w:r>
        <w:t>Authors</w:t>
      </w:r>
      <w:bookmarkEnd w:id="0"/>
    </w:p>
    <w:p w14:paraId="480DEC22" w14:textId="268338E0" w:rsidR="009A038F" w:rsidRDefault="00E50C7E">
      <w:pPr>
        <w:numPr>
          <w:ilvl w:val="0"/>
          <w:numId w:val="13"/>
        </w:numPr>
      </w:pPr>
      <w:r>
        <w:rPr>
          <w:b/>
        </w:rPr>
        <w:t>Katherine Eaton</w:t>
      </w:r>
      <w:r>
        <w:t xml:space="preserve"> </w:t>
      </w:r>
      <w:r>
        <w:t xml:space="preserve"> </w:t>
      </w:r>
      <w:hyperlink r:id="rId9">
        <w:r>
          <w:rPr>
            <w:rStyle w:val="Hyperlink"/>
          </w:rPr>
          <w:t>0000-0001-6862-7756</w:t>
        </w:r>
      </w:hyperlink>
      <w:r>
        <w:t xml:space="preserve"> · </w:t>
      </w:r>
      <w:r>
        <w:t xml:space="preserve"> </w:t>
      </w:r>
      <w:hyperlink r:id="rId10">
        <w:r>
          <w:rPr>
            <w:rStyle w:val="Hyperlink"/>
          </w:rPr>
          <w:t>ktmeaton</w:t>
        </w:r>
      </w:hyperlink>
      <w:r>
        <w:t xml:space="preserve">  McMaster Ancient DNA Center; </w:t>
      </w:r>
      <w:r>
        <w:t xml:space="preserve">Department of Anthropology, McMaster University </w:t>
      </w:r>
    </w:p>
    <w:p w14:paraId="5928C0B2" w14:textId="1329B821" w:rsidR="009A038F" w:rsidRDefault="00E50C7E">
      <w:pPr>
        <w:numPr>
          <w:ilvl w:val="0"/>
          <w:numId w:val="13"/>
        </w:numPr>
      </w:pPr>
      <w:r>
        <w:rPr>
          <w:b/>
        </w:rPr>
        <w:t>Leo Featherstone</w:t>
      </w:r>
      <w:r>
        <w:t xml:space="preserve"> </w:t>
      </w:r>
      <w:r>
        <w:t xml:space="preserve"> </w:t>
      </w:r>
      <w:hyperlink r:id="rId11">
        <w:r>
          <w:rPr>
            <w:rStyle w:val="Hyperlink"/>
          </w:rPr>
          <w:t>0000-0002-8878-1758</w:t>
        </w:r>
      </w:hyperlink>
      <w:r>
        <w:t xml:space="preserve">  The Peter Doherty Institute For Infection and </w:t>
      </w:r>
      <w:proofErr w:type="gramStart"/>
      <w:r>
        <w:t>Immunity ,</w:t>
      </w:r>
      <w:proofErr w:type="gramEnd"/>
      <w:r>
        <w:t xml:space="preserve"> University of Melbourne </w:t>
      </w:r>
    </w:p>
    <w:p w14:paraId="0B755F88" w14:textId="2F12363E" w:rsidR="009A038F" w:rsidRDefault="00E50C7E">
      <w:pPr>
        <w:numPr>
          <w:ilvl w:val="0"/>
          <w:numId w:val="13"/>
        </w:numPr>
      </w:pPr>
      <w:r>
        <w:rPr>
          <w:b/>
        </w:rPr>
        <w:t>Sebastian Duchene</w:t>
      </w:r>
      <w:r>
        <w:t xml:space="preserve"> </w:t>
      </w:r>
      <w:r>
        <w:t xml:space="preserve"> </w:t>
      </w:r>
      <w:hyperlink r:id="rId12">
        <w:r>
          <w:rPr>
            <w:rStyle w:val="Hyperlink"/>
          </w:rPr>
          <w:t>0000-0002-2863-0907</w:t>
        </w:r>
      </w:hyperlink>
      <w:r>
        <w:t xml:space="preserve"> · </w:t>
      </w:r>
      <w:r>
        <w:t xml:space="preserve"> </w:t>
      </w:r>
      <w:hyperlink r:id="rId13">
        <w:r>
          <w:rPr>
            <w:rStyle w:val="Hyperlink"/>
          </w:rPr>
          <w:t>sebastianduchene</w:t>
        </w:r>
      </w:hyperlink>
      <w:r>
        <w:t xml:space="preserve">  The Peter Doherty Institute For Infection and Immunity , University of Melbourne </w:t>
      </w:r>
    </w:p>
    <w:p w14:paraId="30DEA957" w14:textId="68B7A5AA" w:rsidR="009A038F" w:rsidRDefault="00E50C7E">
      <w:pPr>
        <w:numPr>
          <w:ilvl w:val="0"/>
          <w:numId w:val="13"/>
        </w:numPr>
      </w:pPr>
      <w:r>
        <w:rPr>
          <w:b/>
        </w:rPr>
        <w:t>Hendrik Poinar</w:t>
      </w:r>
      <w:r>
        <w:t xml:space="preserve"> </w:t>
      </w:r>
      <w:r>
        <w:t xml:space="preserve"> </w:t>
      </w:r>
      <w:hyperlink r:id="rId14">
        <w:r>
          <w:rPr>
            <w:rStyle w:val="Hyperlink"/>
          </w:rPr>
          <w:t>0000-0002-0314-4160</w:t>
        </w:r>
      </w:hyperlink>
      <w:r>
        <w:t xml:space="preserve">  McMaster Ancient DNA Center; Department of Anthropology, McMaster University </w:t>
      </w:r>
    </w:p>
    <w:p w14:paraId="69134CA3" w14:textId="77777777" w:rsidR="009A038F" w:rsidRDefault="00E50C7E">
      <w:pPr>
        <w:pStyle w:val="Heading2"/>
      </w:pPr>
      <w:bookmarkStart w:id="1" w:name="keywords"/>
      <w:r>
        <w:t>Keywords</w:t>
      </w:r>
      <w:bookmarkEnd w:id="1"/>
    </w:p>
    <w:p w14:paraId="247007D8" w14:textId="77777777" w:rsidR="009A038F" w:rsidRDefault="00E50C7E">
      <w:pPr>
        <w:pStyle w:val="Compact"/>
        <w:numPr>
          <w:ilvl w:val="0"/>
          <w:numId w:val="14"/>
        </w:numPr>
      </w:pPr>
      <w:r>
        <w:t>Plague</w:t>
      </w:r>
    </w:p>
    <w:p w14:paraId="78E9C241" w14:textId="77777777" w:rsidR="009A038F" w:rsidRDefault="00E50C7E">
      <w:pPr>
        <w:pStyle w:val="Compact"/>
        <w:numPr>
          <w:ilvl w:val="0"/>
          <w:numId w:val="14"/>
        </w:numPr>
      </w:pPr>
      <w:r>
        <w:t>Yersinia pestis</w:t>
      </w:r>
    </w:p>
    <w:p w14:paraId="3ACE412F" w14:textId="77777777" w:rsidR="009A038F" w:rsidRDefault="00E50C7E">
      <w:pPr>
        <w:pStyle w:val="Compact"/>
        <w:numPr>
          <w:ilvl w:val="0"/>
          <w:numId w:val="14"/>
        </w:numPr>
      </w:pPr>
      <w:r>
        <w:t>Phylodynamics</w:t>
      </w:r>
    </w:p>
    <w:p w14:paraId="15A76E6F" w14:textId="77777777" w:rsidR="009A038F" w:rsidRDefault="00E50C7E">
      <w:pPr>
        <w:pStyle w:val="Compact"/>
        <w:numPr>
          <w:ilvl w:val="0"/>
          <w:numId w:val="14"/>
        </w:numPr>
      </w:pPr>
      <w:r>
        <w:t>Phylogeography</w:t>
      </w:r>
    </w:p>
    <w:p w14:paraId="5344614E" w14:textId="77777777" w:rsidR="009A038F" w:rsidRDefault="00E50C7E">
      <w:pPr>
        <w:pStyle w:val="Heading2"/>
      </w:pPr>
      <w:bookmarkStart w:id="2" w:name="introduction"/>
      <w:r>
        <w:t>Introduction</w:t>
      </w:r>
      <w:bookmarkEnd w:id="2"/>
    </w:p>
    <w:p w14:paraId="0155C408" w14:textId="77777777" w:rsidR="009A038F" w:rsidRDefault="00E50C7E">
      <w:pPr>
        <w:pStyle w:val="FirstParagraph"/>
      </w:pPr>
      <w:r>
        <w:t>Plague has an impressively long and e</w:t>
      </w:r>
      <w:r>
        <w:t>xpansive history as a human pathogen. The earliest evidence of the plague bacterium Yersinia pestis comes from ancient DNA studies dating its emergence to at least the Neolithic [</w:t>
      </w:r>
      <w:hyperlink w:anchor="ref-Vo6ReJPm">
        <w:r>
          <w:rPr>
            <w:rStyle w:val="Hyperlink"/>
          </w:rPr>
          <w:t>1</w:t>
        </w:r>
      </w:hyperlink>
      <w:r>
        <w:t>,</w:t>
      </w:r>
      <w:hyperlink w:anchor="ref-AQa9Tn4j">
        <w:r>
          <w:rPr>
            <w:rStyle w:val="Hyperlink"/>
          </w:rPr>
          <w:t>2</w:t>
        </w:r>
      </w:hyperlink>
      <w:r>
        <w:t>]</w:t>
      </w:r>
      <w:r>
        <w:t>. Since then, Y. pestis has traveled extensively due to ever-expanding global trade networks [</w:t>
      </w:r>
      <w:hyperlink w:anchor="ref-1093vihdz">
        <w:r>
          <w:rPr>
            <w:rStyle w:val="Hyperlink"/>
          </w:rPr>
          <w:t>3</w:t>
        </w:r>
      </w:hyperlink>
      <w:r>
        <w:t>] and the ability to infect a diverse array of mammalian hosts [</w:t>
      </w:r>
      <w:hyperlink w:anchor="ref-uM6Rh5Fu">
        <w:r>
          <w:rPr>
            <w:rStyle w:val="Hyperlink"/>
          </w:rPr>
          <w:t>4</w:t>
        </w:r>
      </w:hyperlink>
      <w:r>
        <w:t>]. Few regions of the anc</w:t>
      </w:r>
      <w:r>
        <w:t>ient and modern world remain untouched by this disease, as plague has an established presence on every continent except Oceania [</w:t>
      </w:r>
      <w:hyperlink w:anchor="ref-h4WAqbKy">
        <w:r>
          <w:rPr>
            <w:rStyle w:val="Hyperlink"/>
          </w:rPr>
          <w:t>5</w:t>
        </w:r>
      </w:hyperlink>
      <w:r>
        <w:t>].</w:t>
      </w:r>
    </w:p>
    <w:p w14:paraId="524E2073" w14:textId="77777777" w:rsidR="009A038F" w:rsidRDefault="00E50C7E">
      <w:pPr>
        <w:pStyle w:val="BodyText"/>
      </w:pPr>
      <w:r>
        <w:t>Accompanying this prolific global presence is unnervingly high mortality. The infamous m</w:t>
      </w:r>
      <w:r>
        <w:t>edieval Black Death is estimated to have killed more than half of Europe’s population [</w:t>
      </w:r>
      <w:r>
        <w:rPr>
          <w:b/>
        </w:rPr>
        <w:t>???</w:t>
      </w:r>
      <w:r>
        <w:t>]. This virulence can still be observed in the post-antibiotic era, where case fatality rates range from 22-71% [</w:t>
      </w:r>
      <w:hyperlink w:anchor="ref-S5fFaZrD">
        <w:r>
          <w:rPr>
            <w:rStyle w:val="Hyperlink"/>
          </w:rPr>
          <w:t>6</w:t>
        </w:r>
      </w:hyperlink>
      <w:r>
        <w:t>]. As a result, p</w:t>
      </w:r>
      <w:r>
        <w:t>lague maintains its status as a disease that is of vital importance to current public health initiatives.</w:t>
      </w:r>
    </w:p>
    <w:p w14:paraId="1A3FC8CD" w14:textId="77777777" w:rsidR="009A038F" w:rsidRDefault="00E50C7E">
      <w:pPr>
        <w:pStyle w:val="BodyText"/>
      </w:pPr>
      <w:r>
        <w:t>The intriguingly high mortality that is repeatedly seen throughout history brings together diverse researchers with interests spanning the modern peri</w:t>
      </w:r>
      <w:r>
        <w:t xml:space="preserve">od, history, and even prehistory. This intersection has brought about novel insight to render what was once invisible, visible. For </w:t>
      </w:r>
      <w:r>
        <w:lastRenderedPageBreak/>
        <w:t>example, investigating the ecology of ancient rats [</w:t>
      </w:r>
      <w:hyperlink w:anchor="ref-126DH3OOt">
        <w:r>
          <w:rPr>
            <w:rStyle w:val="Hyperlink"/>
          </w:rPr>
          <w:t>7</w:t>
        </w:r>
      </w:hyperlink>
      <w:r>
        <w:t xml:space="preserve">] and reconstructing the genome of </w:t>
      </w:r>
      <w:r>
        <w:t>Black Death-era Y. pestis [</w:t>
      </w:r>
      <w:r>
        <w:rPr>
          <w:b/>
        </w:rPr>
        <w:t>???</w:t>
      </w:r>
      <w:r>
        <w:t>]. However, this breadth of research also reflects the observation that plague has traveled through immensely diverse populations, cultures, and landscapes. Thus it is unsurprising that any consensus on ‘universal’ disease dyn</w:t>
      </w:r>
      <w:r>
        <w:t>amics or experiences are rare to uncover. For example, within China alone there are 11 natural plague foci, each characterized by distinct environmental factors, bacteriological properties, and host-vector interactions [</w:t>
      </w:r>
      <w:hyperlink w:anchor="ref-bny5raHY">
        <w:r>
          <w:rPr>
            <w:rStyle w:val="Hyperlink"/>
          </w:rPr>
          <w:t>8</w:t>
        </w:r>
      </w:hyperlink>
      <w:r>
        <w:t>]. As a result, significant debate has emerged on topics such as the severity of past pandemics [</w:t>
      </w:r>
      <w:hyperlink w:anchor="ref-198RHww4t">
        <w:r>
          <w:rPr>
            <w:rStyle w:val="Hyperlink"/>
          </w:rPr>
          <w:t>9</w:t>
        </w:r>
      </w:hyperlink>
      <w:r>
        <w:t>], their geographic origins [</w:t>
      </w:r>
      <w:r>
        <w:rPr>
          <w:b/>
        </w:rPr>
        <w:t>???</w:t>
      </w:r>
      <w:r>
        <w:t>], and the mechanisms of spread [</w:t>
      </w:r>
      <w:r>
        <w:rPr>
          <w:b/>
        </w:rPr>
        <w:t>???</w:t>
      </w:r>
      <w:r>
        <w:t>].</w:t>
      </w:r>
    </w:p>
    <w:p w14:paraId="1C072A6E" w14:textId="77777777" w:rsidR="009A038F" w:rsidRDefault="00E50C7E">
      <w:pPr>
        <w:pStyle w:val="BodyText"/>
      </w:pPr>
      <w:r>
        <w:rPr>
          <w:b/>
        </w:rPr>
        <w:t>TO BE DONE</w:t>
      </w:r>
      <w:r>
        <w:t>:</w:t>
      </w:r>
    </w:p>
    <w:p w14:paraId="59F37C26" w14:textId="77777777" w:rsidR="009A038F" w:rsidRDefault="00E50C7E">
      <w:pPr>
        <w:pStyle w:val="Compact"/>
        <w:numPr>
          <w:ilvl w:val="0"/>
          <w:numId w:val="15"/>
        </w:numPr>
      </w:pPr>
      <w:r>
        <w:t>Introduce the genomic composition of Y.</w:t>
      </w:r>
      <w:r>
        <w:t xml:space="preserve"> pestis and mechanism of evolution.</w:t>
      </w:r>
    </w:p>
    <w:p w14:paraId="6CEEB4DD" w14:textId="77777777" w:rsidR="009A038F" w:rsidRDefault="00E50C7E">
      <w:pPr>
        <w:pStyle w:val="Compact"/>
        <w:numPr>
          <w:ilvl w:val="0"/>
          <w:numId w:val="15"/>
        </w:numPr>
      </w:pPr>
      <w:r>
        <w:t>Introduce the topics phylodynamics and phylogeography and what is known so far.</w:t>
      </w:r>
    </w:p>
    <w:p w14:paraId="1C9D742E" w14:textId="77777777" w:rsidR="009A038F" w:rsidRDefault="00E50C7E">
      <w:pPr>
        <w:pStyle w:val="Compact"/>
        <w:numPr>
          <w:ilvl w:val="0"/>
          <w:numId w:val="15"/>
        </w:numPr>
      </w:pPr>
      <w:r>
        <w:t>Introduce the problem(s) and our objective(s).</w:t>
      </w:r>
    </w:p>
    <w:p w14:paraId="5F7EBFC8" w14:textId="77777777" w:rsidR="009A038F" w:rsidRDefault="00E50C7E">
      <w:pPr>
        <w:pStyle w:val="Heading2"/>
      </w:pPr>
      <w:bookmarkStart w:id="3" w:name="materials-and-methods"/>
      <w:r>
        <w:t>Materials and Methods</w:t>
      </w:r>
      <w:bookmarkEnd w:id="3"/>
    </w:p>
    <w:p w14:paraId="1C9048E7" w14:textId="77777777" w:rsidR="009A038F" w:rsidRDefault="00E50C7E">
      <w:pPr>
        <w:pStyle w:val="Heading3"/>
      </w:pPr>
      <w:bookmarkStart w:id="4" w:name="data-collection"/>
      <w:r>
        <w:t>Data Collection</w:t>
      </w:r>
      <w:bookmarkEnd w:id="4"/>
    </w:p>
    <w:p w14:paraId="66499950" w14:textId="77777777" w:rsidR="009A038F" w:rsidRDefault="00E50C7E">
      <w:pPr>
        <w:pStyle w:val="Heading3"/>
      </w:pPr>
      <w:bookmarkStart w:id="5" w:name="data-quality-criteria"/>
      <w:r>
        <w:t>Data Quality Criteria</w:t>
      </w:r>
      <w:bookmarkEnd w:id="5"/>
    </w:p>
    <w:p w14:paraId="308B7246" w14:textId="77777777" w:rsidR="009A038F" w:rsidRDefault="00E50C7E">
      <w:pPr>
        <w:pStyle w:val="Heading3"/>
      </w:pPr>
      <w:bookmarkStart w:id="6" w:name="subsampled-datasets"/>
      <w:r>
        <w:t>Subsampled Datasets</w:t>
      </w:r>
      <w:bookmarkEnd w:id="6"/>
    </w:p>
    <w:p w14:paraId="70ABA398" w14:textId="77777777" w:rsidR="009A038F" w:rsidRDefault="00E50C7E">
      <w:pPr>
        <w:pStyle w:val="Heading3"/>
      </w:pPr>
      <w:bookmarkStart w:id="7" w:name="phylogenetic-reconstruction"/>
      <w:r>
        <w:t xml:space="preserve">Phylogenetic </w:t>
      </w:r>
      <w:r>
        <w:t>Reconstruction</w:t>
      </w:r>
      <w:bookmarkEnd w:id="7"/>
    </w:p>
    <w:p w14:paraId="03AFF8F5" w14:textId="77777777" w:rsidR="009A038F" w:rsidRDefault="00E50C7E">
      <w:pPr>
        <w:pStyle w:val="Heading3"/>
      </w:pPr>
      <w:bookmarkStart w:id="8" w:name="phylodynamics"/>
      <w:r>
        <w:t>Phylodynamics</w:t>
      </w:r>
      <w:bookmarkEnd w:id="8"/>
    </w:p>
    <w:p w14:paraId="10EE7080" w14:textId="77777777" w:rsidR="009A038F" w:rsidRDefault="00E50C7E">
      <w:pPr>
        <w:pStyle w:val="Heading3"/>
      </w:pPr>
      <w:bookmarkStart w:id="9" w:name="phylogeography"/>
      <w:r>
        <w:t>Phylogeography</w:t>
      </w:r>
      <w:bookmarkEnd w:id="9"/>
    </w:p>
    <w:p w14:paraId="265E9965" w14:textId="77777777" w:rsidR="009A038F" w:rsidRDefault="00E50C7E">
      <w:pPr>
        <w:pStyle w:val="Heading2"/>
      </w:pPr>
      <w:bookmarkStart w:id="10" w:name="results"/>
      <w:r>
        <w:t>Results</w:t>
      </w:r>
      <w:bookmarkEnd w:id="10"/>
    </w:p>
    <w:p w14:paraId="162F88B1" w14:textId="77777777" w:rsidR="009A038F" w:rsidRDefault="00E50C7E">
      <w:pPr>
        <w:pStyle w:val="Heading3"/>
      </w:pPr>
      <w:bookmarkStart w:id="11" w:name="composition"/>
      <w:r>
        <w:t>Composition</w:t>
      </w:r>
      <w:bookmarkEnd w:id="11"/>
    </w:p>
    <w:p w14:paraId="389BAF57" w14:textId="77777777" w:rsidR="009A038F" w:rsidRDefault="00E50C7E">
      <w:pPr>
        <w:pStyle w:val="Heading3"/>
      </w:pPr>
      <w:bookmarkStart w:id="12" w:name="phylogeny"/>
      <w:r>
        <w:t>Phylogeny</w:t>
      </w:r>
      <w:bookmarkEnd w:id="12"/>
    </w:p>
    <w:p w14:paraId="47A2698F" w14:textId="77777777" w:rsidR="009A038F" w:rsidRDefault="00E50C7E">
      <w:pPr>
        <w:pStyle w:val="FirstParagraph"/>
      </w:pPr>
      <w:r>
        <w:t xml:space="preserve">Divergence-scaled phylogeny of Y. pestis (Figure </w:t>
      </w:r>
      <w:hyperlink w:anchor="fig:fig_divtree_all">
        <w:r>
          <w:rPr>
            <w:rStyle w:val="Hyperlink"/>
          </w:rPr>
          <w:t>1</w:t>
        </w:r>
      </w:hyperlink>
      <w:r>
        <w:t>).</w:t>
      </w:r>
    </w:p>
    <w:p w14:paraId="3CB85B55" w14:textId="77777777" w:rsidR="009A038F" w:rsidRDefault="00E50C7E">
      <w:pPr>
        <w:pStyle w:val="CaptionedFigure"/>
      </w:pPr>
      <w:bookmarkStart w:id="13" w:name="fig:fig_divtree_all"/>
      <w:r>
        <w:rPr>
          <w:noProof/>
        </w:rPr>
        <w:lastRenderedPageBreak/>
        <w:drawing>
          <wp:inline distT="0" distB="0" distL="0" distR="0" wp14:anchorId="2EC0A564" wp14:editId="2F95BD94">
            <wp:extent cx="5943600" cy="3300308"/>
            <wp:effectExtent l="0" t="0" r="0" b="0"/>
            <wp:docPr id="7" name="Picture" descr="Figure 1: Yersinia pestis phylogeny. (Significant SVG editing required)|8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cdn.githack.com/ktmeaton/plague-phylogeography-projects/58183a9490e26d25f7d28ed471c91085b78213b5/main/auspice/all/chromosome/full/filter5/divtree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949131" w14:textId="77777777" w:rsidR="009A038F" w:rsidRDefault="00E50C7E">
      <w:pPr>
        <w:pStyle w:val="ImageCaption"/>
      </w:pPr>
      <w:r>
        <w:t xml:space="preserve">Figure 1: </w:t>
      </w:r>
      <w:r>
        <w:t>Yersinia pestis</w:t>
      </w:r>
      <w:r>
        <w:t xml:space="preserve"> </w:t>
      </w:r>
      <w:r>
        <w:t>phylogeny. (Significant SVG editing required)|800</w:t>
      </w:r>
    </w:p>
    <w:p w14:paraId="6992B8F3" w14:textId="77777777" w:rsidR="009A038F" w:rsidRDefault="00E50C7E">
      <w:pPr>
        <w:pStyle w:val="Heading3"/>
      </w:pPr>
      <w:bookmarkStart w:id="14" w:name="phylodynamics-1"/>
      <w:bookmarkEnd w:id="13"/>
      <w:r>
        <w:t>Phylodynamics</w:t>
      </w:r>
      <w:bookmarkEnd w:id="14"/>
    </w:p>
    <w:p w14:paraId="3CCE2C4D" w14:textId="77777777" w:rsidR="009A038F" w:rsidRDefault="00E50C7E">
      <w:pPr>
        <w:pStyle w:val="Heading4"/>
      </w:pPr>
      <w:bookmarkStart w:id="15" w:name="molecular-clock"/>
      <w:r>
        <w:t>Molecular Clock</w:t>
      </w:r>
      <w:bookmarkEnd w:id="15"/>
    </w:p>
    <w:p w14:paraId="4C8660A3" w14:textId="77777777" w:rsidR="009A038F" w:rsidRDefault="00E50C7E">
      <w:pPr>
        <w:pStyle w:val="Compact"/>
        <w:numPr>
          <w:ilvl w:val="0"/>
          <w:numId w:val="16"/>
        </w:numPr>
      </w:pPr>
      <w:r>
        <w:rPr>
          <w:i/>
        </w:rPr>
        <w:t>Y. pestis</w:t>
      </w:r>
      <w:r>
        <w:t xml:space="preserve"> has extreme rate variation.</w:t>
      </w:r>
    </w:p>
    <w:p w14:paraId="5A361ECF" w14:textId="77777777" w:rsidR="009A038F" w:rsidRDefault="00E50C7E">
      <w:pPr>
        <w:pStyle w:val="Compact"/>
        <w:numPr>
          <w:ilvl w:val="0"/>
          <w:numId w:val="16"/>
        </w:numPr>
      </w:pPr>
      <w:r>
        <w:t>A Root to Tip Regression on collection date confirms this, as the Coefficient of Determination (R2 ) is 0.09, revealing a poor fit to a si</w:t>
      </w:r>
      <w:r>
        <w:t xml:space="preserve">mple linear model (Table </w:t>
      </w:r>
      <w:hyperlink w:anchor="tbl:table_temporal_signal">
        <w:r>
          <w:rPr>
            <w:rStyle w:val="Hyperlink"/>
          </w:rPr>
          <w:t>1</w:t>
        </w:r>
      </w:hyperlink>
      <w:r>
        <w:t>).</w:t>
      </w:r>
    </w:p>
    <w:p w14:paraId="6948E3FB" w14:textId="77777777" w:rsidR="009A038F" w:rsidRDefault="00E50C7E">
      <w:pPr>
        <w:pStyle w:val="Compact"/>
        <w:numPr>
          <w:ilvl w:val="0"/>
          <w:numId w:val="16"/>
        </w:numPr>
      </w:pPr>
      <w:r>
        <w:t xml:space="preserve">To some extent, this variation can be explained by examining the clades in isolation (Figure </w:t>
      </w:r>
      <w:hyperlink w:anchor="fig:fig_rate_boxplot_all">
        <w:r>
          <w:rPr>
            <w:rStyle w:val="Hyperlink"/>
          </w:rPr>
          <w:t>2</w:t>
        </w:r>
      </w:hyperlink>
      <w:r>
        <w:t>).</w:t>
      </w:r>
    </w:p>
    <w:p w14:paraId="2C5F0CE5" w14:textId="77777777" w:rsidR="009A038F" w:rsidRDefault="00E50C7E">
      <w:pPr>
        <w:pStyle w:val="Compact"/>
        <w:numPr>
          <w:ilvl w:val="0"/>
          <w:numId w:val="16"/>
        </w:numPr>
      </w:pPr>
      <w:r>
        <w:t>Finding an appropriate evolutionary</w:t>
      </w:r>
      <w:r>
        <w:t xml:space="preserve"> model is key to estimating historic events, like clade emergence (Figure </w:t>
      </w:r>
      <w:hyperlink w:anchor="fig:fig_tmrca_boxplot_all">
        <w:r>
          <w:rPr>
            <w:rStyle w:val="Hyperlink"/>
          </w:rPr>
          <w:t>3</w:t>
        </w:r>
      </w:hyperlink>
      <w:r>
        <w:t>).</w:t>
      </w:r>
    </w:p>
    <w:p w14:paraId="557E7891" w14:textId="77777777" w:rsidR="009A038F" w:rsidRDefault="00E50C7E">
      <w:pPr>
        <w:pStyle w:val="TableCaption"/>
      </w:pPr>
      <w:bookmarkStart w:id="16" w:name="tbl:table_temporal_signal"/>
      <w:r>
        <w:t xml:space="preserve">Table 1: Temporal signal statistics by clade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906"/>
        <w:gridCol w:w="895"/>
        <w:gridCol w:w="1673"/>
        <w:gridCol w:w="672"/>
        <w:gridCol w:w="1106"/>
      </w:tblGrid>
      <w:tr w:rsidR="009A038F" w14:paraId="0F67DA4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E44889" w14:textId="77777777" w:rsidR="009A038F" w:rsidRDefault="00E50C7E">
            <w:pPr>
              <w:pStyle w:val="Compact"/>
            </w:pPr>
            <w:r>
              <w:t>Branch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BFA542" w14:textId="77777777" w:rsidR="009A038F" w:rsidRDefault="00E50C7E">
            <w:pPr>
              <w:pStyle w:val="Compact"/>
            </w:pPr>
            <w:r>
              <w:t>Clade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A33A7A0" w14:textId="77777777" w:rsidR="009A038F" w:rsidRDefault="00E50C7E">
            <w:pPr>
              <w:pStyle w:val="Compact"/>
            </w:pPr>
            <w:r>
              <w:t>Origin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B26602" w14:textId="77777777" w:rsidR="009A038F" w:rsidRDefault="00E50C7E">
            <w:pPr>
              <w:pStyle w:val="Compact"/>
            </w:pPr>
            <w:r>
              <w:t>R2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006678" w14:textId="77777777" w:rsidR="009A038F" w:rsidRDefault="00E50C7E">
            <w:pPr>
              <w:pStyle w:val="Compact"/>
            </w:pPr>
            <w:r>
              <w:t>p-value</w:t>
            </w:r>
          </w:p>
        </w:tc>
      </w:tr>
      <w:tr w:rsidR="009A038F" w14:paraId="6716AF05" w14:textId="77777777">
        <w:tc>
          <w:tcPr>
            <w:tcW w:w="0" w:type="auto"/>
          </w:tcPr>
          <w:p w14:paraId="1E2E3AC7" w14:textId="77777777" w:rsidR="009A038F" w:rsidRDefault="00E50C7E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6E919B5D" w14:textId="77777777" w:rsidR="009A038F" w:rsidRDefault="00E50C7E">
            <w:pPr>
              <w:pStyle w:val="Compact"/>
            </w:pPr>
            <w:r>
              <w:t>all</w:t>
            </w:r>
          </w:p>
        </w:tc>
        <w:tc>
          <w:tcPr>
            <w:tcW w:w="0" w:type="auto"/>
          </w:tcPr>
          <w:p w14:paraId="63022C07" w14:textId="77777777" w:rsidR="009A038F" w:rsidRDefault="00E50C7E">
            <w:pPr>
              <w:pStyle w:val="Compact"/>
            </w:pPr>
            <w:r>
              <w:t>Ancient, Modern</w:t>
            </w:r>
          </w:p>
        </w:tc>
        <w:tc>
          <w:tcPr>
            <w:tcW w:w="0" w:type="auto"/>
          </w:tcPr>
          <w:p w14:paraId="65600273" w14:textId="77777777" w:rsidR="009A038F" w:rsidRDefault="00E50C7E">
            <w:pPr>
              <w:pStyle w:val="Compact"/>
            </w:pPr>
            <w:r>
              <w:t>0.09</w:t>
            </w:r>
          </w:p>
        </w:tc>
        <w:tc>
          <w:tcPr>
            <w:tcW w:w="0" w:type="auto"/>
          </w:tcPr>
          <w:p w14:paraId="2F4AE3EC" w14:textId="77777777" w:rsidR="009A038F" w:rsidRDefault="00E50C7E">
            <w:pPr>
              <w:pStyle w:val="Compact"/>
            </w:pPr>
            <w:r>
              <w:t>3.81E-14</w:t>
            </w:r>
          </w:p>
        </w:tc>
      </w:tr>
      <w:tr w:rsidR="009A038F" w14:paraId="670F158B" w14:textId="77777777">
        <w:tc>
          <w:tcPr>
            <w:tcW w:w="0" w:type="auto"/>
          </w:tcPr>
          <w:p w14:paraId="6C454E4C" w14:textId="77777777" w:rsidR="009A038F" w:rsidRDefault="00E50C7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9D9A0A3" w14:textId="77777777" w:rsidR="009A038F" w:rsidRDefault="00E50C7E">
            <w:pPr>
              <w:pStyle w:val="Compact"/>
            </w:pPr>
            <w:r>
              <w:t>0.PRE</w:t>
            </w:r>
          </w:p>
        </w:tc>
        <w:tc>
          <w:tcPr>
            <w:tcW w:w="0" w:type="auto"/>
          </w:tcPr>
          <w:p w14:paraId="6CF45DC3" w14:textId="77777777" w:rsidR="009A038F" w:rsidRDefault="00E50C7E">
            <w:pPr>
              <w:pStyle w:val="Compact"/>
            </w:pPr>
            <w:r>
              <w:t>Ancient</w:t>
            </w:r>
          </w:p>
        </w:tc>
        <w:tc>
          <w:tcPr>
            <w:tcW w:w="0" w:type="auto"/>
          </w:tcPr>
          <w:p w14:paraId="75BDE5CB" w14:textId="77777777" w:rsidR="009A038F" w:rsidRDefault="00E50C7E">
            <w:pPr>
              <w:pStyle w:val="Compact"/>
            </w:pPr>
            <w:r>
              <w:t>0.91</w:t>
            </w:r>
          </w:p>
        </w:tc>
        <w:tc>
          <w:tcPr>
            <w:tcW w:w="0" w:type="auto"/>
          </w:tcPr>
          <w:p w14:paraId="11258294" w14:textId="77777777" w:rsidR="009A038F" w:rsidRDefault="00E50C7E">
            <w:pPr>
              <w:pStyle w:val="Compact"/>
            </w:pPr>
            <w:r>
              <w:t>1.53E-04*</w:t>
            </w:r>
          </w:p>
        </w:tc>
      </w:tr>
      <w:tr w:rsidR="009A038F" w14:paraId="077C0591" w14:textId="77777777">
        <w:tc>
          <w:tcPr>
            <w:tcW w:w="0" w:type="auto"/>
          </w:tcPr>
          <w:p w14:paraId="48BA7506" w14:textId="77777777" w:rsidR="009A038F" w:rsidRDefault="00E50C7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42846DD" w14:textId="77777777" w:rsidR="009A038F" w:rsidRDefault="00E50C7E">
            <w:pPr>
              <w:pStyle w:val="Compact"/>
            </w:pPr>
            <w:r>
              <w:t>0.PE</w:t>
            </w:r>
          </w:p>
        </w:tc>
        <w:tc>
          <w:tcPr>
            <w:tcW w:w="0" w:type="auto"/>
          </w:tcPr>
          <w:p w14:paraId="08336468" w14:textId="77777777" w:rsidR="009A038F" w:rsidRDefault="00E50C7E">
            <w:pPr>
              <w:pStyle w:val="Compact"/>
            </w:pPr>
            <w:r>
              <w:t>Modern</w:t>
            </w:r>
          </w:p>
        </w:tc>
        <w:tc>
          <w:tcPr>
            <w:tcW w:w="0" w:type="auto"/>
          </w:tcPr>
          <w:p w14:paraId="369F8E46" w14:textId="77777777" w:rsidR="009A038F" w:rsidRDefault="00E50C7E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2221D884" w14:textId="77777777" w:rsidR="009A038F" w:rsidRDefault="00E50C7E">
            <w:pPr>
              <w:pStyle w:val="Compact"/>
            </w:pPr>
            <w:r>
              <w:t>2.25E-01</w:t>
            </w:r>
          </w:p>
        </w:tc>
      </w:tr>
      <w:tr w:rsidR="009A038F" w14:paraId="167AD35F" w14:textId="77777777">
        <w:tc>
          <w:tcPr>
            <w:tcW w:w="0" w:type="auto"/>
          </w:tcPr>
          <w:p w14:paraId="3BEE3556" w14:textId="77777777" w:rsidR="009A038F" w:rsidRDefault="00E50C7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C80FDC8" w14:textId="77777777" w:rsidR="009A038F" w:rsidRDefault="00E50C7E">
            <w:pPr>
              <w:pStyle w:val="Compact"/>
            </w:pPr>
            <w:r>
              <w:t>0.ANT4</w:t>
            </w:r>
          </w:p>
        </w:tc>
        <w:tc>
          <w:tcPr>
            <w:tcW w:w="0" w:type="auto"/>
          </w:tcPr>
          <w:p w14:paraId="3B94BDD2" w14:textId="77777777" w:rsidR="009A038F" w:rsidRDefault="00E50C7E">
            <w:pPr>
              <w:pStyle w:val="Compact"/>
            </w:pPr>
            <w:r>
              <w:t>Ancient</w:t>
            </w:r>
          </w:p>
        </w:tc>
        <w:tc>
          <w:tcPr>
            <w:tcW w:w="0" w:type="auto"/>
          </w:tcPr>
          <w:p w14:paraId="5442E4CC" w14:textId="77777777" w:rsidR="009A038F" w:rsidRDefault="00E50C7E">
            <w:pPr>
              <w:pStyle w:val="Compact"/>
            </w:pPr>
            <w:r>
              <w:t>0.66</w:t>
            </w:r>
          </w:p>
        </w:tc>
        <w:tc>
          <w:tcPr>
            <w:tcW w:w="0" w:type="auto"/>
          </w:tcPr>
          <w:p w14:paraId="25505934" w14:textId="77777777" w:rsidR="009A038F" w:rsidRDefault="00E50C7E">
            <w:pPr>
              <w:pStyle w:val="Compact"/>
            </w:pPr>
            <w:r>
              <w:t>7.84E-04*</w:t>
            </w:r>
          </w:p>
        </w:tc>
      </w:tr>
      <w:tr w:rsidR="009A038F" w14:paraId="009DFA95" w14:textId="77777777">
        <w:tc>
          <w:tcPr>
            <w:tcW w:w="0" w:type="auto"/>
          </w:tcPr>
          <w:p w14:paraId="010B8ED3" w14:textId="77777777" w:rsidR="009A038F" w:rsidRDefault="00E50C7E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3372E7AE" w14:textId="77777777" w:rsidR="009A038F" w:rsidRDefault="00E50C7E">
            <w:pPr>
              <w:pStyle w:val="Compact"/>
            </w:pPr>
            <w:r>
              <w:t>0.ANT</w:t>
            </w:r>
          </w:p>
        </w:tc>
        <w:tc>
          <w:tcPr>
            <w:tcW w:w="0" w:type="auto"/>
          </w:tcPr>
          <w:p w14:paraId="5A2ECC70" w14:textId="77777777" w:rsidR="009A038F" w:rsidRDefault="00E50C7E">
            <w:pPr>
              <w:pStyle w:val="Compact"/>
            </w:pPr>
            <w:r>
              <w:t>Modern</w:t>
            </w:r>
          </w:p>
        </w:tc>
        <w:tc>
          <w:tcPr>
            <w:tcW w:w="0" w:type="auto"/>
          </w:tcPr>
          <w:p w14:paraId="5065BBF1" w14:textId="77777777" w:rsidR="009A038F" w:rsidRDefault="00E50C7E">
            <w:pPr>
              <w:pStyle w:val="Compact"/>
            </w:pPr>
            <w:r>
              <w:t>-0.01</w:t>
            </w:r>
          </w:p>
        </w:tc>
        <w:tc>
          <w:tcPr>
            <w:tcW w:w="0" w:type="auto"/>
          </w:tcPr>
          <w:p w14:paraId="69E7E736" w14:textId="77777777" w:rsidR="009A038F" w:rsidRDefault="00E50C7E">
            <w:pPr>
              <w:pStyle w:val="Compact"/>
            </w:pPr>
            <w:r>
              <w:t>7.35E-01</w:t>
            </w:r>
          </w:p>
        </w:tc>
      </w:tr>
      <w:tr w:rsidR="009A038F" w14:paraId="02574CCA" w14:textId="77777777">
        <w:tc>
          <w:tcPr>
            <w:tcW w:w="0" w:type="auto"/>
          </w:tcPr>
          <w:p w14:paraId="47A2D230" w14:textId="77777777" w:rsidR="009A038F" w:rsidRDefault="00E50C7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C664DC9" w14:textId="77777777" w:rsidR="009A038F" w:rsidRDefault="00E50C7E">
            <w:pPr>
              <w:pStyle w:val="Compact"/>
            </w:pPr>
            <w:r>
              <w:t>1.ANT</w:t>
            </w:r>
          </w:p>
        </w:tc>
        <w:tc>
          <w:tcPr>
            <w:tcW w:w="0" w:type="auto"/>
          </w:tcPr>
          <w:p w14:paraId="0BC2EEDD" w14:textId="77777777" w:rsidR="009A038F" w:rsidRDefault="00E50C7E">
            <w:pPr>
              <w:pStyle w:val="Compact"/>
            </w:pPr>
            <w:r>
              <w:t>Modern</w:t>
            </w:r>
          </w:p>
        </w:tc>
        <w:tc>
          <w:tcPr>
            <w:tcW w:w="0" w:type="auto"/>
          </w:tcPr>
          <w:p w14:paraId="50525BC4" w14:textId="77777777" w:rsidR="009A038F" w:rsidRDefault="00E50C7E">
            <w:pPr>
              <w:pStyle w:val="Compact"/>
            </w:pPr>
            <w:r>
              <w:t>0.45</w:t>
            </w:r>
          </w:p>
        </w:tc>
        <w:tc>
          <w:tcPr>
            <w:tcW w:w="0" w:type="auto"/>
          </w:tcPr>
          <w:p w14:paraId="029752FC" w14:textId="77777777" w:rsidR="009A038F" w:rsidRDefault="00E50C7E">
            <w:pPr>
              <w:pStyle w:val="Compact"/>
            </w:pPr>
            <w:r>
              <w:t>2.03E-01</w:t>
            </w:r>
          </w:p>
        </w:tc>
      </w:tr>
      <w:tr w:rsidR="009A038F" w14:paraId="60E1E3BC" w14:textId="77777777">
        <w:tc>
          <w:tcPr>
            <w:tcW w:w="0" w:type="auto"/>
          </w:tcPr>
          <w:p w14:paraId="6A29A08C" w14:textId="77777777" w:rsidR="009A038F" w:rsidRDefault="00E50C7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A01106A" w14:textId="77777777" w:rsidR="009A038F" w:rsidRDefault="00E50C7E">
            <w:pPr>
              <w:pStyle w:val="Compact"/>
            </w:pPr>
            <w:r>
              <w:t>1.IN</w:t>
            </w:r>
          </w:p>
        </w:tc>
        <w:tc>
          <w:tcPr>
            <w:tcW w:w="0" w:type="auto"/>
          </w:tcPr>
          <w:p w14:paraId="75DFAAD7" w14:textId="77777777" w:rsidR="009A038F" w:rsidRDefault="00E50C7E">
            <w:pPr>
              <w:pStyle w:val="Compact"/>
            </w:pPr>
            <w:r>
              <w:t>Modern</w:t>
            </w:r>
          </w:p>
        </w:tc>
        <w:tc>
          <w:tcPr>
            <w:tcW w:w="0" w:type="auto"/>
          </w:tcPr>
          <w:p w14:paraId="20A9EF5F" w14:textId="77777777" w:rsidR="009A038F" w:rsidRDefault="00E50C7E">
            <w:pPr>
              <w:pStyle w:val="Compact"/>
            </w:pPr>
            <w:r>
              <w:t>0.0</w:t>
            </w:r>
          </w:p>
        </w:tc>
        <w:tc>
          <w:tcPr>
            <w:tcW w:w="0" w:type="auto"/>
          </w:tcPr>
          <w:p w14:paraId="3250CD54" w14:textId="77777777" w:rsidR="009A038F" w:rsidRDefault="00E50C7E">
            <w:pPr>
              <w:pStyle w:val="Compact"/>
            </w:pPr>
            <w:r>
              <w:t>3.24E-01</w:t>
            </w:r>
          </w:p>
        </w:tc>
      </w:tr>
      <w:tr w:rsidR="009A038F" w14:paraId="60AF768C" w14:textId="77777777">
        <w:tc>
          <w:tcPr>
            <w:tcW w:w="0" w:type="auto"/>
          </w:tcPr>
          <w:p w14:paraId="54EA836E" w14:textId="77777777" w:rsidR="009A038F" w:rsidRDefault="00E50C7E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43C0EE86" w14:textId="77777777" w:rsidR="009A038F" w:rsidRDefault="00E50C7E">
            <w:pPr>
              <w:pStyle w:val="Compact"/>
            </w:pPr>
            <w:r>
              <w:t>1.ORI</w:t>
            </w:r>
          </w:p>
        </w:tc>
        <w:tc>
          <w:tcPr>
            <w:tcW w:w="0" w:type="auto"/>
          </w:tcPr>
          <w:p w14:paraId="5B8B632B" w14:textId="77777777" w:rsidR="009A038F" w:rsidRDefault="00E50C7E">
            <w:pPr>
              <w:pStyle w:val="Compact"/>
            </w:pPr>
            <w:r>
              <w:t>Modern</w:t>
            </w:r>
          </w:p>
        </w:tc>
        <w:tc>
          <w:tcPr>
            <w:tcW w:w="0" w:type="auto"/>
          </w:tcPr>
          <w:p w14:paraId="0D685652" w14:textId="77777777" w:rsidR="009A038F" w:rsidRDefault="00E50C7E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76C43844" w14:textId="77777777" w:rsidR="009A038F" w:rsidRDefault="00E50C7E">
            <w:pPr>
              <w:pStyle w:val="Compact"/>
            </w:pPr>
            <w:r>
              <w:t>1.32E-02*</w:t>
            </w:r>
          </w:p>
        </w:tc>
      </w:tr>
      <w:tr w:rsidR="009A038F" w14:paraId="70F2F0C3" w14:textId="77777777">
        <w:tc>
          <w:tcPr>
            <w:tcW w:w="0" w:type="auto"/>
          </w:tcPr>
          <w:p w14:paraId="4663BDCA" w14:textId="77777777" w:rsidR="009A038F" w:rsidRDefault="00E50C7E">
            <w:pPr>
              <w:pStyle w:val="Compact"/>
            </w:pPr>
            <w:r>
              <w:lastRenderedPageBreak/>
              <w:t>1</w:t>
            </w:r>
          </w:p>
        </w:tc>
        <w:tc>
          <w:tcPr>
            <w:tcW w:w="0" w:type="auto"/>
          </w:tcPr>
          <w:p w14:paraId="7B74BB8E" w14:textId="77777777" w:rsidR="009A038F" w:rsidRDefault="00E50C7E">
            <w:pPr>
              <w:pStyle w:val="Compact"/>
            </w:pPr>
            <w:r>
              <w:t>1.PRE</w:t>
            </w:r>
          </w:p>
        </w:tc>
        <w:tc>
          <w:tcPr>
            <w:tcW w:w="0" w:type="auto"/>
          </w:tcPr>
          <w:p w14:paraId="484C3A3C" w14:textId="77777777" w:rsidR="009A038F" w:rsidRDefault="00E50C7E">
            <w:pPr>
              <w:pStyle w:val="Compact"/>
            </w:pPr>
            <w:r>
              <w:t>Ancient</w:t>
            </w:r>
          </w:p>
        </w:tc>
        <w:tc>
          <w:tcPr>
            <w:tcW w:w="0" w:type="auto"/>
          </w:tcPr>
          <w:p w14:paraId="2F62EF2F" w14:textId="77777777" w:rsidR="009A038F" w:rsidRDefault="00E50C7E">
            <w:pPr>
              <w:pStyle w:val="Compact"/>
            </w:pPr>
            <w:r>
              <w:t>0.76</w:t>
            </w:r>
          </w:p>
        </w:tc>
        <w:tc>
          <w:tcPr>
            <w:tcW w:w="0" w:type="auto"/>
          </w:tcPr>
          <w:p w14:paraId="017E9A52" w14:textId="77777777" w:rsidR="009A038F" w:rsidRDefault="00E50C7E">
            <w:pPr>
              <w:pStyle w:val="Compact"/>
            </w:pPr>
            <w:r>
              <w:t>1.68E-13*</w:t>
            </w:r>
          </w:p>
        </w:tc>
      </w:tr>
      <w:tr w:rsidR="009A038F" w14:paraId="2EAB17AC" w14:textId="77777777">
        <w:tc>
          <w:tcPr>
            <w:tcW w:w="0" w:type="auto"/>
          </w:tcPr>
          <w:p w14:paraId="330B52CA" w14:textId="77777777" w:rsidR="009A038F" w:rsidRDefault="00E50C7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473EE9E" w14:textId="77777777" w:rsidR="009A038F" w:rsidRDefault="00E50C7E">
            <w:pPr>
              <w:pStyle w:val="Compact"/>
            </w:pPr>
            <w:r>
              <w:t>2.ANT</w:t>
            </w:r>
          </w:p>
        </w:tc>
        <w:tc>
          <w:tcPr>
            <w:tcW w:w="0" w:type="auto"/>
          </w:tcPr>
          <w:p w14:paraId="7E95F810" w14:textId="77777777" w:rsidR="009A038F" w:rsidRDefault="00E50C7E">
            <w:pPr>
              <w:pStyle w:val="Compact"/>
            </w:pPr>
            <w:r>
              <w:t>Modern</w:t>
            </w:r>
          </w:p>
        </w:tc>
        <w:tc>
          <w:tcPr>
            <w:tcW w:w="0" w:type="auto"/>
          </w:tcPr>
          <w:p w14:paraId="5A5A87C1" w14:textId="77777777" w:rsidR="009A038F" w:rsidRDefault="00E50C7E">
            <w:pPr>
              <w:pStyle w:val="Compact"/>
            </w:pPr>
            <w:r>
              <w:t>0.05</w:t>
            </w:r>
          </w:p>
        </w:tc>
        <w:tc>
          <w:tcPr>
            <w:tcW w:w="0" w:type="auto"/>
          </w:tcPr>
          <w:p w14:paraId="5E16E063" w14:textId="77777777" w:rsidR="009A038F" w:rsidRDefault="00E50C7E">
            <w:pPr>
              <w:pStyle w:val="Compact"/>
            </w:pPr>
            <w:r>
              <w:t>5.96E-02</w:t>
            </w:r>
          </w:p>
        </w:tc>
      </w:tr>
      <w:tr w:rsidR="009A038F" w14:paraId="178623CE" w14:textId="77777777">
        <w:tc>
          <w:tcPr>
            <w:tcW w:w="0" w:type="auto"/>
          </w:tcPr>
          <w:p w14:paraId="74B7F5ED" w14:textId="77777777" w:rsidR="009A038F" w:rsidRDefault="00E50C7E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50627A23" w14:textId="77777777" w:rsidR="009A038F" w:rsidRDefault="00E50C7E">
            <w:pPr>
              <w:pStyle w:val="Compact"/>
            </w:pPr>
            <w:r>
              <w:t>2.MED</w:t>
            </w:r>
          </w:p>
        </w:tc>
        <w:tc>
          <w:tcPr>
            <w:tcW w:w="0" w:type="auto"/>
          </w:tcPr>
          <w:p w14:paraId="6CF46010" w14:textId="77777777" w:rsidR="009A038F" w:rsidRDefault="00E50C7E">
            <w:pPr>
              <w:pStyle w:val="Compact"/>
            </w:pPr>
            <w:r>
              <w:t>Modern</w:t>
            </w:r>
          </w:p>
        </w:tc>
        <w:tc>
          <w:tcPr>
            <w:tcW w:w="0" w:type="auto"/>
          </w:tcPr>
          <w:p w14:paraId="76162D5C" w14:textId="77777777" w:rsidR="009A038F" w:rsidRDefault="00E50C7E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4BD723D3" w14:textId="77777777" w:rsidR="009A038F" w:rsidRDefault="00E50C7E">
            <w:pPr>
              <w:pStyle w:val="Compact"/>
            </w:pPr>
            <w:r>
              <w:t>1.86E-01</w:t>
            </w:r>
          </w:p>
        </w:tc>
      </w:tr>
      <w:tr w:rsidR="009A038F" w14:paraId="1254F375" w14:textId="77777777">
        <w:tc>
          <w:tcPr>
            <w:tcW w:w="0" w:type="auto"/>
          </w:tcPr>
          <w:p w14:paraId="10185AA0" w14:textId="77777777" w:rsidR="009A038F" w:rsidRDefault="00E50C7E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115955DD" w14:textId="77777777" w:rsidR="009A038F" w:rsidRDefault="00E50C7E">
            <w:pPr>
              <w:pStyle w:val="Compact"/>
            </w:pPr>
            <w:r>
              <w:t>3.ANT</w:t>
            </w:r>
          </w:p>
        </w:tc>
        <w:tc>
          <w:tcPr>
            <w:tcW w:w="0" w:type="auto"/>
          </w:tcPr>
          <w:p w14:paraId="2B3FB96E" w14:textId="77777777" w:rsidR="009A038F" w:rsidRDefault="00E50C7E">
            <w:pPr>
              <w:pStyle w:val="Compact"/>
            </w:pPr>
            <w:r>
              <w:t>Modern</w:t>
            </w:r>
          </w:p>
        </w:tc>
        <w:tc>
          <w:tcPr>
            <w:tcW w:w="0" w:type="auto"/>
          </w:tcPr>
          <w:p w14:paraId="46B98900" w14:textId="77777777" w:rsidR="009A038F" w:rsidRDefault="00E50C7E">
            <w:pPr>
              <w:pStyle w:val="Compact"/>
            </w:pPr>
            <w:r>
              <w:t>-0.04</w:t>
            </w:r>
          </w:p>
        </w:tc>
        <w:tc>
          <w:tcPr>
            <w:tcW w:w="0" w:type="auto"/>
          </w:tcPr>
          <w:p w14:paraId="56C9AF3F" w14:textId="77777777" w:rsidR="009A038F" w:rsidRDefault="00E50C7E">
            <w:pPr>
              <w:pStyle w:val="Compact"/>
            </w:pPr>
            <w:r>
              <w:t>4.39E-01</w:t>
            </w:r>
          </w:p>
        </w:tc>
      </w:tr>
      <w:tr w:rsidR="009A038F" w14:paraId="41677C34" w14:textId="77777777">
        <w:tc>
          <w:tcPr>
            <w:tcW w:w="0" w:type="auto"/>
          </w:tcPr>
          <w:p w14:paraId="600C94BC" w14:textId="77777777" w:rsidR="009A038F" w:rsidRDefault="00E50C7E">
            <w:pPr>
              <w:pStyle w:val="Compact"/>
            </w:pPr>
            <w:r>
              <w:t>4</w:t>
            </w:r>
          </w:p>
        </w:tc>
        <w:tc>
          <w:tcPr>
            <w:tcW w:w="0" w:type="auto"/>
          </w:tcPr>
          <w:p w14:paraId="5DB2EA34" w14:textId="77777777" w:rsidR="009A038F" w:rsidRDefault="00E50C7E">
            <w:pPr>
              <w:pStyle w:val="Compact"/>
            </w:pPr>
            <w:r>
              <w:t>4.ANT</w:t>
            </w:r>
          </w:p>
        </w:tc>
        <w:tc>
          <w:tcPr>
            <w:tcW w:w="0" w:type="auto"/>
          </w:tcPr>
          <w:p w14:paraId="33CFBB09" w14:textId="77777777" w:rsidR="009A038F" w:rsidRDefault="00E50C7E">
            <w:pPr>
              <w:pStyle w:val="Compact"/>
            </w:pPr>
            <w:r>
              <w:t>Modern</w:t>
            </w:r>
          </w:p>
        </w:tc>
        <w:tc>
          <w:tcPr>
            <w:tcW w:w="0" w:type="auto"/>
          </w:tcPr>
          <w:p w14:paraId="4347228F" w14:textId="77777777" w:rsidR="009A038F" w:rsidRDefault="00E50C7E">
            <w:pPr>
              <w:pStyle w:val="Compact"/>
            </w:pPr>
            <w:r>
              <w:t>-0.11</w:t>
            </w:r>
          </w:p>
        </w:tc>
        <w:tc>
          <w:tcPr>
            <w:tcW w:w="0" w:type="auto"/>
          </w:tcPr>
          <w:p w14:paraId="1B059D12" w14:textId="77777777" w:rsidR="009A038F" w:rsidRDefault="00E50C7E">
            <w:pPr>
              <w:pStyle w:val="Compact"/>
            </w:pPr>
            <w:r>
              <w:t>8.80E-01</w:t>
            </w:r>
          </w:p>
        </w:tc>
      </w:tr>
    </w:tbl>
    <w:p w14:paraId="3A14A75D" w14:textId="77777777" w:rsidR="009A038F" w:rsidRDefault="00E50C7E">
      <w:pPr>
        <w:pStyle w:val="CaptionedFigure"/>
      </w:pPr>
      <w:bookmarkStart w:id="17" w:name="fig:fig_rate_boxplot_all"/>
      <w:bookmarkEnd w:id="16"/>
      <w:r>
        <w:rPr>
          <w:noProof/>
        </w:rPr>
        <w:drawing>
          <wp:inline distT="0" distB="0" distL="0" distR="0" wp14:anchorId="1E969ED9" wp14:editId="1358BAA2">
            <wp:extent cx="5040687" cy="1787445"/>
            <wp:effectExtent l="0" t="0" r="0" b="0"/>
            <wp:docPr id="8" name="Picture" descr="Figure 2: Rate variation by clad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ktmeaton/plague-phylogeography-projects/f09d5aa6/main/iqtree/all/chromosome/full/filter5/filter-taxa/rate_boxplot_all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87" cy="1787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577C5" w14:textId="77777777" w:rsidR="009A038F" w:rsidRDefault="00E50C7E">
      <w:pPr>
        <w:pStyle w:val="ImageCaption"/>
      </w:pPr>
      <w:r>
        <w:t>Figure 2: Rate variation by clade.</w:t>
      </w:r>
    </w:p>
    <w:p w14:paraId="60B0AA5D" w14:textId="77777777" w:rsidR="009A038F" w:rsidRDefault="00E50C7E">
      <w:pPr>
        <w:pStyle w:val="CaptionedFigure"/>
      </w:pPr>
      <w:bookmarkStart w:id="18" w:name="fig:fig_tmrca_boxplot_all"/>
      <w:bookmarkEnd w:id="17"/>
      <w:r>
        <w:rPr>
          <w:noProof/>
        </w:rPr>
        <w:drawing>
          <wp:inline distT="0" distB="0" distL="0" distR="0" wp14:anchorId="4DFC9D7C" wp14:editId="6F328692">
            <wp:extent cx="5201511" cy="1713925"/>
            <wp:effectExtent l="0" t="0" r="0" b="0"/>
            <wp:docPr id="9" name="Picture" descr="Figure 3: tMRCA by clad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ktmeaton/plague-phylogeography-projects/f09d5aa6/main/iqtree/all/chromosome/full/filter5/filter-taxa/tmrca_boxplot_all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511" cy="1713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849DE7" w14:textId="77777777" w:rsidR="009A038F" w:rsidRDefault="00E50C7E">
      <w:pPr>
        <w:pStyle w:val="ImageCaption"/>
      </w:pPr>
      <w:r>
        <w:t>Figure 3: tMRCA by clade.</w:t>
      </w:r>
    </w:p>
    <w:p w14:paraId="1EAAAB3E" w14:textId="77777777" w:rsidR="009A038F" w:rsidRDefault="00E50C7E">
      <w:pPr>
        <w:pStyle w:val="Heading4"/>
      </w:pPr>
      <w:bookmarkStart w:id="19" w:name="relaxing-the-clock"/>
      <w:bookmarkEnd w:id="18"/>
      <w:r>
        <w:t>Relaxing the Clock</w:t>
      </w:r>
      <w:bookmarkEnd w:id="19"/>
    </w:p>
    <w:p w14:paraId="14783AF9" w14:textId="77777777" w:rsidR="009A038F" w:rsidRDefault="00E50C7E">
      <w:pPr>
        <w:pStyle w:val="Compact"/>
        <w:numPr>
          <w:ilvl w:val="0"/>
          <w:numId w:val="17"/>
        </w:numPr>
      </w:pPr>
      <w:r>
        <w:t xml:space="preserve">Relaxed clock MCMC runs produce a high Coefficient of Variation indicating a relaxed model is favored over a strict model (Figure </w:t>
      </w:r>
      <w:hyperlink w:anchor="fig:fig_coefficient_variation">
        <w:r>
          <w:rPr>
            <w:rStyle w:val="Hyperlink"/>
          </w:rPr>
          <w:t>4</w:t>
        </w:r>
      </w:hyperlink>
      <w:r>
        <w:t>). However, these runs do not converge, suggesting there is too much rate variation to confidently estimate key parameters such as the mean Substitution Rate or tMRCA.</w:t>
      </w:r>
    </w:p>
    <w:p w14:paraId="637B26F1" w14:textId="77777777" w:rsidR="009A038F" w:rsidRDefault="00E50C7E">
      <w:pPr>
        <w:pStyle w:val="CaptionedFigure"/>
      </w:pPr>
      <w:bookmarkStart w:id="20" w:name="fig:fig_coefficient_variation"/>
      <w:r>
        <w:rPr>
          <w:noProof/>
        </w:rPr>
        <w:lastRenderedPageBreak/>
        <w:drawing>
          <wp:inline distT="0" distB="0" distL="0" distR="0" wp14:anchorId="006177CB" wp14:editId="363D57D3">
            <wp:extent cx="5943600" cy="3097258"/>
            <wp:effectExtent l="0" t="0" r="0" b="0"/>
            <wp:docPr id="10" name="Picture" descr="Figure 4: Coefficient of variati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ktmeaton/obsidian-public/4f0256a5ba01b5e32025339865e1f35243c13188/academic/Coefficient%20of%20Variatio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72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91C625" w14:textId="77777777" w:rsidR="009A038F" w:rsidRDefault="00E50C7E">
      <w:pPr>
        <w:pStyle w:val="ImageCaption"/>
      </w:pPr>
      <w:r>
        <w:t>Figure 4: Coefficient of variation.</w:t>
      </w:r>
    </w:p>
    <w:bookmarkEnd w:id="20"/>
    <w:p w14:paraId="216B1DB5" w14:textId="77777777" w:rsidR="009A038F" w:rsidRDefault="00E50C7E">
      <w:pPr>
        <w:pStyle w:val="Compact"/>
        <w:numPr>
          <w:ilvl w:val="0"/>
          <w:numId w:val="18"/>
        </w:numPr>
      </w:pPr>
      <w:r>
        <w:t xml:space="preserve">A strict clock and relaxed clock have overlapping </w:t>
      </w:r>
      <w:r>
        <w:t xml:space="preserve">distributions with similar peaks for the Tree Height (blue: strict, green: relaxed) (Figure </w:t>
      </w:r>
      <w:hyperlink w:anchor="fig:fig_tree_height_compare">
        <w:r>
          <w:rPr>
            <w:rStyle w:val="Hyperlink"/>
          </w:rPr>
          <w:t>5</w:t>
        </w:r>
      </w:hyperlink>
      <w:r>
        <w:t>).</w:t>
      </w:r>
    </w:p>
    <w:p w14:paraId="255F7F4C" w14:textId="77777777" w:rsidR="009A038F" w:rsidRDefault="00E50C7E">
      <w:pPr>
        <w:pStyle w:val="CaptionedFigure"/>
      </w:pPr>
      <w:bookmarkStart w:id="21" w:name="fig:fig_tree_height_compare"/>
      <w:r>
        <w:rPr>
          <w:noProof/>
        </w:rPr>
        <w:lastRenderedPageBreak/>
        <w:drawing>
          <wp:inline distT="0" distB="0" distL="0" distR="0" wp14:anchorId="6A5F1284" wp14:editId="5C564A83">
            <wp:extent cx="5943600" cy="4754880"/>
            <wp:effectExtent l="0" t="0" r="0" b="0"/>
            <wp:docPr id="11" name="Picture" descr="Figure 5: Tree height comparis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ktmeaton/obsidian-public/4f0256a5ba01b5e32025339865e1f35243c13188/academic/Tree%20Height%20Comparison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A35894" w14:textId="77777777" w:rsidR="009A038F" w:rsidRDefault="00E50C7E">
      <w:pPr>
        <w:pStyle w:val="ImageCaption"/>
      </w:pPr>
      <w:r>
        <w:t>Figure 5: Tree height comparison.</w:t>
      </w:r>
    </w:p>
    <w:bookmarkEnd w:id="21"/>
    <w:p w14:paraId="248A1B08" w14:textId="77777777" w:rsidR="009A038F" w:rsidRDefault="00E50C7E">
      <w:pPr>
        <w:pStyle w:val="Compact"/>
        <w:numPr>
          <w:ilvl w:val="0"/>
          <w:numId w:val="19"/>
        </w:numPr>
      </w:pPr>
      <w:r>
        <w:t xml:space="preserve">When estimating a Substitution Rate for all of </w:t>
      </w:r>
      <w:r>
        <w:rPr>
          <w:i/>
        </w:rPr>
        <w:t>Y. pestis</w:t>
      </w:r>
      <w:r>
        <w:t>, a [[Clock Model|</w:t>
      </w:r>
      <w:r>
        <w:t xml:space="preserve">strict clock]] and relaxed clock produce different estimates (green: strict, orange: relaxed) (Figure </w:t>
      </w:r>
      <w:hyperlink w:anchor="fig:fig_sub_rate_compare">
        <w:r>
          <w:rPr>
            <w:rStyle w:val="Hyperlink"/>
          </w:rPr>
          <w:t>6</w:t>
        </w:r>
      </w:hyperlink>
      <w:r>
        <w:t>).</w:t>
      </w:r>
    </w:p>
    <w:p w14:paraId="613BBFA5" w14:textId="77777777" w:rsidR="009A038F" w:rsidRDefault="00E50C7E">
      <w:pPr>
        <w:pStyle w:val="CaptionedFigure"/>
      </w:pPr>
      <w:bookmarkStart w:id="22" w:name="fig:fig_sub_rate_compare"/>
      <w:r>
        <w:rPr>
          <w:noProof/>
        </w:rPr>
        <w:lastRenderedPageBreak/>
        <w:drawing>
          <wp:inline distT="0" distB="0" distL="0" distR="0" wp14:anchorId="75756764" wp14:editId="340C656F">
            <wp:extent cx="5943600" cy="4842083"/>
            <wp:effectExtent l="0" t="0" r="0" b="0"/>
            <wp:docPr id="12" name="Picture" descr="Figure 6: Substitution rate comparison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ktmeaton/obsidian-public/4f0256a5ba01b5e32025339865e1f35243c13188/academic/Substitution%20Rate%20Compariso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42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34108E" w14:textId="77777777" w:rsidR="009A038F" w:rsidRDefault="00E50C7E">
      <w:pPr>
        <w:pStyle w:val="ImageCaption"/>
      </w:pPr>
      <w:r>
        <w:t>Figure 6: Substitution rate comparison.</w:t>
      </w:r>
    </w:p>
    <w:bookmarkEnd w:id="22"/>
    <w:p w14:paraId="046BFBD8" w14:textId="77777777" w:rsidR="009A038F" w:rsidRDefault="00E50C7E">
      <w:pPr>
        <w:pStyle w:val="Compact"/>
        <w:numPr>
          <w:ilvl w:val="0"/>
          <w:numId w:val="20"/>
        </w:numPr>
      </w:pPr>
      <w:r>
        <w:t>There doesn’t appear to be clustering of rates. Branches with</w:t>
      </w:r>
      <w:r>
        <w:t xml:space="preserve"> high rates are next to those with low rates (Figure </w:t>
      </w:r>
      <w:hyperlink w:anchor="fig:fig_timetree_color_rate">
        <w:r>
          <w:rPr>
            <w:rStyle w:val="Hyperlink"/>
          </w:rPr>
          <w:t>7</w:t>
        </w:r>
      </w:hyperlink>
      <w:r>
        <w:t>).</w:t>
      </w:r>
    </w:p>
    <w:p w14:paraId="3DA9424B" w14:textId="77777777" w:rsidR="009A038F" w:rsidRDefault="00E50C7E">
      <w:pPr>
        <w:pStyle w:val="CaptionedFigure"/>
      </w:pPr>
      <w:bookmarkStart w:id="23" w:name="fig:fig_timetree_color_rate"/>
      <w:r>
        <w:rPr>
          <w:noProof/>
        </w:rPr>
        <w:lastRenderedPageBreak/>
        <w:drawing>
          <wp:inline distT="0" distB="0" distL="0" distR="0" wp14:anchorId="5A9C21C6" wp14:editId="32C88997">
            <wp:extent cx="5943600" cy="3041862"/>
            <wp:effectExtent l="0" t="0" r="0" b="0"/>
            <wp:docPr id="13" name="Picture" descr="Figure 7: Time tree colored by rat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ktmeaton/obsidian-public/4f0256a5ba01b5e32025339865e1f35243c13188/academic/Time%20Tree%20Colored%20by%20Rate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1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611343" w14:textId="77777777" w:rsidR="009A038F" w:rsidRDefault="00E50C7E">
      <w:pPr>
        <w:pStyle w:val="ImageCaption"/>
      </w:pPr>
      <w:r>
        <w:t>Figure 7: Time tree colored by rate.</w:t>
      </w:r>
    </w:p>
    <w:p w14:paraId="242CA6EA" w14:textId="77777777" w:rsidR="009A038F" w:rsidRDefault="00E50C7E">
      <w:pPr>
        <w:pStyle w:val="Heading2"/>
      </w:pPr>
      <w:bookmarkStart w:id="24" w:name="discussion"/>
      <w:bookmarkEnd w:id="23"/>
      <w:r>
        <w:t>Discussion</w:t>
      </w:r>
      <w:bookmarkEnd w:id="24"/>
    </w:p>
    <w:p w14:paraId="600C33FA" w14:textId="77777777" w:rsidR="009A038F" w:rsidRDefault="00E50C7E">
      <w:pPr>
        <w:pStyle w:val="Heading2"/>
      </w:pPr>
      <w:bookmarkStart w:id="25" w:name="conclusion"/>
      <w:r>
        <w:t>Conclusion</w:t>
      </w:r>
      <w:bookmarkEnd w:id="25"/>
    </w:p>
    <w:p w14:paraId="4F32D6E9" w14:textId="77777777" w:rsidR="009A038F" w:rsidRDefault="00E50C7E">
      <w:pPr>
        <w:pStyle w:val="Heading2"/>
      </w:pPr>
      <w:bookmarkStart w:id="26" w:name="references"/>
      <w:r>
        <w:t>References</w:t>
      </w:r>
      <w:bookmarkEnd w:id="26"/>
    </w:p>
    <w:p w14:paraId="6C6B815B" w14:textId="77777777" w:rsidR="009A038F" w:rsidRDefault="00E50C7E">
      <w:pPr>
        <w:pStyle w:val="Bibliography"/>
      </w:pPr>
      <w:bookmarkStart w:id="27" w:name="ref-Vo6ReJPm"/>
      <w:bookmarkStart w:id="28" w:name="refs"/>
      <w:r>
        <w:t xml:space="preserve">1. </w:t>
      </w:r>
      <w:r>
        <w:rPr>
          <w:b/>
        </w:rPr>
        <w:t>The Stone Age Plague and Its Persistence in Eurasia</w:t>
      </w:r>
      <w:r>
        <w:t xml:space="preserve"> </w:t>
      </w:r>
      <w:r>
        <w:br/>
        <w:t>Aida Andrades Valtueña, Alissa Mittnik, Felix M. Key, Wolfgang Haak, Raili Allmäe, Andrej Belinskij, Mantas Daubaras, Michal Feldman, Rimantas Jankauskas, Ivor Janković, … Johannes Krause</w:t>
      </w:r>
      <w:r>
        <w:br/>
      </w:r>
      <w:r>
        <w:rPr>
          <w:i/>
        </w:rPr>
        <w:t>Current Biology</w:t>
      </w:r>
      <w:r>
        <w:t xml:space="preserve"> (2017-12-04) </w:t>
      </w:r>
      <w:r>
        <w:br/>
        <w:t xml:space="preserve">DOI: </w:t>
      </w:r>
      <w:hyperlink r:id="rId22">
        <w:r>
          <w:rPr>
            <w:rStyle w:val="Hyperlink"/>
          </w:rPr>
          <w:t>10.1016/j.cub.2017.10.025</w:t>
        </w:r>
      </w:hyperlink>
      <w:r>
        <w:t xml:space="preserve"> · PMID: </w:t>
      </w:r>
      <w:hyperlink r:id="rId23">
        <w:r>
          <w:rPr>
            <w:rStyle w:val="Hyperlink"/>
          </w:rPr>
          <w:t>29174893</w:t>
        </w:r>
      </w:hyperlink>
    </w:p>
    <w:p w14:paraId="734E82A8" w14:textId="77777777" w:rsidR="009A038F" w:rsidRDefault="00E50C7E">
      <w:pPr>
        <w:pStyle w:val="Bibliography"/>
      </w:pPr>
      <w:bookmarkStart w:id="29" w:name="ref-AQa9Tn4j"/>
      <w:bookmarkEnd w:id="27"/>
      <w:r>
        <w:t xml:space="preserve">2. </w:t>
      </w:r>
      <w:r>
        <w:rPr>
          <w:b/>
        </w:rPr>
        <w:t xml:space="preserve">Emergence and spread of basal lineages of </w:t>
      </w:r>
      <w:r>
        <w:rPr>
          <w:b/>
          <w:i/>
        </w:rPr>
        <w:t>Yersinia pestis</w:t>
      </w:r>
      <w:r>
        <w:rPr>
          <w:b/>
        </w:rPr>
        <w:t xml:space="preserve"> during </w:t>
      </w:r>
      <w:r>
        <w:rPr>
          <w:b/>
        </w:rPr>
        <w:t>the Neolithic Decline</w:t>
      </w:r>
      <w:r>
        <w:t xml:space="preserve"> </w:t>
      </w:r>
      <w:r>
        <w:br/>
        <w:t>Nicolás Rascovan, Karl-Göran Sjögren, Kristian Kristiansen, Rasmus Nielsen, Eske Willerslev, Christelle Desnues, Simon Rasmussen</w:t>
      </w:r>
      <w:r>
        <w:br/>
      </w:r>
      <w:r>
        <w:rPr>
          <w:i/>
        </w:rPr>
        <w:t>Cell</w:t>
      </w:r>
      <w:r>
        <w:t xml:space="preserve"> (2019-01-10) </w:t>
      </w:r>
      <w:hyperlink r:id="rId24">
        <w:r>
          <w:rPr>
            <w:rStyle w:val="Hyperlink"/>
          </w:rPr>
          <w:t>https://ww</w:t>
        </w:r>
        <w:r>
          <w:rPr>
            <w:rStyle w:val="Hyperlink"/>
          </w:rPr>
          <w:t>w.cell.com/cell/abstract/S0092-8674(18)31464-8</w:t>
        </w:r>
      </w:hyperlink>
      <w:r>
        <w:t xml:space="preserve"> </w:t>
      </w:r>
      <w:r>
        <w:br/>
        <w:t xml:space="preserve">DOI: </w:t>
      </w:r>
      <w:hyperlink r:id="rId25">
        <w:r>
          <w:rPr>
            <w:rStyle w:val="Hyperlink"/>
          </w:rPr>
          <w:t>10.1016/j.cell.2018.11.005</w:t>
        </w:r>
      </w:hyperlink>
      <w:r>
        <w:t xml:space="preserve"> · PMID: </w:t>
      </w:r>
      <w:hyperlink r:id="rId26">
        <w:r>
          <w:rPr>
            <w:rStyle w:val="Hyperlink"/>
          </w:rPr>
          <w:t>30528431</w:t>
        </w:r>
      </w:hyperlink>
    </w:p>
    <w:p w14:paraId="25F757F3" w14:textId="77777777" w:rsidR="009A038F" w:rsidRDefault="00E50C7E">
      <w:pPr>
        <w:pStyle w:val="Bibliography"/>
      </w:pPr>
      <w:bookmarkStart w:id="30" w:name="ref-1093vihdz"/>
      <w:bookmarkEnd w:id="29"/>
      <w:r>
        <w:t xml:space="preserve">3. </w:t>
      </w:r>
      <w:r>
        <w:rPr>
          <w:b/>
        </w:rPr>
        <w:t>Trade routes and plague transm</w:t>
      </w:r>
      <w:r>
        <w:rPr>
          <w:b/>
        </w:rPr>
        <w:t>ission in pre-industrial Europe</w:t>
      </w:r>
      <w:r>
        <w:t xml:space="preserve"> </w:t>
      </w:r>
      <w:r>
        <w:br/>
        <w:t>Ricci P. H. Yue, Harry F. Lee, Connor Y. H. Wu</w:t>
      </w:r>
      <w:r>
        <w:br/>
      </w:r>
      <w:r>
        <w:rPr>
          <w:i/>
        </w:rPr>
        <w:t>Scientific Reports</w:t>
      </w:r>
      <w:r>
        <w:t xml:space="preserve"> (2017-10-11) </w:t>
      </w:r>
      <w:hyperlink r:id="rId27">
        <w:r>
          <w:rPr>
            <w:rStyle w:val="Hyperlink"/>
          </w:rPr>
          <w:t>https://www.ncbi.nlm.nih.gov/pmc/articles/PMC5636801/</w:t>
        </w:r>
      </w:hyperlink>
      <w:r>
        <w:t xml:space="preserve"> </w:t>
      </w:r>
      <w:r>
        <w:br/>
        <w:t xml:space="preserve">DOI: </w:t>
      </w:r>
      <w:hyperlink r:id="rId28">
        <w:r>
          <w:rPr>
            <w:rStyle w:val="Hyperlink"/>
          </w:rPr>
          <w:t>10.1038/s41598-017-13481-2</w:t>
        </w:r>
      </w:hyperlink>
      <w:r>
        <w:t xml:space="preserve"> · PMID: </w:t>
      </w:r>
      <w:hyperlink r:id="rId29">
        <w:r>
          <w:rPr>
            <w:rStyle w:val="Hyperlink"/>
          </w:rPr>
          <w:t>29021541</w:t>
        </w:r>
      </w:hyperlink>
      <w:r>
        <w:t xml:space="preserve"> · PMCID: </w:t>
      </w:r>
      <w:hyperlink r:id="rId30">
        <w:r>
          <w:rPr>
            <w:rStyle w:val="Hyperlink"/>
          </w:rPr>
          <w:t>PMC5636801</w:t>
        </w:r>
      </w:hyperlink>
    </w:p>
    <w:p w14:paraId="1CF5D4EE" w14:textId="77777777" w:rsidR="009A038F" w:rsidRDefault="00E50C7E">
      <w:pPr>
        <w:pStyle w:val="Bibliography"/>
      </w:pPr>
      <w:bookmarkStart w:id="31" w:name="ref-uM6Rh5Fu"/>
      <w:bookmarkEnd w:id="30"/>
      <w:r>
        <w:lastRenderedPageBreak/>
        <w:t xml:space="preserve">4. </w:t>
      </w:r>
      <w:r>
        <w:rPr>
          <w:b/>
        </w:rPr>
        <w:t>Yersinia pestis–etiologic agent of plague</w:t>
      </w:r>
      <w:r>
        <w:t xml:space="preserve"> </w:t>
      </w:r>
      <w:r>
        <w:br/>
        <w:t>R. D. Perry, J. D. Fetherston</w:t>
      </w:r>
      <w:r>
        <w:br/>
      </w:r>
      <w:r>
        <w:rPr>
          <w:i/>
        </w:rPr>
        <w:t>Clinical Microbiology Reviews</w:t>
      </w:r>
      <w:r>
        <w:t xml:space="preserve"> (1997-01) </w:t>
      </w:r>
      <w:r>
        <w:br/>
        <w:t xml:space="preserve">PMID: </w:t>
      </w:r>
      <w:hyperlink r:id="rId31">
        <w:r>
          <w:rPr>
            <w:rStyle w:val="Hyperlink"/>
          </w:rPr>
          <w:t>8993</w:t>
        </w:r>
        <w:r>
          <w:rPr>
            <w:rStyle w:val="Hyperlink"/>
          </w:rPr>
          <w:t>858</w:t>
        </w:r>
      </w:hyperlink>
      <w:r>
        <w:t xml:space="preserve"> · PMCID: </w:t>
      </w:r>
      <w:hyperlink r:id="rId32">
        <w:r>
          <w:rPr>
            <w:rStyle w:val="Hyperlink"/>
          </w:rPr>
          <w:t>PMC172914</w:t>
        </w:r>
      </w:hyperlink>
    </w:p>
    <w:p w14:paraId="1DF66529" w14:textId="77777777" w:rsidR="009A038F" w:rsidRDefault="00E50C7E">
      <w:pPr>
        <w:pStyle w:val="Bibliography"/>
      </w:pPr>
      <w:bookmarkStart w:id="32" w:name="ref-h4WAqbKy"/>
      <w:bookmarkEnd w:id="31"/>
      <w:r>
        <w:t xml:space="preserve">5. </w:t>
      </w:r>
      <w:r>
        <w:rPr>
          <w:b/>
        </w:rPr>
        <w:t>Plague</w:t>
      </w:r>
      <w:r>
        <w:t xml:space="preserve"> </w:t>
      </w:r>
      <w:r>
        <w:br/>
        <w:t>World Health Organization</w:t>
      </w:r>
      <w:r>
        <w:br/>
        <w:t xml:space="preserve">(2017-10-31) </w:t>
      </w:r>
      <w:hyperlink r:id="rId33">
        <w:r>
          <w:rPr>
            <w:rStyle w:val="Hyperlink"/>
          </w:rPr>
          <w:t>https://www.who.int/news-room/fact-sh</w:t>
        </w:r>
        <w:r>
          <w:rPr>
            <w:rStyle w:val="Hyperlink"/>
          </w:rPr>
          <w:t>eets/detail/plague</w:t>
        </w:r>
      </w:hyperlink>
    </w:p>
    <w:p w14:paraId="1093A04D" w14:textId="77777777" w:rsidR="009A038F" w:rsidRDefault="00E50C7E">
      <w:pPr>
        <w:pStyle w:val="Bibliography"/>
      </w:pPr>
      <w:bookmarkStart w:id="33" w:name="ref-S5fFaZrD"/>
      <w:bookmarkEnd w:id="32"/>
      <w:r>
        <w:t xml:space="preserve">6. </w:t>
      </w:r>
      <w:r>
        <w:rPr>
          <w:b/>
        </w:rPr>
        <w:t>Plague around the world in 2019</w:t>
      </w:r>
      <w:r>
        <w:t xml:space="preserve"> </w:t>
      </w:r>
      <w:r>
        <w:br/>
        <w:t>Eric Bertherat</w:t>
      </w:r>
      <w:r>
        <w:br/>
      </w:r>
      <w:r>
        <w:rPr>
          <w:i/>
        </w:rPr>
        <w:t>Weekly Epidemiological Record</w:t>
      </w:r>
      <w:r>
        <w:t xml:space="preserve"> (2019-06-21) </w:t>
      </w:r>
      <w:hyperlink r:id="rId34">
        <w:r>
          <w:rPr>
            <w:rStyle w:val="Hyperlink"/>
          </w:rPr>
          <w:t>https://apps.who.int/iris/bitstream/handle/10665/3</w:t>
        </w:r>
        <w:r>
          <w:rPr>
            <w:rStyle w:val="Hyperlink"/>
          </w:rPr>
          <w:t>25481/WER9425-en-fr.pdf</w:t>
        </w:r>
      </w:hyperlink>
    </w:p>
    <w:p w14:paraId="0A796B9D" w14:textId="77777777" w:rsidR="009A038F" w:rsidRDefault="00E50C7E">
      <w:pPr>
        <w:pStyle w:val="Bibliography"/>
      </w:pPr>
      <w:bookmarkStart w:id="34" w:name="ref-126DH3OOt"/>
      <w:bookmarkEnd w:id="33"/>
      <w:r>
        <w:t xml:space="preserve">7. </w:t>
      </w:r>
      <w:r>
        <w:rPr>
          <w:b/>
        </w:rPr>
        <w:t>Rats, Communications, and Plague: Toward an Ecological History</w:t>
      </w:r>
      <w:r>
        <w:t xml:space="preserve"> </w:t>
      </w:r>
      <w:r>
        <w:br/>
        <w:t>Michael McCormick</w:t>
      </w:r>
      <w:r>
        <w:br/>
      </w:r>
      <w:r>
        <w:rPr>
          <w:i/>
        </w:rPr>
        <w:t>The Journal of Interdisciplinary History</w:t>
      </w:r>
      <w:r>
        <w:t xml:space="preserve"> (2003-07-01) </w:t>
      </w:r>
      <w:hyperlink r:id="rId35">
        <w:r>
          <w:rPr>
            <w:rStyle w:val="Hyperlink"/>
          </w:rPr>
          <w:t>https://doi.org/10.1162/0022195</w:t>
        </w:r>
        <w:r>
          <w:rPr>
            <w:rStyle w:val="Hyperlink"/>
          </w:rPr>
          <w:t>03322645439</w:t>
        </w:r>
      </w:hyperlink>
      <w:r>
        <w:t xml:space="preserve"> </w:t>
      </w:r>
      <w:r>
        <w:br/>
        <w:t xml:space="preserve">DOI: </w:t>
      </w:r>
      <w:hyperlink r:id="rId36">
        <w:r>
          <w:rPr>
            <w:rStyle w:val="Hyperlink"/>
          </w:rPr>
          <w:t>10.1162/002219503322645439</w:t>
        </w:r>
      </w:hyperlink>
    </w:p>
    <w:p w14:paraId="6F221E01" w14:textId="77777777" w:rsidR="009A038F" w:rsidRDefault="00E50C7E">
      <w:pPr>
        <w:pStyle w:val="Bibliography"/>
      </w:pPr>
      <w:bookmarkStart w:id="35" w:name="ref-bny5raHY"/>
      <w:bookmarkEnd w:id="34"/>
      <w:r>
        <w:t xml:space="preserve">8. </w:t>
      </w:r>
      <w:r>
        <w:rPr>
          <w:b/>
        </w:rPr>
        <w:t xml:space="preserve">Comparative and evolutionary genomics of </w:t>
      </w:r>
      <w:r>
        <w:rPr>
          <w:b/>
          <w:i/>
        </w:rPr>
        <w:t>Yersinia pestis</w:t>
      </w:r>
      <w:r>
        <w:t xml:space="preserve"> </w:t>
      </w:r>
      <w:r>
        <w:br/>
        <w:t>Dongsheng Zhou, Yanping Han, Yajun Song, Peitang Huang, Ruifu Yang</w:t>
      </w:r>
      <w:r>
        <w:br/>
      </w:r>
      <w:r>
        <w:rPr>
          <w:i/>
        </w:rPr>
        <w:t>Microbes and Infectio</w:t>
      </w:r>
      <w:r>
        <w:rPr>
          <w:i/>
        </w:rPr>
        <w:t>n</w:t>
      </w:r>
      <w:r>
        <w:t xml:space="preserve"> (2004-11-01) </w:t>
      </w:r>
      <w:hyperlink r:id="rId37">
        <w:r>
          <w:rPr>
            <w:rStyle w:val="Hyperlink"/>
          </w:rPr>
          <w:t>http://www.sciencedirect.com/science/article/pii/S1286457904002357</w:t>
        </w:r>
      </w:hyperlink>
      <w:r>
        <w:t xml:space="preserve"> </w:t>
      </w:r>
      <w:r>
        <w:br/>
        <w:t xml:space="preserve">DOI: </w:t>
      </w:r>
      <w:hyperlink r:id="rId38">
        <w:r>
          <w:rPr>
            <w:rStyle w:val="Hyperlink"/>
          </w:rPr>
          <w:t>10.1016/j.micinf.2</w:t>
        </w:r>
        <w:r>
          <w:rPr>
            <w:rStyle w:val="Hyperlink"/>
          </w:rPr>
          <w:t>004.08.002</w:t>
        </w:r>
      </w:hyperlink>
    </w:p>
    <w:p w14:paraId="0AE60081" w14:textId="77777777" w:rsidR="009A038F" w:rsidRDefault="00E50C7E">
      <w:pPr>
        <w:pStyle w:val="Bibliography"/>
      </w:pPr>
      <w:bookmarkStart w:id="36" w:name="ref-198RHww4t"/>
      <w:bookmarkEnd w:id="35"/>
      <w:r>
        <w:t xml:space="preserve">9. </w:t>
      </w:r>
      <w:r>
        <w:rPr>
          <w:b/>
        </w:rPr>
        <w:t>The Justinianic Plague: An inconsequential pandemic?</w:t>
      </w:r>
      <w:r>
        <w:t xml:space="preserve"> </w:t>
      </w:r>
      <w:r>
        <w:br/>
        <w:t>Lee Mordechai, Merle Eisenberg, Timothy P. Newfield, Adam Izdebski, Janet E. Kay, Hendrik Poinar</w:t>
      </w:r>
      <w:r>
        <w:br/>
      </w:r>
      <w:r>
        <w:rPr>
          <w:i/>
        </w:rPr>
        <w:t>Proceedings of the National Academy of Sciences</w:t>
      </w:r>
      <w:r>
        <w:t xml:space="preserve"> (2019-12-17) </w:t>
      </w:r>
      <w:hyperlink r:id="rId39">
        <w:r>
          <w:rPr>
            <w:rStyle w:val="Hyperlink"/>
          </w:rPr>
          <w:t>http://www.pnas.org/content/116/51/25546</w:t>
        </w:r>
      </w:hyperlink>
      <w:r>
        <w:t xml:space="preserve"> </w:t>
      </w:r>
      <w:r>
        <w:br/>
        <w:t xml:space="preserve">DOI: </w:t>
      </w:r>
      <w:hyperlink r:id="rId40">
        <w:r>
          <w:rPr>
            <w:rStyle w:val="Hyperlink"/>
          </w:rPr>
          <w:t>10.1073/pnas.1903797116</w:t>
        </w:r>
      </w:hyperlink>
      <w:r>
        <w:t xml:space="preserve"> · PMID: </w:t>
      </w:r>
      <w:hyperlink r:id="rId41">
        <w:r>
          <w:rPr>
            <w:rStyle w:val="Hyperlink"/>
          </w:rPr>
          <w:t>31792176</w:t>
        </w:r>
      </w:hyperlink>
      <w:bookmarkEnd w:id="28"/>
      <w:bookmarkEnd w:id="36"/>
    </w:p>
    <w:sectPr w:rsidR="009A038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7B373" w14:textId="77777777" w:rsidR="00E50C7E" w:rsidRDefault="00E50C7E">
      <w:pPr>
        <w:spacing w:before="0" w:after="0" w:line="240" w:lineRule="auto"/>
      </w:pPr>
      <w:r>
        <w:separator/>
      </w:r>
    </w:p>
  </w:endnote>
  <w:endnote w:type="continuationSeparator" w:id="0">
    <w:p w14:paraId="702C0D86" w14:textId="77777777" w:rsidR="00E50C7E" w:rsidRDefault="00E50C7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B1C12" w14:textId="77777777" w:rsidR="00E50C7E" w:rsidRDefault="00E50C7E">
      <w:r>
        <w:separator/>
      </w:r>
    </w:p>
  </w:footnote>
  <w:footnote w:type="continuationSeparator" w:id="0">
    <w:p w14:paraId="608DE64B" w14:textId="77777777" w:rsidR="00E50C7E" w:rsidRDefault="00E50C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2220DD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5AC46E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B7361FF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2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9A038F"/>
    <w:rsid w:val="00B86B75"/>
    <w:rsid w:val="00BC48D5"/>
    <w:rsid w:val="00C36279"/>
    <w:rsid w:val="00E315A3"/>
    <w:rsid w:val="00E50C7E"/>
    <w:rsid w:val="00F02FA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0435"/>
  <w15:docId w15:val="{31344521-A841-4382-B143-1782F429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40" w:line="264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type="paragraph" w:default="1" w:styleId="Normal">
    <w:name w:val="Normal"/>
    <w:rsid w:val="00966CDD"/>
    <w:rPr>
      <w:rFonts w:ascii="Arial" w:hAnsi="Arial"/>
    </w:rPr>
  </w:style>
  <w:style w:type="paragraph" w:styleId="Heading1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Heading2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eastAsiaTheme="majorEastAsia" w:cstheme="majorBidi"/>
      <w:b/>
      <w:bCs/>
      <w:sz w:val="36"/>
      <w:szCs w:val="28"/>
    </w:rPr>
  </w:style>
  <w:style w:type="paragraph" w:styleId="Heading3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eastAsiaTheme="majorEastAsia" w:cstheme="majorBidi"/>
      <w:b/>
      <w:bCs/>
      <w:sz w:val="30"/>
      <w:szCs w:val="24"/>
    </w:rPr>
  </w:style>
  <w:style w:type="paragraph" w:styleId="Heading4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eastAsiaTheme="majorEastAsia" w:cstheme="majorBidi"/>
      <w:b/>
      <w:bCs/>
      <w:sz w:val="26"/>
      <w:szCs w:val="24"/>
    </w:rPr>
  </w:style>
  <w:style w:type="paragraph" w:styleId="Heading5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eastAsiaTheme="majorEastAsia" w:cstheme="majorBidi"/>
      <w:b/>
      <w:iCs/>
      <w:sz w:val="24"/>
      <w:szCs w:val="24"/>
    </w:rPr>
  </w:style>
  <w:style w:type="paragraph" w:styleId="Heading6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eastAsiaTheme="majorEastAsia" w:cstheme="majorBidi"/>
      <w:b/>
      <w:szCs w:val="24"/>
    </w:rPr>
  </w:style>
  <w:style w:type="paragraph" w:styleId="Heading7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eastAsiaTheme="majorEastAsia" w:cstheme="majorBidi"/>
      <w:b/>
      <w:szCs w:val="24"/>
    </w:rPr>
  </w:style>
  <w:style w:type="paragraph" w:styleId="Heading8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eastAsiaTheme="majorEastAsia" w:cstheme="majorBidi"/>
      <w:b/>
      <w:szCs w:val="24"/>
    </w:rPr>
  </w:style>
  <w:style w:type="paragraph" w:styleId="Heading9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rsid w:val="00316091"/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autoRedefine/>
    <w:pPr>
      <w:spacing w:before="36" w:after="36"/>
    </w:pPr>
  </w:style>
  <w:style w:type="paragraph" w:styleId="Title">
    <w:name w:val="Title"/>
    <w:basedOn w:val="Normal"/>
    <w:next w:val="BodyText"/>
    <w:autoRedefine/>
    <w:rsid w:val="003F02CC"/>
    <w:pPr>
      <w:keepNext/>
      <w:keepLines/>
      <w:jc w:val="center"/>
    </w:pPr>
    <w:rPr>
      <w:rFonts w:eastAsiaTheme="majorEastAsia" w:cstheme="majorBidi"/>
      <w:b/>
      <w:bCs/>
      <w:sz w:val="44"/>
      <w:szCs w:val="36"/>
    </w:rPr>
  </w:style>
  <w:style w:type="paragraph" w:styleId="Subtitle">
    <w:name w:val="Subtitle"/>
    <w:basedOn w:val="Title"/>
    <w:next w:val="BodyText"/>
    <w:autoRedefine/>
    <w:rsid w:val="003F02CC"/>
    <w:rPr>
      <w:sz w:val="36"/>
      <w:szCs w:val="30"/>
    </w:rPr>
  </w:style>
  <w:style w:type="paragraph" w:customStyle="1" w:styleId="Author">
    <w:name w:val="Author"/>
    <w:basedOn w:val="Normal"/>
    <w:next w:val="BodyText"/>
    <w:autoRedefine/>
    <w:pPr>
      <w:keepNext/>
      <w:keepLines/>
      <w:jc w:val="center"/>
    </w:pPr>
  </w:style>
  <w:style w:type="paragraph" w:styleId="Date">
    <w:name w:val="Date"/>
    <w:basedOn w:val="Normal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rsid w:val="002E757C"/>
    <w:pPr>
      <w:ind w:left="360" w:right="360"/>
    </w:pPr>
  </w:style>
  <w:style w:type="paragraph" w:styleId="FootnoteText">
    <w:name w:val="footnote text"/>
    <w:basedOn w:val="Normal"/>
    <w:autoRedefine/>
    <w:uiPriority w:val="9"/>
  </w:style>
  <w:style w:type="table" w:customStyle="1" w:styleId="Table">
    <w:name w:val="Table"/>
    <w:semiHidden/>
    <w:unhideWhenUsed/>
    <w:qFormat/>
    <w:rsid w:val="00920B49"/>
    <w:rPr>
      <w:rFonts w:ascii="Arial" w:hAnsi="Arial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</w:style>
  <w:style w:type="paragraph" w:customStyle="1" w:styleId="DefinitionTerm">
    <w:name w:val="Definition Term"/>
    <w:basedOn w:val="Normal"/>
    <w:next w:val="Definition"/>
    <w:autoRedefine/>
    <w:rsid w:val="00443643"/>
    <w:rPr>
      <w:b/>
    </w:rPr>
  </w:style>
  <w:style w:type="paragraph" w:customStyle="1" w:styleId="Definition">
    <w:name w:val="Definition"/>
    <w:basedOn w:val="Normal"/>
    <w:autoRedefine/>
    <w:rsid w:val="008C6903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autoRedefine/>
    <w:rsid w:val="00A103BA"/>
    <w:pPr>
      <w:keepNext/>
    </w:pPr>
  </w:style>
  <w:style w:type="paragraph" w:customStyle="1" w:styleId="ImageCaption">
    <w:name w:val="Image Caption"/>
    <w:basedOn w:val="Caption"/>
    <w:autoRedefine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6E43F9"/>
    <w:rPr>
      <w:i/>
    </w:rPr>
  </w:style>
  <w:style w:type="character" w:customStyle="1" w:styleId="VerbatimChar">
    <w:name w:val="Verbatim Char"/>
    <w:basedOn w:val="CaptionChar"/>
    <w:link w:val="SourceCode"/>
    <w:rsid w:val="00B97DB2"/>
    <w:rPr>
      <w:rFonts w:ascii="Courier New" w:hAnsi="Courier New"/>
      <w:i w:val="0"/>
      <w:sz w:val="22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type="paragraph" w:styleId="TOCHeading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Header">
    <w:name w:val="header"/>
    <w:basedOn w:val="Normal"/>
    <w:link w:val="Head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316091"/>
    <w:rPr>
      <w:rFonts w:ascii="Arial" w:hAnsi="Arial"/>
    </w:rPr>
  </w:style>
  <w:style w:type="character" w:customStyle="1" w:styleId="HeaderChar">
    <w:name w:val="Header Char"/>
    <w:basedOn w:val="DefaultParagraphFont"/>
    <w:link w:val="Header"/>
    <w:rsid w:val="008C6903"/>
    <w:rPr>
      <w:rFonts w:ascii="Arial" w:hAnsi="Arial"/>
    </w:rPr>
  </w:style>
  <w:style w:type="paragraph" w:styleId="Footer">
    <w:name w:val="footer"/>
    <w:basedOn w:val="Normal"/>
    <w:link w:val="FooterChar"/>
    <w:rsid w:val="008C690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urier New" w:hAnsi="Courier New"/>
      <w:b/>
      <w:i w:val="0"/>
      <w:color w:val="007020"/>
      <w:sz w:val="22"/>
    </w:rPr>
  </w:style>
  <w:style w:type="character" w:customStyle="1" w:styleId="DataTypeTok">
    <w:name w:val="DataTypeTok"/>
    <w:basedOn w:val="VerbatimChar"/>
    <w:rPr>
      <w:rFonts w:ascii="Courier New" w:hAnsi="Courier New"/>
      <w:i w:val="0"/>
      <w:color w:val="902000"/>
      <w:sz w:val="22"/>
    </w:rPr>
  </w:style>
  <w:style w:type="character" w:customStyle="1" w:styleId="DecValTok">
    <w:name w:val="DecValTok"/>
    <w:basedOn w:val="VerbatimChar"/>
    <w:rPr>
      <w:rFonts w:ascii="Courier New" w:hAnsi="Courier New"/>
      <w:i w:val="0"/>
      <w:color w:val="40A070"/>
      <w:sz w:val="22"/>
    </w:rPr>
  </w:style>
  <w:style w:type="character" w:customStyle="1" w:styleId="BaseNTok">
    <w:name w:val="BaseNTok"/>
    <w:basedOn w:val="VerbatimChar"/>
    <w:rPr>
      <w:rFonts w:ascii="Courier New" w:hAnsi="Courier New"/>
      <w:i w:val="0"/>
      <w:color w:val="40A070"/>
      <w:sz w:val="22"/>
    </w:rPr>
  </w:style>
  <w:style w:type="character" w:customStyle="1" w:styleId="FloatTok">
    <w:name w:val="FloatTok"/>
    <w:basedOn w:val="VerbatimChar"/>
    <w:rPr>
      <w:rFonts w:ascii="Courier New" w:hAnsi="Courier New"/>
      <w:i w:val="0"/>
      <w:color w:val="40A070"/>
      <w:sz w:val="22"/>
    </w:rPr>
  </w:style>
  <w:style w:type="character" w:customStyle="1" w:styleId="ConstantTok">
    <w:name w:val="ConstantTok"/>
    <w:basedOn w:val="VerbatimChar"/>
    <w:rPr>
      <w:rFonts w:ascii="Courier New" w:hAnsi="Courier New"/>
      <w:i w:val="0"/>
      <w:color w:val="880000"/>
      <w:sz w:val="22"/>
    </w:rPr>
  </w:style>
  <w:style w:type="character" w:customStyle="1" w:styleId="CharTok">
    <w:name w:val="Char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SpecialCharTok">
    <w:name w:val="SpecialChar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StringTok">
    <w:name w:val="String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urier New" w:hAnsi="Courier New"/>
      <w:i w:val="0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urier New" w:hAnsi="Courier New"/>
      <w:i w:val="0"/>
      <w:color w:val="BB6688"/>
      <w:sz w:val="22"/>
    </w:rPr>
  </w:style>
  <w:style w:type="character" w:customStyle="1" w:styleId="ImportTok">
    <w:name w:val="ImportTok"/>
    <w:basedOn w:val="VerbatimChar"/>
    <w:rPr>
      <w:rFonts w:ascii="Courier New" w:hAnsi="Courier New"/>
      <w:i w:val="0"/>
      <w:sz w:val="22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urier New" w:hAnsi="Courier New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urier New" w:hAnsi="Courier New"/>
      <w:i w:val="0"/>
      <w:color w:val="007020"/>
      <w:sz w:val="22"/>
    </w:rPr>
  </w:style>
  <w:style w:type="character" w:customStyle="1" w:styleId="FunctionTok">
    <w:name w:val="FunctionTok"/>
    <w:basedOn w:val="VerbatimChar"/>
    <w:rPr>
      <w:rFonts w:ascii="Courier New" w:hAnsi="Courier New"/>
      <w:i w:val="0"/>
      <w:color w:val="06287E"/>
      <w:sz w:val="22"/>
    </w:rPr>
  </w:style>
  <w:style w:type="character" w:customStyle="1" w:styleId="VariableTok">
    <w:name w:val="VariableTok"/>
    <w:basedOn w:val="VerbatimChar"/>
    <w:rPr>
      <w:rFonts w:ascii="Courier New" w:hAnsi="Courier New"/>
      <w:i w:val="0"/>
      <w:color w:val="19177C"/>
      <w:sz w:val="22"/>
    </w:rPr>
  </w:style>
  <w:style w:type="character" w:customStyle="1" w:styleId="ControlFlowTok">
    <w:name w:val="ControlFlowTok"/>
    <w:basedOn w:val="VerbatimChar"/>
    <w:rPr>
      <w:rFonts w:ascii="Courier New" w:hAnsi="Courier New"/>
      <w:b/>
      <w:i w:val="0"/>
      <w:color w:val="007020"/>
      <w:sz w:val="22"/>
    </w:rPr>
  </w:style>
  <w:style w:type="character" w:customStyle="1" w:styleId="OperatorTok">
    <w:name w:val="OperatorTok"/>
    <w:basedOn w:val="VerbatimChar"/>
    <w:rPr>
      <w:rFonts w:ascii="Courier New" w:hAnsi="Courier New"/>
      <w:i w:val="0"/>
      <w:color w:val="666666"/>
      <w:sz w:val="22"/>
    </w:rPr>
  </w:style>
  <w:style w:type="character" w:customStyle="1" w:styleId="BuiltInTok">
    <w:name w:val="BuiltInTok"/>
    <w:basedOn w:val="VerbatimChar"/>
    <w:rPr>
      <w:rFonts w:ascii="Courier New" w:hAnsi="Courier New"/>
      <w:i w:val="0"/>
      <w:sz w:val="22"/>
    </w:rPr>
  </w:style>
  <w:style w:type="character" w:customStyle="1" w:styleId="ExtensionTok">
    <w:name w:val="ExtensionTok"/>
    <w:basedOn w:val="VerbatimChar"/>
    <w:rPr>
      <w:rFonts w:ascii="Courier New" w:hAnsi="Courier New"/>
      <w:i w:val="0"/>
      <w:sz w:val="22"/>
    </w:rPr>
  </w:style>
  <w:style w:type="character" w:customStyle="1" w:styleId="PreprocessorTok">
    <w:name w:val="PreprocessorTok"/>
    <w:basedOn w:val="VerbatimChar"/>
    <w:rPr>
      <w:rFonts w:ascii="Courier New" w:hAnsi="Courier New"/>
      <w:i w:val="0"/>
      <w:color w:val="BC7A00"/>
      <w:sz w:val="22"/>
    </w:rPr>
  </w:style>
  <w:style w:type="character" w:customStyle="1" w:styleId="AttributeTok">
    <w:name w:val="AttributeTok"/>
    <w:basedOn w:val="VerbatimChar"/>
    <w:rPr>
      <w:rFonts w:ascii="Courier New" w:hAnsi="Courier New"/>
      <w:i w:val="0"/>
      <w:color w:val="7D9029"/>
      <w:sz w:val="22"/>
    </w:rPr>
  </w:style>
  <w:style w:type="character" w:customStyle="1" w:styleId="RegionMarkerTok">
    <w:name w:val="RegionMarkerTok"/>
    <w:basedOn w:val="VerbatimChar"/>
    <w:rPr>
      <w:rFonts w:ascii="Courier New" w:hAnsi="Courier New"/>
      <w:i w:val="0"/>
      <w:sz w:val="22"/>
    </w:rPr>
  </w:style>
  <w:style w:type="character" w:customStyle="1" w:styleId="InformationTok">
    <w:name w:val="Information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urier New" w:hAnsi="Courier New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urier New" w:hAnsi="Courier New"/>
      <w:b/>
      <w:i w:val="0"/>
      <w:color w:val="FF0000"/>
      <w:sz w:val="22"/>
    </w:rPr>
  </w:style>
  <w:style w:type="character" w:customStyle="1" w:styleId="ErrorTok">
    <w:name w:val="ErrorTok"/>
    <w:basedOn w:val="VerbatimChar"/>
    <w:rPr>
      <w:rFonts w:ascii="Courier New" w:hAnsi="Courier New"/>
      <w:b/>
      <w:i w:val="0"/>
      <w:color w:val="FF0000"/>
      <w:sz w:val="22"/>
    </w:rPr>
  </w:style>
  <w:style w:type="character" w:customStyle="1" w:styleId="NormalTok">
    <w:name w:val="NormalTok"/>
    <w:basedOn w:val="VerbatimChar"/>
    <w:rPr>
      <w:rFonts w:ascii="Courier New" w:hAnsi="Courier New"/>
      <w:i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ebastianduchene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ncbi.nlm.nih.gov/pubmed/30528431" TargetMode="External"/><Relationship Id="rId39" Type="http://schemas.openxmlformats.org/officeDocument/2006/relationships/hyperlink" Target="http://www.pnas.org/content/116/51/25546" TargetMode="External"/><Relationship Id="rId21" Type="http://schemas.openxmlformats.org/officeDocument/2006/relationships/image" Target="media/image7.png"/><Relationship Id="rId34" Type="http://schemas.openxmlformats.org/officeDocument/2006/relationships/hyperlink" Target="https://apps.who.int/iris/bitstream/handle/10665/325481/WER9425-en-fr.pdf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rawcdn.githack.com/ktmeaton/obsidian-public/4f0256a5/academic/Plague%20Phylodynamics%20and%20Phylogeography%20Paper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yperlink" Target="https://www.ncbi.nlm.nih.gov/pubmed/29021541" TargetMode="External"/><Relationship Id="rId41" Type="http://schemas.openxmlformats.org/officeDocument/2006/relationships/hyperlink" Target="https://www.ncbi.nlm.nih.gov/pubmed/3179217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rcid.org/0000-0002-8878-1758" TargetMode="External"/><Relationship Id="rId24" Type="http://schemas.openxmlformats.org/officeDocument/2006/relationships/hyperlink" Target="https://www.cell.com/cell/abstract/S0092-8674(18)31464-8" TargetMode="External"/><Relationship Id="rId32" Type="http://schemas.openxmlformats.org/officeDocument/2006/relationships/hyperlink" Target="https://www.ncbi.nlm.nih.gov/pmc/articles/PMC172914" TargetMode="External"/><Relationship Id="rId37" Type="http://schemas.openxmlformats.org/officeDocument/2006/relationships/hyperlink" Target="http://www.sciencedirect.com/science/article/pii/S1286457904002357" TargetMode="External"/><Relationship Id="rId40" Type="http://schemas.openxmlformats.org/officeDocument/2006/relationships/hyperlink" Target="https://doi.org/10.1073/pnas.1903797116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www.ncbi.nlm.nih.gov/pubmed/29174893" TargetMode="External"/><Relationship Id="rId28" Type="http://schemas.openxmlformats.org/officeDocument/2006/relationships/hyperlink" Target="https://doi.org/10.1038/s41598-017-13481-2" TargetMode="External"/><Relationship Id="rId36" Type="http://schemas.openxmlformats.org/officeDocument/2006/relationships/hyperlink" Target="https://doi.org/10.1162/002219503322645439" TargetMode="External"/><Relationship Id="rId10" Type="http://schemas.openxmlformats.org/officeDocument/2006/relationships/hyperlink" Target="https://github.com/ktmeaton" TargetMode="External"/><Relationship Id="rId19" Type="http://schemas.openxmlformats.org/officeDocument/2006/relationships/image" Target="media/image5.png"/><Relationship Id="rId31" Type="http://schemas.openxmlformats.org/officeDocument/2006/relationships/hyperlink" Target="https://www.ncbi.nlm.nih.gov/pubmed/899385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1-6862-7756" TargetMode="External"/><Relationship Id="rId14" Type="http://schemas.openxmlformats.org/officeDocument/2006/relationships/hyperlink" Target="https://orcid.org/0000-0002-0314-4160" TargetMode="External"/><Relationship Id="rId22" Type="http://schemas.openxmlformats.org/officeDocument/2006/relationships/hyperlink" Target="https://doi.org/10.1016/j.cub.2017.10.025" TargetMode="External"/><Relationship Id="rId27" Type="http://schemas.openxmlformats.org/officeDocument/2006/relationships/hyperlink" Target="https://www.ncbi.nlm.nih.gov/pmc/articles/PMC5636801/" TargetMode="External"/><Relationship Id="rId30" Type="http://schemas.openxmlformats.org/officeDocument/2006/relationships/hyperlink" Target="https://www.ncbi.nlm.nih.gov/pmc/articles/PMC5636801" TargetMode="External"/><Relationship Id="rId35" Type="http://schemas.openxmlformats.org/officeDocument/2006/relationships/hyperlink" Target="https://doi.org/10.1162/00221950332264543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ktmeaton/obsidian-public/tree/4f0256a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orcid.org/0000-0002-2863-0907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oi.org/10.1016/j.cell.2018.11.005" TargetMode="External"/><Relationship Id="rId33" Type="http://schemas.openxmlformats.org/officeDocument/2006/relationships/hyperlink" Target="https://www.who.int/news-room/fact-sheets/detail/plague" TargetMode="External"/><Relationship Id="rId38" Type="http://schemas.openxmlformats.org/officeDocument/2006/relationships/hyperlink" Target="https://doi.org/10.1016/j.micinf.2004.08.0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9</Pages>
  <Words>1481</Words>
  <Characters>8445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Plague Phylodynamics and Phylogeography</dc:title>
  <dc:creator/>
  <cp:keywords/>
  <cp:lastModifiedBy>Katherine Eaton</cp:lastModifiedBy>
  <cp:revision>2</cp:revision>
  <dcterms:created xsi:type="dcterms:W3CDTF">2021-05-13T21:58:00Z</dcterms:created>
  <dcterms:modified xsi:type="dcterms:W3CDTF">2021-05-13T21:59:00Z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2021-05-13</vt:lpwstr>
  </property>
  <property fmtid="{D5CDD505-2E9C-101B-9397-08002B2CF9AE}" pid="7" name="header-includes">
    <vt:lpwstr>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