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1.png" ContentType="image/png"/>
  <Override PartName="/word/media/rId59.png" ContentType="image/png"/>
  <Override PartName="/word/media/rId205.png" ContentType="image/png"/>
  <Override PartName="/word/media/rId47.png" ContentType="image/png"/>
  <Override PartName="/word/media/rId34.png" ContentType="image/png"/>
  <Override PartName="/word/media/rId49.png" ContentType="image/png"/>
  <Override PartName="/word/media/rId51.png" ContentType="image/png"/>
  <Override PartName="/word/media/rId53.png" ContentType="image/png"/>
  <Override PartName="/word/media/rId44.png" ContentType="image/png"/>
  <Override PartName="/word/media/rId55.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New insights from the global phylogeny of</w:t>
      </w:r>
      <w:r>
        <w:rPr>
          <w:b/>
        </w:rPr>
        <w:t xml:space="preserve"> </w:t>
      </w:r>
      <w:r>
        <w:rPr>
          <w:i/>
          <w:b/>
        </w:rPr>
        <w:t xml:space="preserve">Y. pestis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ktmeaton/obsidian-public@d2eb9a13</w:t>
        </w:r>
      </w:hyperlink>
      <w:r>
        <w:t xml:space="preserve"> </w:t>
      </w:r>
      <w:r>
        <w:t xml:space="preserve">on June 15,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t xml:space="preserve"> </w:t>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2" w:name="introduction"/>
      <w:r>
        <w:t xml:space="preserve">Introduction</w:t>
      </w:r>
      <w:bookmarkEnd w:id="32"/>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Furthermore, this unique mechanism evolved relatively recently, possibly around the 1st millennium BC</w:t>
      </w:r>
      <w:r>
        <w:t xml:space="preserve"> </w:t>
      </w:r>
      <w:r>
        <w:t xml:space="preserve">[</w:t>
      </w:r>
      <w:hyperlink w:anchor="ref-ZvyYZ3sx">
        <w:r>
          <w:rPr>
            <w:rStyle w:val="Hyperlink"/>
          </w:rPr>
          <w:t xml:space="preserve">9</w:t>
        </w:r>
      </w:hyperlink>
      <w:r>
        <w:t xml:space="preserve">]</w:t>
      </w:r>
      <w:r>
        <w:t xml:space="preserve">, long after</w:t>
      </w:r>
      <w:r>
        <w:t xml:space="preserve"> </w:t>
      </w:r>
      <w:r>
        <w:rPr>
          <w:i/>
        </w:rPr>
        <w:t xml:space="preserve">Y. pestis</w:t>
      </w:r>
      <w:r>
        <w:t xml:space="preserve"> </w:t>
      </w:r>
      <w:r>
        <w:t xml:space="preserve">emerged as a monomorphic clone of the enteric pathogen</w:t>
      </w:r>
      <w:r>
        <w:t xml:space="preserve"> </w:t>
      </w:r>
      <w:r>
        <w:rPr>
          <w:i/>
        </w:rPr>
        <w:t xml:space="preserve">Yersinia pseudotuberculosis</w:t>
      </w:r>
      <w:r>
        <w:t xml:space="preserve"> </w:t>
      </w:r>
      <w:r>
        <w:t xml:space="preserve">[</w:t>
      </w:r>
      <w:hyperlink w:anchor="ref-TV8iDhk7">
        <w:r>
          <w:rPr>
            <w:rStyle w:val="Hyperlink"/>
          </w:rPr>
          <w:t xml:space="preserve">10</w:t>
        </w:r>
      </w:hyperlink>
      <w:r>
        <w:t xml:space="preserve">]</w:t>
      </w:r>
      <w:r>
        <w:t xml:space="preserve">.</w:t>
      </w:r>
    </w:p>
    <w:p>
      <w:pPr>
        <w:pStyle w:val="BodyText"/>
      </w:pPr>
      <w:r>
        <w:t xml:space="preserve">While the population structure of</w:t>
      </w:r>
      <w:r>
        <w:t xml:space="preserve"> </w:t>
      </w:r>
      <w:r>
        <w:rPr>
          <w:i/>
        </w:rPr>
        <w:t xml:space="preserve">Y. pseudotuberculosis</w:t>
      </w:r>
      <w:r>
        <w:t xml:space="preserve"> </w:t>
      </w:r>
      <w:r>
        <w:t xml:space="preserve">is well-defined,</w:t>
      </w:r>
      <w:r>
        <w:t xml:space="preserve"> </w:t>
      </w:r>
      <w:r>
        <w:t xml:space="preserve">[</w:t>
      </w:r>
      <w:hyperlink w:anchor="ref-RrDa6yZx">
        <w:r>
          <w:rPr>
            <w:rStyle w:val="Hyperlink"/>
          </w:rPr>
          <w:t xml:space="preserve">11</w:t>
        </w:r>
      </w:hyperlink>
      <w:r>
        <w:t xml:space="preserve">,</w:t>
      </w:r>
      <w:hyperlink w:anchor="ref-17ygZQMtK">
        <w:r>
          <w:rPr>
            <w:rStyle w:val="Hyperlink"/>
          </w:rPr>
          <w:t xml:space="preserve">12</w:t>
        </w:r>
      </w:hyperlink>
      <w:r>
        <w:t xml:space="preserve">]</w:t>
      </w:r>
      <w:r>
        <w:t xml:space="preserve">, the phylogenetic patterning of</w:t>
      </w:r>
      <w:r>
        <w:t xml:space="preserve"> </w:t>
      </w:r>
      <w:r>
        <w:rPr>
          <w:i/>
        </w:rPr>
        <w:t xml:space="preserve">Y. pestis</w:t>
      </w:r>
      <w:r>
        <w:t xml:space="preserve"> </w:t>
      </w:r>
      <w:r>
        <w:t xml:space="preserve">remains cryptic. Populations of</w:t>
      </w:r>
      <w:r>
        <w:t xml:space="preserve"> </w:t>
      </w:r>
      <w:r>
        <w:rPr>
          <w:i/>
        </w:rPr>
        <w:t xml:space="preserve">Y. pestis</w:t>
      </w:r>
      <w:r>
        <w:t xml:space="preserve"> </w:t>
      </w:r>
      <w:r>
        <w:t xml:space="preserve">have been historically categorized according to a a vast array of historical, ecological, biochemical, and molecular characteristics. As a result, disparate sub-typing systems have emerged over the years to differentiate lineages of plague</w:t>
      </w:r>
      <w:r>
        <w:t xml:space="preserve"> </w:t>
      </w:r>
      <w:r>
        <w:t xml:space="preserve">[</w:t>
      </w:r>
      <w:hyperlink w:anchor="ref-HqSIHWsh">
        <w:r>
          <w:rPr>
            <w:rStyle w:val="Hyperlink"/>
          </w:rPr>
          <w:t xml:space="preserve">13</w:t>
        </w:r>
      </w:hyperlink>
      <w:r>
        <w:t xml:space="preserve">]</w:t>
      </w:r>
      <w:r>
        <w:t xml:space="preserve">. It has thus been argued that the taxonomy of</w:t>
      </w:r>
      <w:r>
        <w:t xml:space="preserve"> </w:t>
      </w:r>
      <w:r>
        <w:rPr>
          <w:i/>
        </w:rPr>
        <w:t xml:space="preserve">Y. pestis</w:t>
      </w:r>
      <w:r>
        <w:t xml:space="preserve"> </w:t>
      </w:r>
      <w:r>
        <w:t xml:space="preserve">should be revised and consolidated according to the latest global phylogenetic analysis</w:t>
      </w:r>
      <w:r>
        <w:t xml:space="preserve"> </w:t>
      </w:r>
      <w:r>
        <w:t xml:space="preserve">[</w:t>
      </w:r>
      <w:hyperlink w:anchor="ref-S7uUqUQG">
        <w:r>
          <w:rPr>
            <w:rStyle w:val="Hyperlink"/>
          </w:rPr>
          <w:t xml:space="preserve">14</w:t>
        </w:r>
      </w:hyperlink>
      <w:r>
        <w:t xml:space="preserve">]</w:t>
      </w:r>
      <w:r>
        <w:t xml:space="preserve">.</w:t>
      </w:r>
    </w:p>
    <w:p>
      <w:pPr>
        <w:pStyle w:val="BodyText"/>
      </w:pPr>
      <w:r>
        <w:t xml:space="preserve">Unfortunately, there are a number of obstacles that have stalled large-scale phylogenetic analysis. The first challenge is data availability, both in terms of the genomic sequences, as well as the metadata required for interpretation. Genomic sampling of</w:t>
      </w:r>
      <w:r>
        <w:t xml:space="preserve"> </w:t>
      </w:r>
      <w:r>
        <w:rPr>
          <w:i/>
        </w:rPr>
        <w:t xml:space="preserve">Y. pestis</w:t>
      </w:r>
      <w:r>
        <w:t xml:space="preserve"> </w:t>
      </w:r>
      <w:r>
        <w:t xml:space="preserve">has recently intensified</w:t>
      </w:r>
      <w:r>
        <w:t xml:space="preserve"> </w:t>
      </w:r>
      <w:r>
        <w:t xml:space="preserve">[</w:t>
      </w:r>
      <w:hyperlink w:anchor="ref-E2sCnrTc">
        <w:r>
          <w:rPr>
            <w:rStyle w:val="Hyperlink"/>
          </w:rPr>
          <w:t xml:space="preserve">15</w:t>
        </w:r>
      </w:hyperlink>
      <w:r>
        <w:t xml:space="preserve">]</w:t>
      </w:r>
      <w:r>
        <w:t xml:space="preserve">, thus providing exceptional new datasets for statistical inference. This intensive sampling has produced over 1000</w:t>
      </w:r>
      <w:r>
        <w:t xml:space="preserve"> </w:t>
      </w:r>
      <w:r>
        <w:rPr>
          <w:i/>
        </w:rPr>
        <w:t xml:space="preserve">Y. pestis</w:t>
      </w:r>
      <w:r>
        <w:t xml:space="preserve"> </w:t>
      </w:r>
      <w:r>
        <w:t xml:space="preserve">genomes that are now publicly available, with tremendous diversity spanning five continents and 5000 years of human history. Unfortunately, the majority of these genomic records lack curated metadata, such as sampling date and location, which are crucial variables in testing population structure.</w:t>
      </w:r>
    </w:p>
    <w:p>
      <w:pPr>
        <w:pStyle w:val="BodyText"/>
      </w:pPr>
      <w:r>
        <w:t xml:space="preserve">The second major obstacle is an apparent lack of temporal structure in</w:t>
      </w:r>
      <w:r>
        <w:t xml:space="preserve"> </w:t>
      </w:r>
      <w:r>
        <w:rPr>
          <w:i/>
        </w:rPr>
        <w:t xml:space="preserve">Y. pestis</w:t>
      </w:r>
      <w:r>
        <w:t xml:space="preserve">. Detecting temporal signal and estimating a molecular clock model are general pre-requisites for sophisticated methods of quantifying population structure</w:t>
      </w:r>
      <w:r>
        <w:t xml:space="preserve"> </w:t>
      </w:r>
      <w:r>
        <w:t xml:space="preserve">[</w:t>
      </w:r>
      <w:hyperlink w:anchor="ref-14eJbOlxZ">
        <w:r>
          <w:rPr>
            <w:rStyle w:val="Hyperlink"/>
          </w:rPr>
          <w:t xml:space="preserve">16</w:t>
        </w:r>
      </w:hyperlink>
      <w:r>
        <w:t xml:space="preserve">]</w:t>
      </w:r>
      <w:r>
        <w:t xml:space="preserve">.</w:t>
      </w:r>
      <w:r>
        <w:t xml:space="preserve"> </w:t>
      </w:r>
      <w:r>
        <w:t xml:space="preserve">However, there has been significant debate concerning whether</w:t>
      </w:r>
      <w:r>
        <w:t xml:space="preserve"> </w:t>
      </w:r>
      <w:r>
        <w:rPr>
          <w:i/>
        </w:rPr>
        <w:t xml:space="preserve">Y. pestis</w:t>
      </w:r>
      <w:r>
        <w:t xml:space="preserve"> </w:t>
      </w:r>
      <w:r>
        <w:t xml:space="preserve">can be appropriately modeled using the available clock methods</w:t>
      </w:r>
      <w:r>
        <w:t xml:space="preserve"> </w:t>
      </w:r>
      <w:r>
        <w:t xml:space="preserve">[</w:t>
      </w:r>
      <w:hyperlink w:anchor="ref-ONhNS9aO">
        <w:r>
          <w:rPr>
            <w:rStyle w:val="Hyperlink"/>
          </w:rPr>
          <w:t xml:space="preserve">17</w:t>
        </w:r>
      </w:hyperlink>
      <w:r>
        <w:t xml:space="preserve">,</w:t>
      </w:r>
      <w:hyperlink w:anchor="ref-ACt53Sow">
        <w:r>
          <w:rPr>
            <w:rStyle w:val="Hyperlink"/>
          </w:rPr>
          <w:t xml:space="preserve">18</w:t>
        </w:r>
      </w:hyperlink>
      <w:r>
        <w:t xml:space="preserve">,</w:t>
      </w:r>
      <w:hyperlink w:anchor="ref-1CPIgshmC">
        <w:r>
          <w:rPr>
            <w:rStyle w:val="Hyperlink"/>
          </w:rPr>
          <w:t xml:space="preserve">19</w:t>
        </w:r>
      </w:hyperlink>
      <w:r>
        <w:t xml:space="preserve">]</w:t>
      </w:r>
      <w:r>
        <w:t xml:space="preserve">.</w:t>
      </w:r>
      <w:r>
        <w:t xml:space="preserve"> </w:t>
      </w:r>
      <w:r>
        <w:t xml:space="preserve">To some extent, this debate can be explained by different</w:t>
      </w:r>
      <w:r>
        <w:t xml:space="preserve"> </w:t>
      </w:r>
      <w:r>
        <w:rPr>
          <w:i/>
        </w:rPr>
        <w:t xml:space="preserve">Y. pestis</w:t>
      </w:r>
      <w:r>
        <w:t xml:space="preserve"> </w:t>
      </w:r>
      <w:r>
        <w:t xml:space="preserve">datasets, which have been shown to produce dramatically different patterns of temporal signal</w:t>
      </w:r>
      <w:r>
        <w:t xml:space="preserve"> </w:t>
      </w:r>
      <w:r>
        <w:t xml:space="preserve">[</w:t>
      </w:r>
      <w:hyperlink w:anchor="ref-1cTipQcd">
        <w:r>
          <w:rPr>
            <w:rStyle w:val="Hyperlink"/>
          </w:rPr>
          <w:t xml:space="preserve">20</w:t>
        </w:r>
      </w:hyperlink>
      <w:r>
        <w:t xml:space="preserve">]</w:t>
      </w:r>
      <w:r>
        <w:t xml:space="preserve">. Therefore, it is uncertain whether the new intensively sampled genomes will bring clarity or greater uncertainty.</w:t>
      </w:r>
    </w:p>
    <w:p>
      <w:pPr>
        <w:pStyle w:val="Heading2"/>
      </w:pPr>
      <w:bookmarkStart w:id="33" w:name="materials-and-methods"/>
      <w:r>
        <w:t xml:space="preserve">Materials and Methods</w:t>
      </w:r>
      <w:bookmarkEnd w:id="33"/>
    </w:p>
    <w:p>
      <w:pPr>
        <w:pStyle w:val="FirstParagraph"/>
      </w:pPr>
      <w:r>
        <w:t xml:space="preserve">A visual overview of the computational methods is provided in Figure</w:t>
      </w:r>
      <w:r>
        <w:t xml:space="preserve"> </w:t>
      </w:r>
      <w:hyperlink w:anchor="fig:workflow">
        <w:r>
          <w:rPr>
            <w:rStyle w:val="Hyperlink"/>
          </w:rPr>
          <w:t xml:space="preserve">1</w:t>
        </w:r>
      </w:hyperlink>
      <w:r>
        <w:t xml:space="preserve"> </w:t>
      </w:r>
      <w:r>
        <w:t xml:space="preserve">and is available as a snakemake pipeline (https://github.com/ktmeaton/plague-phylogeography/).</w:t>
      </w:r>
    </w:p>
    <w:bookmarkStart w:id="0" w:name="fig:workflow"/>
    <w:p>
      <w:pPr>
        <w:pStyle w:val="CaptionedFigure"/>
      </w:pPr>
      <w:bookmarkStart w:id="35" w:name="fig: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4"/>
                    <a:stretch>
                      <a:fillRect/>
                    </a:stretch>
                  </pic:blipFill>
                  <pic:spPr bwMode="auto">
                    <a:xfrm>
                      <a:off x="0" y="0"/>
                      <a:ext cx="5943600" cy="6148491"/>
                    </a:xfrm>
                    <a:prstGeom prst="rect">
                      <a:avLst/>
                    </a:prstGeom>
                    <a:noFill/>
                    <a:ln w="9525">
                      <a:noFill/>
                      <a:headEnd/>
                      <a:tailEnd/>
                    </a:ln>
                  </pic:spPr>
                </pic:pic>
              </a:graphicData>
            </a:graphic>
          </wp:inline>
        </w:drawing>
      </w:r>
      <w:bookmarkEnd w:id="35"/>
    </w:p>
    <w:p>
      <w:pPr>
        <w:pStyle w:val="ImageCaption"/>
      </w:pPr>
      <w:r>
        <w:t xml:space="preserve">Figure 1: Computational methods workflow.</w:t>
      </w:r>
    </w:p>
    <w:bookmarkEnd w:id="0"/>
    <w:p>
      <w:pPr>
        <w:pStyle w:val="Heading3"/>
      </w:pPr>
      <w:bookmarkStart w:id="36" w:name="data-collection"/>
      <w:r>
        <w:t xml:space="preserve">Data Collection</w:t>
      </w:r>
      <w:bookmarkEnd w:id="36"/>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21</w:t>
        </w:r>
      </w:hyperlink>
      <w:r>
        <w:t xml:space="preserve">]</w:t>
      </w:r>
      <w:r>
        <w:t xml:space="preserve">. 1657 projects were identified and comprised three genomic types:</w:t>
      </w:r>
    </w:p>
    <w:p>
      <w:pPr>
        <w:numPr>
          <w:ilvl w:val="0"/>
          <w:numId w:val="1002"/>
        </w:numPr>
        <w:pStyle w:val="Compact"/>
      </w:pPr>
      <w:r>
        <w:t xml:space="preserve">586 modern assembled</w:t>
      </w:r>
    </w:p>
    <w:p>
      <w:pPr>
        <w:numPr>
          <w:ilvl w:val="0"/>
          <w:numId w:val="1002"/>
        </w:numPr>
        <w:pStyle w:val="Compact"/>
      </w:pPr>
      <w:r>
        <w:t xml:space="preserve">184 ancient unassembled</w:t>
      </w:r>
    </w:p>
    <w:p>
      <w:pPr>
        <w:numPr>
          <w:ilvl w:val="0"/>
          <w:numId w:val="1002"/>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22</w:t>
        </w:r>
      </w:hyperlink>
      <w:r>
        <w:t xml:space="preserve">,</w:t>
      </w:r>
      <w:hyperlink w:anchor="ref-M15a78x5">
        <w:r>
          <w:rPr>
            <w:rStyle w:val="Hyperlink"/>
          </w:rPr>
          <w:t xml:space="preserve">23</w:t>
        </w:r>
      </w:hyperlink>
      <w:r>
        <w:t xml:space="preserve">,</w:t>
      </w:r>
      <w:hyperlink w:anchor="ref-5rCiNisz">
        <w:r>
          <w:rPr>
            <w:rStyle w:val="Hyperlink"/>
          </w:rPr>
          <w:t xml:space="preserve">24</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37" w:name="alignment"/>
      <w:r>
        <w:t xml:space="preserve">Alignment</w:t>
      </w:r>
      <w:bookmarkEnd w:id="37"/>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25</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26</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27</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w:t>
      </w:r>
      <w:r>
        <w:t xml:space="preserve"> </w:t>
      </w:r>
      <w:r>
        <w:t xml:space="preserve">[</w:t>
      </w:r>
      <w:r>
        <w:rPr>
          <w:b/>
        </w:rPr>
        <w:t xml:space="preserve">???</w:t>
      </w:r>
      <w:r>
        <w:t xml:space="preserve">]</w:t>
      </w:r>
      <w:r>
        <w:t xml:space="preserve">. The threshold chosen here is commonly used, and aims to strike a balance between variant confidence and sample representation</w:t>
      </w:r>
      <w:r>
        <w:t xml:space="preserve"> </w:t>
      </w:r>
      <w:r>
        <w:t xml:space="preserve">[</w:t>
      </w:r>
      <w:r>
        <w:rPr>
          <w:b/>
        </w:rPr>
        <w:t xml:space="preserve">???</w:t>
      </w:r>
      <w:r>
        <w:t xml:space="preserve">]</w:t>
      </w:r>
      <w:r>
        <w:t xml:space="preserv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25</w:t>
        </w:r>
      </w:hyperlink>
      <w:r>
        <w:t xml:space="preserve">]</w:t>
      </w:r>
      <w:r>
        <w:t xml:space="preserve">. The output alignment was filtered to only include chromosomal variants and to exclude sites that had more than 5% missing data.</w:t>
      </w:r>
    </w:p>
    <w:p>
      <w:pPr>
        <w:pStyle w:val="Heading3"/>
      </w:pPr>
      <w:bookmarkStart w:id="38" w:name="modified-datasets"/>
      <w:r>
        <w:t xml:space="preserve">Modified Datasets</w:t>
      </w:r>
      <w:bookmarkEnd w:id="38"/>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Clade labeling was derived from the five-branch population structure accompanied by a biovar abbreviation (</w:t>
      </w:r>
      <w:r>
        <w:t xml:space="preserve">[</w:t>
      </w:r>
      <w:hyperlink w:anchor="ref-ONhNS9aO">
        <w:r>
          <w:rPr>
            <w:rStyle w:val="Hyperlink"/>
          </w:rPr>
          <w:t xml:space="preserve">17</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191 representative samples.</w:t>
      </w:r>
    </w:p>
    <w:p>
      <w:pPr>
        <w:pStyle w:val="Heading3"/>
      </w:pPr>
      <w:bookmarkStart w:id="39" w:name="phylogenetics"/>
      <w:r>
        <w:t xml:space="preserve">Phylogenetics</w:t>
      </w:r>
      <w:bookmarkEnd w:id="39"/>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28</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29</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30</w:t>
        </w:r>
      </w:hyperlink>
      <w:r>
        <w:t xml:space="preserve">]</w:t>
      </w:r>
      <w:r>
        <w:t xml:space="preserve">.</w:t>
      </w:r>
    </w:p>
    <w:p>
      <w:pPr>
        <w:pStyle w:val="Heading3"/>
      </w:pPr>
      <w:bookmarkStart w:id="40" w:name="phylodynamics"/>
      <w:r>
        <w:t xml:space="preserve">Phylodynamics</w:t>
      </w:r>
      <w:bookmarkEnd w:id="40"/>
    </w:p>
    <w:p>
      <w:pPr>
        <w:pStyle w:val="FirstParagraph"/>
      </w:pPr>
      <w:r>
        <w:t xml:space="preserve">To explore the degree of temporal signal present in the data, two categories of tests were performed . The first was a root-to-tip (RTT) regression on collection date using the python package</w:t>
      </w:r>
      <w:r>
        <w:t xml:space="preserve"> </w:t>
      </w:r>
      <w:r>
        <w:rPr>
          <w:rStyle w:val="VerbatimChar"/>
        </w:rPr>
        <w:t xml:space="preserve">statsmodels</w:t>
      </w:r>
      <w:r>
        <w:t xml:space="preserve"> </w:t>
      </w:r>
      <w:r>
        <w:t xml:space="preserve">[</w:t>
      </w:r>
      <w:hyperlink w:anchor="ref-11e70fLkA">
        <w:r>
          <w:rPr>
            <w:rStyle w:val="Hyperlink"/>
          </w:rPr>
          <w:t xml:space="preserve">31</w:t>
        </w:r>
      </w:hyperlink>
      <w:r>
        <w:t xml:space="preserve">]</w:t>
      </w:r>
      <w:r>
        <w:t xml:space="preserve">. Given the relative simplicity of a regression model, the</w:t>
      </w:r>
      <w:r>
        <w:t xml:space="preserve"> </w:t>
      </w:r>
      <w:r>
        <w:rPr>
          <w:i/>
        </w:rPr>
        <w:t xml:space="preserve">full</w:t>
      </w:r>
      <w:r>
        <w:t xml:space="preserve"> </w:t>
      </w:r>
      <w:r>
        <w:t xml:space="preserve">dataset of 601 genomes was used. For the second test of temporal signal, a Bayesian Evaluation of Temporal Signal (BETS) was conducted. As the complexity of Bayesian modeling is computationally intensive, the</w:t>
      </w:r>
      <w:r>
        <w:t xml:space="preserve"> </w:t>
      </w:r>
      <w:r>
        <w:rPr>
          <w:i/>
        </w:rPr>
        <w:t xml:space="preserve">reduced</w:t>
      </w:r>
      <w:r>
        <w:t xml:space="preserve"> </w:t>
      </w:r>
      <w:r>
        <w:t xml:space="preserve">dataset (N=191) was used.</w:t>
      </w:r>
    </w:p>
    <w:p>
      <w:pPr>
        <w:pStyle w:val="BlockText"/>
      </w:pPr>
      <w:r>
        <w:rPr>
          <w:b/>
        </w:rPr>
        <w:t xml:space="preserve">Kat’s Notes</w:t>
      </w:r>
      <w:r>
        <w:t xml:space="preserve">:</w:t>
      </w:r>
      <w:r>
        <w:t xml:space="preserve"> </w:t>
      </w:r>
      <w:r>
        <w:t xml:space="preserve">- I will need Sebastian and Leo’s input here to write the BEAST methods section.</w:t>
      </w:r>
    </w:p>
    <w:p>
      <w:pPr>
        <w:pStyle w:val="Heading3"/>
      </w:pPr>
      <w:bookmarkStart w:id="41" w:name="public-resource"/>
      <w:r>
        <w:t xml:space="preserve">Public Resource</w:t>
      </w:r>
      <w:bookmarkEnd w:id="41"/>
    </w:p>
    <w:p>
      <w:pPr>
        <w:pStyle w:val="FirstParagraph"/>
      </w:pPr>
      <w:r>
        <w:t xml:space="preserve">The maximum likelihood and Bayesian phylogenetic trees were uploaded to the Nextstrain visualization platform at https://nextstrain.org/community/ktmeaton/plague-phylogeography-projects@main. All curated metadata is available for download via Nextstrain, Github, and Zenodo.</w:t>
      </w:r>
    </w:p>
    <w:p>
      <w:pPr>
        <w:pStyle w:val="BlockText"/>
      </w:pPr>
      <w:r>
        <w:rPr>
          <w:b/>
        </w:rPr>
        <w:t xml:space="preserve">Kat’s Notes</w:t>
      </w:r>
      <w:r>
        <w:t xml:space="preserve">:</w:t>
      </w:r>
      <w:r>
        <w:t xml:space="preserve"> </w:t>
      </w:r>
      <w:r>
        <w:t xml:space="preserve">- I’ll need to prepare stable and archived hosting links before submission.</w:t>
      </w:r>
    </w:p>
    <w:p>
      <w:pPr>
        <w:pStyle w:val="Heading2"/>
      </w:pPr>
      <w:bookmarkStart w:id="42" w:name="results-and-discussion"/>
      <w:r>
        <w:t xml:space="preserve">Results and Discussion</w:t>
      </w:r>
      <w:bookmarkEnd w:id="42"/>
    </w:p>
    <w:p>
      <w:pPr>
        <w:pStyle w:val="Heading3"/>
      </w:pPr>
      <w:bookmarkStart w:id="43" w:name="phylogeny"/>
      <w:r>
        <w:t xml:space="preserve">Phylogeny</w:t>
      </w:r>
      <w:bookmarkEnd w:id="43"/>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Following removal of the outgroup taxa, the alignment was composed of 10,249 variant positions with 3,844 sites shared by at least two genomes. In Figure</w:t>
      </w:r>
      <w:r>
        <w:t xml:space="preserve"> </w:t>
      </w:r>
      <w:hyperlink w:anchor="fig:divtree_branch-major">
        <w:r>
          <w:rPr>
            <w:rStyle w:val="Hyperlink"/>
          </w:rPr>
          <w:t xml:space="preserve">2</w:t>
        </w:r>
      </w:hyperlink>
      <w:r>
        <w:t xml:space="preserve">, the maximum-likeilhood phylogeny is visualized alongside the four major taxonomic systems currently used to define the population structure of</w:t>
      </w:r>
      <w:r>
        <w:t xml:space="preserve"> </w:t>
      </w:r>
      <w:r>
        <w:rPr>
          <w:i/>
        </w:rPr>
        <w:t xml:space="preserve">Y. pestis</w:t>
      </w:r>
      <w:r>
        <w:t xml:space="preserve">. These include the major phylogenetic branches, biovars, subspecies, and historical time periods/pandemics.</w:t>
      </w:r>
    </w:p>
    <w:bookmarkStart w:id="0" w:name="fig:divtree_branch-major"/>
    <w:p>
      <w:pPr>
        <w:pStyle w:val="CaptionedFigure"/>
      </w:pPr>
      <w:bookmarkStart w:id="45" w:name="fig:divtree_branch-major"/>
      <w:r>
        <w:drawing>
          <wp:inline>
            <wp:extent cx="5943600" cy="3751600"/>
            <wp:effectExtent b="0" l="0" r="0" t="0"/>
            <wp:docPr descr="Figure 2: The maximum-likelihood phylogeny depicts the global population structure of Y. pestis. The divisions of the four major sub-typing systems are provided." title="" id="1" name="Picture"/>
            <a:graphic>
              <a:graphicData uri="http://schemas.openxmlformats.org/drawingml/2006/picture">
                <pic:pic>
                  <pic:nvPicPr>
                    <pic:cNvPr descr="https://rawcdn.githack.com/ktmeaton/plague-phylogeography-projects/e0542fd/main/auspice/all/chromosome/full/filter5/divtree_branch_major.png" id="0" name="Picture"/>
                    <pic:cNvPicPr>
                      <a:picLocks noChangeArrowheads="1" noChangeAspect="1"/>
                    </pic:cNvPicPr>
                  </pic:nvPicPr>
                  <pic:blipFill>
                    <a:blip r:embed="rId44"/>
                    <a:stretch>
                      <a:fillRect/>
                    </a:stretch>
                  </pic:blipFill>
                  <pic:spPr bwMode="auto">
                    <a:xfrm>
                      <a:off x="0" y="0"/>
                      <a:ext cx="5943600" cy="3751600"/>
                    </a:xfrm>
                    <a:prstGeom prst="rect">
                      <a:avLst/>
                    </a:prstGeom>
                    <a:noFill/>
                    <a:ln w="9525">
                      <a:noFill/>
                      <a:headEnd/>
                      <a:tailEnd/>
                    </a:ln>
                  </pic:spPr>
                </pic:pic>
              </a:graphicData>
            </a:graphic>
          </wp:inline>
        </w:drawing>
      </w:r>
      <w:bookmarkEnd w:id="45"/>
    </w:p>
    <w:p>
      <w:pPr>
        <w:pStyle w:val="ImageCaption"/>
      </w:pPr>
      <w:r>
        <w:t xml:space="preserve">Figure 2: The maximum-likelihood phylogeny depicts the global population structure of</w:t>
      </w:r>
      <w:r>
        <w:t xml:space="preserve"> </w:t>
      </w:r>
      <w:r>
        <w:rPr>
          <w:i/>
        </w:rPr>
        <w:t xml:space="preserve">Y. pestis</w:t>
      </w:r>
      <w:r>
        <w:t xml:space="preserve">. The divisions of the four major sub-typing systems are provided.</w:t>
      </w:r>
    </w:p>
    <w:bookmarkEnd w:id="0"/>
    <w:p>
      <w:pPr>
        <w:pStyle w:val="Heading3"/>
      </w:pPr>
      <w:bookmarkStart w:id="46" w:name="population-structure"/>
      <w:r>
        <w:t xml:space="preserve">Population Structure</w:t>
      </w:r>
      <w:bookmarkEnd w:id="46"/>
    </w:p>
    <w:p>
      <w:pPr>
        <w:pStyle w:val="FirstParagraph"/>
      </w:pPr>
      <w:r>
        <w:t xml:space="preserve">A comparison of sub-typing systems reveals great uncertainty with regards to</w:t>
      </w:r>
      <w:r>
        <w:t xml:space="preserve"> </w:t>
      </w:r>
      <w:r>
        <w:rPr>
          <w:i/>
        </w:rPr>
        <w:t xml:space="preserve">Y. pestis</w:t>
      </w:r>
      <w:r>
        <w:t xml:space="preserve"> </w:t>
      </w:r>
      <w:r>
        <w:t xml:space="preserve">population structure. The global phylogeny of</w:t>
      </w:r>
      <w:r>
        <w:t xml:space="preserve"> </w:t>
      </w:r>
      <w:r>
        <w:rPr>
          <w:i/>
        </w:rPr>
        <w:t xml:space="preserve">Y. pestis</w:t>
      </w:r>
      <w:r>
        <w:t xml:space="preserve"> </w:t>
      </w:r>
      <w:r>
        <w:t xml:space="preserve">can be divided into</w:t>
      </w:r>
      <w:r>
        <w:t xml:space="preserve"> </w:t>
      </w:r>
      <w:r>
        <w:rPr>
          <w:rStyle w:val="VerbatimChar"/>
        </w:rPr>
        <w:t xml:space="preserve">major branches</w:t>
      </w:r>
      <w:r>
        <w:t xml:space="preserve"> </w:t>
      </w:r>
      <w:r>
        <w:t xml:space="preserve">according to the relative position of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17</w:t>
        </w:r>
      </w:hyperlink>
      <w:r>
        <w:t xml:space="preserve">]</w:t>
      </w:r>
      <w:r>
        <w:t xml:space="preserve">. All lineages that diverged prior to this multifurcation are grouped into</w:t>
      </w:r>
      <w:r>
        <w:t xml:space="preserve"> </w:t>
      </w:r>
      <w:r>
        <w:rPr>
          <w:rStyle w:val="VerbatimChar"/>
        </w:rPr>
        <w:t xml:space="preserve">Branch 0</w:t>
      </w:r>
      <w:r>
        <w:t xml:space="preserve"> </w:t>
      </w:r>
      <w:r>
        <w:t xml:space="preserve">and those emerging after are the monophyletic clades</w:t>
      </w:r>
      <w:r>
        <w:t xml:space="preserve"> </w:t>
      </w:r>
      <w:r>
        <w:rPr>
          <w:rStyle w:val="VerbatimChar"/>
        </w:rPr>
        <w:t xml:space="preserve">Branches 1-4</w:t>
      </w:r>
      <w:r>
        <w:t xml:space="preserve">. Because the</w:t>
      </w:r>
      <w:r>
        <w:t xml:space="preserve"> </w:t>
      </w:r>
      <w:r>
        <w:t xml:space="preserve">“</w:t>
      </w:r>
      <w:r>
        <w:t xml:space="preserve">big bang</w:t>
      </w:r>
      <w:r>
        <w:t xml:space="preserve">”</w:t>
      </w:r>
      <w:r>
        <w:t xml:space="preserve"> </w:t>
      </w:r>
      <w:r>
        <w:t xml:space="preserve">polytomy plays such a central role in this system, there is growing interest in estimating its timing and geographic origins</w:t>
      </w:r>
      <w:r>
        <w:t xml:space="preserve"> </w:t>
      </w:r>
      <w:r>
        <w:t xml:space="preserve">[</w:t>
      </w:r>
      <w:hyperlink w:anchor="ref-qLAL8Don">
        <w:r>
          <w:rPr>
            <w:rStyle w:val="Hyperlink"/>
          </w:rPr>
          <w:t xml:space="preserve">32</w:t>
        </w:r>
      </w:hyperlink>
      <w:r>
        <w:t xml:space="preserve">]</w:t>
      </w:r>
      <w:r>
        <w:t xml:space="preserve">. However, an inability to identify phenotypes distinguishing these</w:t>
      </w:r>
      <w:r>
        <w:t xml:space="preserve"> </w:t>
      </w:r>
      <w:r>
        <w:rPr>
          <w:rStyle w:val="VerbatimChar"/>
        </w:rPr>
        <w:t xml:space="preserve">major branches</w:t>
      </w:r>
      <w:r>
        <w:t xml:space="preserve"> </w:t>
      </w:r>
      <w:r>
        <w:t xml:space="preserve">poses a significant challenge, and thus the exact epidemiological significance of the</w:t>
      </w:r>
      <w:r>
        <w:t xml:space="preserve"> </w:t>
      </w:r>
      <w:r>
        <w:t xml:space="preserve">“</w:t>
      </w:r>
      <w:r>
        <w:t xml:space="preserve">big bang</w:t>
      </w:r>
      <w:r>
        <w:t xml:space="preserve">”</w:t>
      </w:r>
      <w:r>
        <w:t xml:space="preserve"> </w:t>
      </w:r>
      <w:r>
        <w:t xml:space="preserve">polytomy remains unclear.</w:t>
      </w:r>
    </w:p>
    <w:p>
      <w:pPr>
        <w:pStyle w:val="BodyText"/>
      </w:pPr>
      <w:r>
        <w:t xml:space="preserve">An example of this challenge can be seen in the population structure defined by the</w:t>
      </w:r>
      <w:r>
        <w:t xml:space="preserve"> </w:t>
      </w:r>
      <w:r>
        <w:rPr>
          <w:rStyle w:val="VerbatimChar"/>
        </w:rPr>
        <w:t xml:space="preserve">biovar</w:t>
      </w:r>
      <w:r>
        <w:t xml:space="preserve"> </w:t>
      </w:r>
      <w:r>
        <w:t xml:space="preserve">system.</w:t>
      </w:r>
      <w:r>
        <w:t xml:space="preserve"> </w:t>
      </w:r>
      <w:r>
        <w:rPr>
          <w:i/>
        </w:rPr>
        <w:t xml:space="preserve">Y. pestis</w:t>
      </w:r>
      <w:r>
        <w:t xml:space="preserve"> </w:t>
      </w:r>
      <w:r>
        <w:t xml:space="preserve">can be categorized using a suite of metabolic properties into the classical biovars:</w:t>
      </w:r>
      <w:r>
        <w:t xml:space="preserve"> </w:t>
      </w:r>
      <w:r>
        <w:rPr>
          <w:i/>
        </w:rPr>
        <w:t xml:space="preserve">antiqua</w:t>
      </w:r>
      <w:r>
        <w:t xml:space="preserve"> </w:t>
      </w:r>
      <w:r>
        <w:t xml:space="preserve">(</w:t>
      </w:r>
      <w:r>
        <w:rPr>
          <w:rStyle w:val="VerbatimChar"/>
        </w:rPr>
        <w:t xml:space="preserve">ANT</w:t>
      </w:r>
      <w:r>
        <w:t xml:space="preserve">),</w:t>
      </w:r>
      <w:r>
        <w:t xml:space="preserve"> </w:t>
      </w:r>
      <w:r>
        <w:rPr>
          <w:i/>
        </w:rPr>
        <w:t xml:space="preserve">medievalis</w:t>
      </w:r>
      <w:r>
        <w:t xml:space="preserve"> </w:t>
      </w:r>
      <w:r>
        <w:t xml:space="preserve">(</w:t>
      </w:r>
      <w:r>
        <w:rPr>
          <w:rStyle w:val="VerbatimChar"/>
        </w:rPr>
        <w:t xml:space="preserve">MED</w:t>
      </w:r>
      <w:r>
        <w:t xml:space="preserve">),</w:t>
      </w:r>
      <w:r>
        <w:t xml:space="preserve"> </w:t>
      </w:r>
      <w:r>
        <w:rPr>
          <w:i/>
        </w:rPr>
        <w:t xml:space="preserve">orientalis</w:t>
      </w:r>
      <w:r>
        <w:t xml:space="preserve"> </w:t>
      </w:r>
      <w:r>
        <w:t xml:space="preserve">(</w:t>
      </w:r>
      <w:r>
        <w:rPr>
          <w:rStyle w:val="VerbatimChar"/>
        </w:rPr>
        <w:t xml:space="preserve">ORI</w:t>
      </w:r>
      <w:r>
        <w:t xml:space="preserve">), and</w:t>
      </w:r>
      <w:r>
        <w:t xml:space="preserve"> </w:t>
      </w:r>
      <w:r>
        <w:rPr>
          <w:i/>
        </w:rPr>
        <w:t xml:space="preserve">microtus</w:t>
      </w:r>
      <w:r>
        <w:t xml:space="preserve">/</w:t>
      </w:r>
      <w:r>
        <w:rPr>
          <w:i/>
        </w:rPr>
        <w:t xml:space="preserve">pestoides</w:t>
      </w:r>
      <w:r>
        <w:t xml:space="preserve"> </w:t>
      </w:r>
      <w:r>
        <w:t xml:space="preserve">(</w:t>
      </w:r>
      <w:r>
        <w:rPr>
          <w:rStyle w:val="VerbatimChar"/>
        </w:rPr>
        <w:t xml:space="preserve">PE</w:t>
      </w:r>
      <w:r>
        <w:t xml:space="preserve">)</w:t>
      </w:r>
      <w:r>
        <w:t xml:space="preserve"> </w:t>
      </w:r>
      <w:r>
        <w:t xml:space="preserve">[</w:t>
      </w:r>
      <w:hyperlink w:anchor="ref-15WOrftK3">
        <w:r>
          <w:rPr>
            <w:rStyle w:val="Hyperlink"/>
          </w:rPr>
          <w:t xml:space="preserve">33</w:t>
        </w:r>
      </w:hyperlink>
      <w:r>
        <w:t xml:space="preserve">,</w:t>
      </w:r>
      <w:hyperlink w:anchor="ref-cIuFxbEY">
        <w:r>
          <w:rPr>
            <w:rStyle w:val="Hyperlink"/>
          </w:rPr>
          <w:t xml:space="preserve">34</w:t>
        </w:r>
      </w:hyperlink>
      <w:r>
        <w:t xml:space="preserve">,</w:t>
      </w:r>
      <w:hyperlink w:anchor="ref-66GmpEaG">
        <w:r>
          <w:rPr>
            <w:rStyle w:val="Hyperlink"/>
          </w:rPr>
          <w:t xml:space="preserve">35</w:t>
        </w:r>
      </w:hyperlink>
      <w:r>
        <w:t xml:space="preserve">]</w:t>
      </w:r>
      <w:r>
        <w:t xml:space="preserve">. While these divisions don’t fully contradict the</w:t>
      </w:r>
      <w:r>
        <w:t xml:space="preserve"> </w:t>
      </w:r>
      <w:r>
        <w:rPr>
          <w:rStyle w:val="VerbatimChar"/>
        </w:rPr>
        <w:t xml:space="preserve">major branches</w:t>
      </w:r>
      <w:r>
        <w:t xml:space="preserve">, they do considerably shift the defining boundaries between</w:t>
      </w:r>
      <w:r>
        <w:t xml:space="preserve"> </w:t>
      </w:r>
      <w:r>
        <w:rPr>
          <w:i/>
        </w:rPr>
        <w:t xml:space="preserve">Y. pestis</w:t>
      </w:r>
      <w:r>
        <w:t xml:space="preserve"> </w:t>
      </w:r>
      <w:r>
        <w:t xml:space="preserve">populations.</w:t>
      </w:r>
    </w:p>
    <w:p>
      <w:pPr>
        <w:pStyle w:val="BodyText"/>
      </w:pPr>
      <w:r>
        <w:t xml:space="preserve">To further complicate matters, researchers from the Commonwealth of Independent State (CIS) have observed biovar inconsistencies in plague foci surveillance</w:t>
      </w:r>
      <w:r>
        <w:t xml:space="preserve"> </w:t>
      </w:r>
      <w:r>
        <w:t xml:space="preserve">[</w:t>
      </w:r>
      <w:hyperlink w:anchor="ref-S7uUqUQG">
        <w:r>
          <w:rPr>
            <w:rStyle w:val="Hyperlink"/>
          </w:rPr>
          <w:t xml:space="preserve">14</w:t>
        </w:r>
      </w:hyperlink>
      <w:r>
        <w:t xml:space="preserve">]</w:t>
      </w:r>
      <w:r>
        <w:t xml:space="preserve">. In response, the</w:t>
      </w:r>
      <w:r>
        <w:t xml:space="preserve"> </w:t>
      </w:r>
      <w:r>
        <w:rPr>
          <w:rStyle w:val="VerbatimChar"/>
        </w:rPr>
        <w:t xml:space="preserve">subspecies</w:t>
      </w:r>
      <w:r>
        <w:t xml:space="preserve"> </w:t>
      </w:r>
      <w:r>
        <w:t xml:space="preserve">taxonomy was created to distinguish a main subspecies (</w:t>
      </w:r>
      <w:r>
        <w:rPr>
          <w:i/>
        </w:rPr>
        <w:t xml:space="preserve">pestis</w:t>
      </w:r>
      <w:r>
        <w:t xml:space="preserve">) that is highly virulent in humans with wide geographic spread, from five or more non-main subspecies that have limited geographic ranges and attenuated virulence in humans</w:t>
      </w:r>
      <w:r>
        <w:t xml:space="preserve"> </w:t>
      </w:r>
      <w:r>
        <w:t xml:space="preserve">[</w:t>
      </w:r>
      <w:hyperlink w:anchor="ref-S7uUqUQG">
        <w:r>
          <w:rPr>
            <w:rStyle w:val="Hyperlink"/>
          </w:rPr>
          <w:t xml:space="preserve">14</w:t>
        </w:r>
      </w:hyperlink>
      <w:r>
        <w:t xml:space="preserve">]</w:t>
      </w:r>
      <w:r>
        <w:t xml:space="preserve">. The</w:t>
      </w:r>
      <w:r>
        <w:t xml:space="preserve"> </w:t>
      </w:r>
      <w:r>
        <w:rPr>
          <w:rStyle w:val="VerbatimChar"/>
        </w:rPr>
        <w:t xml:space="preserve">subspecies</w:t>
      </w:r>
      <w:r>
        <w:t xml:space="preserve"> </w:t>
      </w:r>
      <w:r>
        <w:t xml:space="preserve">structure is highly convenient for laboratory diagnostics in the CIS, but struggles to differentiate the immense diversity represented by the larger</w:t>
      </w:r>
      <w:r>
        <w:t xml:space="preserve"> </w:t>
      </w:r>
      <w:r>
        <w:rPr>
          <w:i/>
        </w:rPr>
        <w:t xml:space="preserve">pestis</w:t>
      </w:r>
      <w:r>
        <w:t xml:space="preserve"> </w:t>
      </w:r>
      <w:r>
        <w:t xml:space="preserve">subspecies.</w:t>
      </w:r>
    </w:p>
    <w:p>
      <w:pPr>
        <w:pStyle w:val="BodyText"/>
      </w:pPr>
      <w:r>
        <w:t xml:space="preserve">Part of the difficulty in categorizing the</w:t>
      </w:r>
      <w:r>
        <w:t xml:space="preserve"> </w:t>
      </w:r>
      <w:r>
        <w:rPr>
          <w:i/>
        </w:rPr>
        <w:t xml:space="preserve">pestis</w:t>
      </w:r>
      <w:r>
        <w:t xml:space="preserve"> </w:t>
      </w:r>
      <w:r>
        <w:t xml:space="preserve">subspecies may be due to weak host associations and a lack of geographic structure. Similar to its parent species,</w:t>
      </w:r>
      <w:r>
        <w:t xml:space="preserve"> </w:t>
      </w:r>
      <w:r>
        <w:rPr>
          <w:i/>
        </w:rPr>
        <w:t xml:space="preserve">Y. pseudotuberculosis</w:t>
      </w:r>
      <w:r>
        <w:t xml:space="preserve"> </w:t>
      </w:r>
      <w:r>
        <w:t xml:space="preserve">[</w:t>
      </w:r>
      <w:hyperlink w:anchor="ref-RrDa6yZx">
        <w:r>
          <w:rPr>
            <w:rStyle w:val="Hyperlink"/>
          </w:rPr>
          <w:t xml:space="preserve">11</w:t>
        </w:r>
      </w:hyperlink>
      <w:r>
        <w:t xml:space="preserve">]</w:t>
      </w:r>
      <w:r>
        <w:t xml:space="preserve">,</w:t>
      </w:r>
      <w:r>
        <w:t xml:space="preserve"> </w:t>
      </w:r>
      <w:r>
        <w:rPr>
          <w:i/>
        </w:rPr>
        <w:t xml:space="preserve">Y. pestis</w:t>
      </w:r>
      <w:r>
        <w:t xml:space="preserve"> </w:t>
      </w:r>
      <w:r>
        <w:t xml:space="preserve">is capable of infecting a wide variety of mammalian hosts</w:t>
      </w:r>
      <w:r>
        <w:t xml:space="preserve"> </w:t>
      </w:r>
      <w:r>
        <w:t xml:space="preserve">[</w:t>
      </w:r>
      <w:r>
        <w:rPr>
          <w:b/>
        </w:rPr>
        <w:t xml:space="preserve">???</w:t>
      </w:r>
      <w:r>
        <w:t xml:space="preserve">]</w:t>
      </w:r>
      <w:r>
        <w:t xml:space="preserve">. But while isolates of</w:t>
      </w:r>
      <w:r>
        <w:t xml:space="preserve"> </w:t>
      </w:r>
      <w:r>
        <w:rPr>
          <w:i/>
        </w:rPr>
        <w:t xml:space="preserve">Y. pseudotuberculosis</w:t>
      </w:r>
      <w:r>
        <w:t xml:space="preserve"> </w:t>
      </w:r>
      <w:r>
        <w:t xml:space="preserve">cluster by host group</w:t>
      </w:r>
      <w:r>
        <w:t xml:space="preserve"> </w:t>
      </w:r>
      <w:r>
        <w:t xml:space="preserve">[</w:t>
      </w:r>
      <w:hyperlink w:anchor="ref-MDriN15G">
        <w:r>
          <w:rPr>
            <w:rStyle w:val="Hyperlink"/>
          </w:rPr>
          <w:t xml:space="preserve">36</w:t>
        </w:r>
      </w:hyperlink>
      <w:r>
        <w:t xml:space="preserve">]</w:t>
      </w:r>
      <w:r>
        <w:t xml:space="preserve">, the host structure of</w:t>
      </w:r>
      <w:r>
        <w:t xml:space="preserve"> </w:t>
      </w:r>
      <w:r>
        <w:rPr>
          <w:i/>
        </w:rPr>
        <w:t xml:space="preserve">Y. pestis</w:t>
      </w:r>
      <w:r>
        <w:t xml:space="preserve"> </w:t>
      </w:r>
      <w:r>
        <w:t xml:space="preserve">is cryptic (Figure</w:t>
      </w:r>
      <w:r>
        <w:t xml:space="preserve"> </w:t>
      </w:r>
      <w:hyperlink w:anchor="fig:divtree_host">
        <w:r>
          <w:rPr>
            <w:rStyle w:val="Hyperlink"/>
          </w:rPr>
          <w:t xml:space="preserve">3</w:t>
        </w:r>
      </w:hyperlink>
      <w:r>
        <w:t xml:space="preserve">). Most clades are isolated from both humans and non-human animals, although the ancient lineages</w:t>
      </w:r>
      <w:r>
        <w:t xml:space="preserve"> </w:t>
      </w:r>
      <w:r>
        <w:rPr>
          <w:rStyle w:val="VerbatimChar"/>
        </w:rPr>
        <w:t xml:space="preserve">0.PRE</w:t>
      </w:r>
      <w:r>
        <w:t xml:space="preserve">, (Bronze Age),</w:t>
      </w:r>
      <w:r>
        <w:t xml:space="preserve"> </w:t>
      </w:r>
      <w:r>
        <w:rPr>
          <w:rStyle w:val="VerbatimChar"/>
        </w:rPr>
        <w:t xml:space="preserve">0.ANT4</w:t>
      </w:r>
      <w:r>
        <w:t xml:space="preserve"> </w:t>
      </w:r>
      <w:r>
        <w:t xml:space="preserve">(Late Antiquty) and</w:t>
      </w:r>
      <w:r>
        <w:t xml:space="preserve"> </w:t>
      </w:r>
      <w:r>
        <w:rPr>
          <w:rStyle w:val="VerbatimChar"/>
        </w:rPr>
        <w:t xml:space="preserve">1.PRE</w:t>
      </w:r>
      <w:r>
        <w:t xml:space="preserve"> </w:t>
      </w:r>
      <w:r>
        <w:t xml:space="preserve">(Medieval/Early Modern) are exclusively associated with humans. However, this particular exception is largely due to sampling biases, as paleogenomic investigations have historically prioritized human skeletal remains over faunal remains</w:t>
      </w:r>
      <w:r>
        <w:t xml:space="preserve"> </w:t>
      </w:r>
      <w:r>
        <w:t xml:space="preserve">[</w:t>
      </w:r>
      <w:r>
        <w:rPr>
          <w:b/>
        </w:rPr>
        <w:t xml:space="preserve">???</w:t>
      </w:r>
      <w:r>
        <w:t xml:space="preserve">]</w:t>
      </w:r>
      <w:r>
        <w:t xml:space="preserve">.</w:t>
      </w:r>
    </w:p>
    <w:bookmarkStart w:id="0" w:name="fig:divtree_host"/>
    <w:p>
      <w:pPr>
        <w:pStyle w:val="CaptionedFigure"/>
      </w:pPr>
      <w:bookmarkStart w:id="48" w:name="fig:divtree_host"/>
      <w:r>
        <w:drawing>
          <wp:inline>
            <wp:extent cx="5943600" cy="3751600"/>
            <wp:effectExtent b="0" l="0" r="0" t="0"/>
            <wp:docPr descr="Figure 3: The maximum-likelihood phylogeny of Y. pestis according to isolation host." title="" id="1" name="Picture"/>
            <a:graphic>
              <a:graphicData uri="http://schemas.openxmlformats.org/drawingml/2006/picture">
                <pic:pic>
                  <pic:nvPicPr>
                    <pic:cNvPr descr="https://rawcdn.githack.com/ktmeaton/plague-phylogeography-projects/5af901d/main/auspice/all/chromosome/full/filter5/divtree_host.png" id="0" name="Picture"/>
                    <pic:cNvPicPr>
                      <a:picLocks noChangeArrowheads="1" noChangeAspect="1"/>
                    </pic:cNvPicPr>
                  </pic:nvPicPr>
                  <pic:blipFill>
                    <a:blip r:embed="rId47"/>
                    <a:stretch>
                      <a:fillRect/>
                    </a:stretch>
                  </pic:blipFill>
                  <pic:spPr bwMode="auto">
                    <a:xfrm>
                      <a:off x="0" y="0"/>
                      <a:ext cx="5943600" cy="3751600"/>
                    </a:xfrm>
                    <a:prstGeom prst="rect">
                      <a:avLst/>
                    </a:prstGeom>
                    <a:noFill/>
                    <a:ln w="9525">
                      <a:noFill/>
                      <a:headEnd/>
                      <a:tailEnd/>
                    </a:ln>
                  </pic:spPr>
                </pic:pic>
              </a:graphicData>
            </a:graphic>
          </wp:inline>
        </w:drawing>
      </w:r>
      <w:bookmarkEnd w:id="48"/>
    </w:p>
    <w:p>
      <w:pPr>
        <w:pStyle w:val="ImageCaption"/>
      </w:pPr>
      <w:r>
        <w:t xml:space="preserve">Figure 3: The maximum-likelihood phylogeny of</w:t>
      </w:r>
      <w:r>
        <w:t xml:space="preserve"> </w:t>
      </w:r>
      <w:r>
        <w:rPr>
          <w:i/>
        </w:rPr>
        <w:t xml:space="preserve">Y. pestis</w:t>
      </w:r>
      <w:r>
        <w:t xml:space="preserve"> </w:t>
      </w:r>
      <w:r>
        <w:t xml:space="preserve">according to isolation host.</w:t>
      </w:r>
    </w:p>
    <w:bookmarkEnd w:id="0"/>
    <w:p>
      <w:pPr>
        <w:pStyle w:val="BodyText"/>
      </w:pPr>
      <w:r>
        <w:t xml:space="preserve">In addition to a cryptic host structure, the geographic patterning of</w:t>
      </w:r>
      <w:r>
        <w:t xml:space="preserve"> </w:t>
      </w:r>
      <w:r>
        <w:rPr>
          <w:i/>
        </w:rPr>
        <w:t xml:space="preserve">Y. pestis</w:t>
      </w:r>
      <w:r>
        <w:t xml:space="preserve">, or lack thereof, reflects a complex dispersal history (Figure</w:t>
      </w:r>
      <w:r>
        <w:t xml:space="preserve"> </w:t>
      </w:r>
      <w:hyperlink w:anchor="fig:map_all_branch-major">
        <w:r>
          <w:rPr>
            <w:rStyle w:val="Hyperlink"/>
          </w:rPr>
          <w:t xml:space="preserve">4</w:t>
        </w:r>
      </w:hyperlink>
      <w:r>
        <w:t xml:space="preserve">). Many regions have been colonized by diverse strains of</w:t>
      </w:r>
      <w:r>
        <w:t xml:space="preserve"> </w:t>
      </w:r>
      <w:r>
        <w:rPr>
          <w:i/>
        </w:rPr>
        <w:t xml:space="preserve">Y. pestis</w:t>
      </w:r>
      <w:r>
        <w:t xml:space="preserve">. This diversity can be contemporaneous, such as endemic foci in the Caucausus and Western China (</w:t>
      </w:r>
      <w:r>
        <w:rPr>
          <w:rStyle w:val="VerbatimChar"/>
        </w:rPr>
        <w:t xml:space="preserve">0.PE</w:t>
      </w:r>
      <w:r>
        <w:t xml:space="preserve">). Alternatively, this diversity may accrue over multiple centuries through distinct re-introductions and extinctions, as seen through historical clades in Europe (</w:t>
      </w:r>
      <w:r>
        <w:rPr>
          <w:rStyle w:val="VerbatimChar"/>
        </w:rPr>
        <w:t xml:space="preserve">0.ANT</w:t>
      </w:r>
      <w:r>
        <w:t xml:space="preserve">,</w:t>
      </w:r>
      <w:r>
        <w:t xml:space="preserve"> </w:t>
      </w:r>
      <w:r>
        <w:rPr>
          <w:rStyle w:val="VerbatimChar"/>
        </w:rPr>
        <w:t xml:space="preserve">1.PRE</w:t>
      </w:r>
      <w:r>
        <w:t xml:space="preserve">). In these examples, a relatively large amount of genetic diversity appears in a small geographic range (Figure</w:t>
      </w:r>
      <w:r>
        <w:t xml:space="preserve"> </w:t>
      </w:r>
      <w:hyperlink w:anchor="fig:mantel_all_branch-major">
        <w:r>
          <w:rPr>
            <w:rStyle w:val="Hyperlink"/>
          </w:rPr>
          <w:t xml:space="preserve">5</w:t>
        </w:r>
      </w:hyperlink>
      <w:r>
        <w:t xml:space="preserve">). In contrast, regions such as the Americas have been colonized by a single strain of</w:t>
      </w:r>
      <w:r>
        <w:t xml:space="preserve"> </w:t>
      </w:r>
      <w:r>
        <w:rPr>
          <w:i/>
        </w:rPr>
        <w:t xml:space="preserve">Y. pestis</w:t>
      </w:r>
      <w:r>
        <w:t xml:space="preserve"> </w:t>
      </w:r>
      <w:r>
        <w:t xml:space="preserve">(</w:t>
      </w:r>
      <w:r>
        <w:rPr>
          <w:rStyle w:val="VerbatimChar"/>
        </w:rPr>
        <w:t xml:space="preserve">1.ORI</w:t>
      </w:r>
      <w:r>
        <w:t xml:space="preserve">) which shows a relatively small amount of genetic diversity over a tremendously large geographic range.</w:t>
      </w:r>
    </w:p>
    <w:bookmarkStart w:id="0" w:name="fig:map_all_branch-major"/>
    <w:p>
      <w:pPr>
        <w:pStyle w:val="CaptionedFigure"/>
      </w:pPr>
      <w:bookmarkStart w:id="50" w:name="fig:map_all_branch-major"/>
      <w:r>
        <w:drawing>
          <wp:inline>
            <wp:extent cx="2456733" cy="1042736"/>
            <wp:effectExtent b="0" l="0" r="0" t="0"/>
            <wp:docPr descr="Figure 4: The geographic distribution of Y. pestis genomes." title="" id="1" name="Picture"/>
            <a:graphic>
              <a:graphicData uri="http://schemas.openxmlformats.org/drawingml/2006/picture">
                <pic:pic>
                  <pic:nvPicPr>
                    <pic:cNvPr descr="https://rawcdn.githack.com/ktmeaton/plague-phylogeography-projects/cd898b3/main/augur/all/chromosome/full/filter5/map_all.png" id="0" name="Picture"/>
                    <pic:cNvPicPr>
                      <a:picLocks noChangeArrowheads="1" noChangeAspect="1"/>
                    </pic:cNvPicPr>
                  </pic:nvPicPr>
                  <pic:blipFill>
                    <a:blip r:embed="rId49"/>
                    <a:stretch>
                      <a:fillRect/>
                    </a:stretch>
                  </pic:blipFill>
                  <pic:spPr bwMode="auto">
                    <a:xfrm>
                      <a:off x="0" y="0"/>
                      <a:ext cx="2456733" cy="1042736"/>
                    </a:xfrm>
                    <a:prstGeom prst="rect">
                      <a:avLst/>
                    </a:prstGeom>
                    <a:noFill/>
                    <a:ln w="9525">
                      <a:noFill/>
                      <a:headEnd/>
                      <a:tailEnd/>
                    </a:ln>
                  </pic:spPr>
                </pic:pic>
              </a:graphicData>
            </a:graphic>
          </wp:inline>
        </w:drawing>
      </w:r>
      <w:bookmarkEnd w:id="50"/>
    </w:p>
    <w:p>
      <w:pPr>
        <w:pStyle w:val="ImageCaption"/>
      </w:pPr>
      <w:r>
        <w:t xml:space="preserve">Figure 4: The geographic distribution of</w:t>
      </w:r>
      <w:r>
        <w:t xml:space="preserve"> </w:t>
      </w:r>
      <w:r>
        <w:rPr>
          <w:i/>
        </w:rPr>
        <w:t xml:space="preserve">Y. pestis</w:t>
      </w:r>
      <w:r>
        <w:t xml:space="preserve"> </w:t>
      </w:r>
      <w:r>
        <w:t xml:space="preserve">genomes.</w:t>
      </w:r>
    </w:p>
    <w:bookmarkEnd w:id="0"/>
    <w:bookmarkStart w:id="0" w:name="fig:mantel_all_branch-major"/>
    <w:p>
      <w:pPr>
        <w:pStyle w:val="CaptionedFigure"/>
      </w:pPr>
      <w:bookmarkStart w:id="52" w:name="fig:mantel_all_branch-major"/>
      <w:r>
        <w:drawing>
          <wp:inline>
            <wp:extent cx="5094514" cy="2248186"/>
            <wp:effectExtent b="0" l="0" r="0" t="0"/>
            <wp:docPr descr="Figure 5: Geographic distance vs. genetic distance. Statistical results come from a mantel test at α &lt;= 0.05." title="" id="1" name="Picture"/>
            <a:graphic>
              <a:graphicData uri="http://schemas.openxmlformats.org/drawingml/2006/picture">
                <pic:pic>
                  <pic:nvPicPr>
                    <pic:cNvPr descr="https://rawcdn.githack.com/ktmeaton/plague-phylogeography-projects/cd898b3/main/iqtree/all/chromosome/full/filter5/filter-taxa/mantel_all.png" id="0" name="Picture"/>
                    <pic:cNvPicPr>
                      <a:picLocks noChangeArrowheads="1" noChangeAspect="1"/>
                    </pic:cNvPicPr>
                  </pic:nvPicPr>
                  <pic:blipFill>
                    <a:blip r:embed="rId51"/>
                    <a:stretch>
                      <a:fillRect/>
                    </a:stretch>
                  </pic:blipFill>
                  <pic:spPr bwMode="auto">
                    <a:xfrm>
                      <a:off x="0" y="0"/>
                      <a:ext cx="5094514" cy="2248186"/>
                    </a:xfrm>
                    <a:prstGeom prst="rect">
                      <a:avLst/>
                    </a:prstGeom>
                    <a:noFill/>
                    <a:ln w="9525">
                      <a:noFill/>
                      <a:headEnd/>
                      <a:tailEnd/>
                    </a:ln>
                  </pic:spPr>
                </pic:pic>
              </a:graphicData>
            </a:graphic>
          </wp:inline>
        </w:drawing>
      </w:r>
      <w:bookmarkEnd w:id="52"/>
    </w:p>
    <w:p>
      <w:pPr>
        <w:pStyle w:val="ImageCaption"/>
      </w:pPr>
      <w:r>
        <w:t xml:space="preserve">Figure 5: Geographic distance vs. genetic distance. Statistical results come from a mantel test at α &lt;= 0.05.</w:t>
      </w:r>
    </w:p>
    <w:bookmarkEnd w:id="0"/>
    <w:p>
      <w:pPr>
        <w:pStyle w:val="BodyText"/>
      </w:pPr>
      <w:r>
        <w:rPr>
          <w:i/>
        </w:rPr>
        <w:t xml:space="preserve">Y. pestis</w:t>
      </w:r>
      <w:r>
        <w:t xml:space="preserve"> </w:t>
      </w:r>
      <w:r>
        <w:t xml:space="preserve">is very similar to its parent species</w:t>
      </w:r>
      <w:r>
        <w:t xml:space="preserve"> </w:t>
      </w:r>
      <w:r>
        <w:rPr>
          <w:i/>
        </w:rPr>
        <w:t xml:space="preserve">Y. pseudotuberculosis</w:t>
      </w:r>
      <w:r>
        <w:t xml:space="preserve"> </w:t>
      </w:r>
      <w:r>
        <w:t xml:space="preserve">when it comes to cryptic geographic structure. In particular, outbreak strains of</w:t>
      </w:r>
      <w:r>
        <w:t xml:space="preserve"> </w:t>
      </w:r>
      <w:r>
        <w:rPr>
          <w:i/>
        </w:rPr>
        <w:t xml:space="preserve">Y. pseudotuberculosis</w:t>
      </w:r>
      <w:r>
        <w:t xml:space="preserve"> </w:t>
      </w:r>
      <w:r>
        <w:t xml:space="preserve">cannot be clustered geographically, with non-outbreak lineages showing only slightly more geographic signal</w:t>
      </w:r>
      <w:r>
        <w:t xml:space="preserve"> </w:t>
      </w:r>
      <w:r>
        <w:t xml:space="preserve">[</w:t>
      </w:r>
      <w:hyperlink w:anchor="ref-MDriN15G">
        <w:r>
          <w:rPr>
            <w:rStyle w:val="Hyperlink"/>
          </w:rPr>
          <w:t xml:space="preserve">36</w:t>
        </w:r>
      </w:hyperlink>
      <w:r>
        <w:t xml:space="preserve">]</w:t>
      </w:r>
      <w:r>
        <w:t xml:space="preserve">. The patterning observed in Figure</w:t>
      </w:r>
      <w:r>
        <w:t xml:space="preserve"> </w:t>
      </w:r>
      <w:hyperlink w:anchor="fig:map_all_branch-major">
        <w:r>
          <w:rPr>
            <w:rStyle w:val="Hyperlink"/>
          </w:rPr>
          <w:t xml:space="preserve">4</w:t>
        </w:r>
      </w:hyperlink>
      <w:r>
        <w:t xml:space="preserve"> </w:t>
      </w:r>
      <w:r>
        <w:t xml:space="preserve">and</w:t>
      </w:r>
      <w:r>
        <w:t xml:space="preserve"> </w:t>
      </w:r>
      <w:hyperlink w:anchor="fig:mantel_all_branch-major">
        <w:r>
          <w:rPr>
            <w:rStyle w:val="Hyperlink"/>
          </w:rPr>
          <w:t xml:space="preserve">5</w:t>
        </w:r>
      </w:hyperlink>
      <w:r>
        <w:t xml:space="preserve"> </w:t>
      </w:r>
      <w:r>
        <w:t xml:space="preserve">likely reflects the complex ecology of plague which cycles between endemic reservoirs and epidemic periods.</w:t>
      </w:r>
    </w:p>
    <w:p>
      <w:pPr>
        <w:pStyle w:val="BlockText"/>
      </w:pPr>
      <w:r>
        <w:rPr>
          <w:b/>
        </w:rPr>
        <w:t xml:space="preserve">Kat’s Notes</w:t>
      </w:r>
      <w:r>
        <w:t xml:space="preserve">:</w:t>
      </w:r>
      <w:r>
        <w:t xml:space="preserve"> </w:t>
      </w:r>
      <w:r>
        <w:t xml:space="preserve">- I am struggling with the transition and organization here.</w:t>
      </w:r>
    </w:p>
    <w:p>
      <w:pPr>
        <w:pStyle w:val="FirstParagraph"/>
      </w:pPr>
      <w:r>
        <w:t xml:space="preserve">The challenge of categorizing plague by metabolism is, unsurprisingly, also an obstacle when analyzing extinct lineages. Ancient DNA (aDNA) researchers have opted to either extrapolate an existing biovar designation</w:t>
      </w:r>
      <w:r>
        <w:t xml:space="preserve"> </w:t>
      </w:r>
      <w:r>
        <w:t xml:space="preserve">[</w:t>
      </w:r>
      <w:hyperlink w:anchor="ref-ACt53Sow">
        <w:r>
          <w:rPr>
            <w:rStyle w:val="Hyperlink"/>
          </w:rPr>
          <w:t xml:space="preserve">18</w:t>
        </w:r>
      </w:hyperlink>
      <w:r>
        <w:t xml:space="preserve">]</w:t>
      </w:r>
      <w:r>
        <w:t xml:space="preserve"> </w:t>
      </w:r>
      <w:r>
        <w:t xml:space="preserve">or create a new one</w:t>
      </w:r>
      <w:r>
        <w:t xml:space="preserve"> </w:t>
      </w:r>
      <w:r>
        <w:t xml:space="preserve">[</w:t>
      </w:r>
      <w:hyperlink w:anchor="ref-ZvyYZ3sx">
        <w:r>
          <w:rPr>
            <w:rStyle w:val="Hyperlink"/>
          </w:rPr>
          <w:t xml:space="preserve">9</w:t>
        </w:r>
      </w:hyperlink>
      <w:r>
        <w:t xml:space="preserve">]</w:t>
      </w:r>
      <w:r>
        <w:t xml:space="preserve">. However, it is more common in aDNA studies to define population structure by time period and associations with historically documented pandemics. The known genetic diversity of</w:t>
      </w:r>
      <w:r>
        <w:t xml:space="preserve"> </w:t>
      </w:r>
      <w:r>
        <w:rPr>
          <w:i/>
        </w:rPr>
        <w:t xml:space="preserve">Y. pestis</w:t>
      </w:r>
      <w:r>
        <w:t xml:space="preserve"> </w:t>
      </w:r>
      <w:r>
        <w:t xml:space="preserve">thus far has been broadly grouped into four time periods and three pandemics (Figure</w:t>
      </w:r>
      <w:r>
        <w:t xml:space="preserve"> </w:t>
      </w:r>
      <w:hyperlink w:anchor="fig:timeline">
        <w:r>
          <w:rPr>
            <w:rStyle w:val="Hyperlink"/>
          </w:rPr>
          <w:t xml:space="preserve">6</w:t>
        </w:r>
      </w:hyperlink>
      <w:r>
        <w:t xml:space="preserve">).</w:t>
      </w:r>
    </w:p>
    <w:bookmarkStart w:id="0" w:name="fig:timeline"/>
    <w:p>
      <w:pPr>
        <w:pStyle w:val="CaptionedFigure"/>
      </w:pPr>
      <w:bookmarkStart w:id="54" w:name="fig:timeline"/>
      <w:r>
        <w:drawing>
          <wp:inline>
            <wp:extent cx="5513900" cy="1455248"/>
            <wp:effectExtent b="0" l="0" r="0" t="0"/>
            <wp:docPr descr="Figure 6: The temporal distribution of Y. pestis genomes." title="" id="1" name="Picture"/>
            <a:graphic>
              <a:graphicData uri="http://schemas.openxmlformats.org/drawingml/2006/picture">
                <pic:pic>
                  <pic:nvPicPr>
                    <pic:cNvPr descr="https://rawcdn.githack.com/ktmeaton/plague-phylogeography-projects/cd898b3/main/iqtree/all/chromosome/full/filter5/filter-taxa/timeline_all.png" id="0" name="Picture"/>
                    <pic:cNvPicPr>
                      <a:picLocks noChangeArrowheads="1" noChangeAspect="1"/>
                    </pic:cNvPicPr>
                  </pic:nvPicPr>
                  <pic:blipFill>
                    <a:blip r:embed="rId53"/>
                    <a:stretch>
                      <a:fillRect/>
                    </a:stretch>
                  </pic:blipFill>
                  <pic:spPr bwMode="auto">
                    <a:xfrm>
                      <a:off x="0" y="0"/>
                      <a:ext cx="5513900" cy="1455248"/>
                    </a:xfrm>
                    <a:prstGeom prst="rect">
                      <a:avLst/>
                    </a:prstGeom>
                    <a:noFill/>
                    <a:ln w="9525">
                      <a:noFill/>
                      <a:headEnd/>
                      <a:tailEnd/>
                    </a:ln>
                  </pic:spPr>
                </pic:pic>
              </a:graphicData>
            </a:graphic>
          </wp:inline>
        </w:drawing>
      </w:r>
      <w:bookmarkEnd w:id="54"/>
    </w:p>
    <w:p>
      <w:pPr>
        <w:pStyle w:val="ImageCaption"/>
      </w:pPr>
      <w:r>
        <w:t xml:space="preserve">Figure 6: The temporal distribution of</w:t>
      </w:r>
      <w:r>
        <w:t xml:space="preserve"> </w:t>
      </w:r>
      <w:r>
        <w:rPr>
          <w:i/>
        </w:rPr>
        <w:t xml:space="preserve">Y. pestis</w:t>
      </w:r>
      <w:r>
        <w:t xml:space="preserve"> </w:t>
      </w:r>
      <w:r>
        <w:t xml:space="preserve">genomes.</w:t>
      </w:r>
    </w:p>
    <w:bookmarkEnd w:id="0"/>
    <w:p>
      <w:pPr>
        <w:pStyle w:val="BodyText"/>
      </w:pPr>
      <w:r>
        <w:t xml:space="preserve">The First Pandemic (6th - 8th century CE) began with the Plague of Justinian and proceeded to devastate the Byzantine Empire of the Mediterranean world</w:t>
      </w:r>
      <w:r>
        <w:t xml:space="preserve"> </w:t>
      </w:r>
      <w:r>
        <w:t xml:space="preserve">[</w:t>
      </w:r>
      <w:r>
        <w:rPr>
          <w:b/>
        </w:rPr>
        <w:t xml:space="preserve">???</w:t>
      </w:r>
      <w:r>
        <w:t xml:space="preserve">]</w:t>
      </w:r>
      <w:r>
        <w:t xml:space="preserve">. The Late Antiquity clade found within</w:t>
      </w:r>
      <w:r>
        <w:t xml:space="preserve"> </w:t>
      </w:r>
      <w:r>
        <w:rPr>
          <w:rStyle w:val="VerbatimChar"/>
        </w:rPr>
        <w:t xml:space="preserve">Branch 0</w:t>
      </w:r>
      <w:r>
        <w:t xml:space="preserve"> </w:t>
      </w:r>
      <w:r>
        <w:t xml:space="preserve">(</w:t>
      </w:r>
      <w:r>
        <w:rPr>
          <w:rStyle w:val="VerbatimChar"/>
        </w:rPr>
        <w:t xml:space="preserve">0.ANT4</w:t>
      </w:r>
      <w:r>
        <w:t xml:space="preserve">) is associated with this pandemic given spatiotemporal overlap of the skeletal remains from which this lineage was retrieved</w:t>
      </w:r>
      <w:r>
        <w:t xml:space="preserve"> </w:t>
      </w:r>
      <w:r>
        <w:t xml:space="preserve">[</w:t>
      </w:r>
      <w:hyperlink w:anchor="ref-ACt53Sow">
        <w:r>
          <w:rPr>
            <w:rStyle w:val="Hyperlink"/>
          </w:rPr>
          <w:t xml:space="preserve">18</w:t>
        </w:r>
      </w:hyperlink>
      <w:r>
        <w:t xml:space="preserve">,</w:t>
      </w:r>
      <w:hyperlink w:anchor="ref-19LMpiGZs">
        <w:r>
          <w:rPr>
            <w:rStyle w:val="Hyperlink"/>
          </w:rPr>
          <w:t xml:space="preserve">37</w:t>
        </w:r>
      </w:hyperlink>
      <w:r>
        <w:t xml:space="preserve">]</w:t>
      </w:r>
      <w:r>
        <w:t xml:space="preserve">. Similarly, the medieval clade</w:t>
      </w:r>
      <w:r>
        <w:t xml:space="preserve"> </w:t>
      </w:r>
      <w:r>
        <w:rPr>
          <w:rStyle w:val="VerbatimChar"/>
        </w:rPr>
        <w:t xml:space="preserve">1.PRE</w:t>
      </w:r>
      <w:r>
        <w:t xml:space="preserve"> </w:t>
      </w:r>
      <w:r>
        <w:t xml:space="preserve">from</w:t>
      </w:r>
      <w:r>
        <w:t xml:space="preserve"> </w:t>
      </w:r>
      <w:r>
        <w:rPr>
          <w:rStyle w:val="VerbatimChar"/>
        </w:rPr>
        <w:t xml:space="preserve">Branch 1</w:t>
      </w:r>
      <w:r>
        <w:t xml:space="preserve"> </w:t>
      </w:r>
      <w:r>
        <w:t xml:space="preserve">is thought to derive from the Second Pandemic of Plague. This well-documented pandemic began with the infamous Black Death and swept across most of Eurasia from the 14th to 19th centuries</w:t>
      </w:r>
      <w:r>
        <w:t xml:space="preserve"> </w:t>
      </w:r>
      <w:r>
        <w:t xml:space="preserve">[</w:t>
      </w:r>
      <w:r>
        <w:rPr>
          <w:b/>
        </w:rPr>
        <w:t xml:space="preserve">???</w:t>
      </w:r>
      <w:r>
        <w:t xml:space="preserve">]</w:t>
      </w:r>
      <w:r>
        <w:t xml:space="preserve">. 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w:t>
      </w:r>
      <w:r>
        <w:t xml:space="preserve"> </w:t>
      </w:r>
      <w:r>
        <w:t xml:space="preserve">[</w:t>
      </w:r>
      <w:r>
        <w:rPr>
          <w:b/>
        </w:rPr>
        <w:t xml:space="preserve">???</w:t>
      </w:r>
      <w:r>
        <w:t xml:space="preserve">]</w:t>
      </w:r>
      <w:r>
        <w:t xml:space="preserve">, this lineage continues to re-emerge to cause localized epidemics such as the 2010 plague in Peru</w:t>
      </w:r>
      <w:r>
        <w:t xml:space="preserve"> </w:t>
      </w:r>
      <w:r>
        <w:t xml:space="preserve">[</w:t>
      </w:r>
      <w:r>
        <w:rPr>
          <w:b/>
        </w:rPr>
        <w:t xml:space="preserve">???</w:t>
      </w:r>
      <w:r>
        <w:t xml:space="preserve">]</w:t>
      </w:r>
      <w:r>
        <w:t xml:space="preserve"> </w:t>
      </w:r>
      <w:r>
        <w:t xml:space="preserve">and the Madagascar Outbreaks of 2017</w:t>
      </w:r>
      <w:r>
        <w:t xml:space="preserve"> </w:t>
      </w:r>
      <w:r>
        <w:t xml:space="preserve">[</w:t>
      </w:r>
      <w:r>
        <w:rPr>
          <w:b/>
        </w:rPr>
        <w:t xml:space="preserve">???</w:t>
      </w:r>
      <w:r>
        <w:t xml:space="preserve">]</w:t>
      </w:r>
      <w:r>
        <w:t xml:space="preserve">.</w:t>
      </w:r>
    </w:p>
    <w:p>
      <w:pPr>
        <w:pStyle w:val="BodyText"/>
      </w:pPr>
      <w:r>
        <w:t xml:space="preserve">While the pandemic clade nomenclature provides an excellent foundation for historical discussion, there are several problems with this system. First is the growing awareness of the spatiotemporal overlap of the Second and the Third Pandemic</w:t>
      </w:r>
      <w:r>
        <w:t xml:space="preserve"> </w:t>
      </w:r>
      <w:r>
        <w:t xml:space="preserve">[</w:t>
      </w:r>
      <w:r>
        <w:rPr>
          <w:b/>
        </w:rPr>
        <w:t xml:space="preserve">???</w:t>
      </w:r>
      <w:r>
        <w:t xml:space="preserve">]</w:t>
      </w:r>
      <w:r>
        <w:t xml:space="preserve">.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w:t>
      </w:r>
      <w:r>
        <w:t xml:space="preserve"> </w:t>
      </w:r>
      <w:r>
        <w:t xml:space="preserve">[</w:t>
      </w:r>
      <w:r>
        <w:rPr>
          <w:b/>
        </w:rPr>
        <w:t xml:space="preserve">???</w:t>
      </w:r>
      <w:r>
        <w:t xml:space="preserve">]</w:t>
      </w:r>
      <w:r>
        <w:t xml:space="preserve">. The Second Pandemic is now known to have extended into the 19th Century in parts of the Ottoman Empire, with the latest epidemics dating to 1819</w:t>
      </w:r>
      <w:r>
        <w:t xml:space="preserve"> </w:t>
      </w:r>
      <w:r>
        <w:t xml:space="preserve">[</w:t>
      </w:r>
      <w:r>
        <w:rPr>
          <w:b/>
        </w:rPr>
        <w:t xml:space="preserve">???</w:t>
      </w:r>
      <w:r>
        <w:t xml:space="preserve">]</w:t>
      </w:r>
      <w:r>
        <w:t xml:space="preserve">. Similarly, the Third Pandemic is now hypothesized to have began as early as 1772 in southern China</w:t>
      </w:r>
      <w:r>
        <w:t xml:space="preserve"> </w:t>
      </w:r>
      <w:r>
        <w:t xml:space="preserve">[</w:t>
      </w:r>
      <w:hyperlink w:anchor="ref-RWkOSyzX">
        <w:r>
          <w:rPr>
            <w:rStyle w:val="Hyperlink"/>
          </w:rPr>
          <w:t xml:space="preserve">38</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historical pandemics.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at least the Caucasus, to India, and to eastern China (Figure</w:t>
      </w:r>
      <w:r>
        <w:t xml:space="preserve"> </w:t>
      </w:r>
      <w:hyperlink w:anchor="fig:map_branch2">
        <w:r>
          <w:rPr>
            <w:rStyle w:val="Hyperlink"/>
          </w:rPr>
          <w:t xml:space="preserve">7</w:t>
        </w:r>
      </w:hyperlink>
      <w:r>
        <w:t xml:space="preserve">). Furthermore, lineages of</w:t>
      </w:r>
      <w:r>
        <w:t xml:space="preserve"> </w:t>
      </w:r>
      <w:r>
        <w:rPr>
          <w:rStyle w:val="VerbatimChar"/>
        </w:rPr>
        <w:t xml:space="preserve">Branch 2</w:t>
      </w:r>
      <w:r>
        <w:t xml:space="preserve"> </w:t>
      </w:r>
      <w:r>
        <w:t xml:space="preserve">have been associated with high mortality epidemics</w:t>
      </w:r>
      <w:r>
        <w:t xml:space="preserve"> </w:t>
      </w:r>
      <w:r>
        <w:t xml:space="preserve">[</w:t>
      </w:r>
      <w:hyperlink w:anchor="ref-3aFEkVra">
        <w:r>
          <w:rPr>
            <w:rStyle w:val="Hyperlink"/>
          </w:rPr>
          <w:t xml:space="preserve">39</w:t>
        </w:r>
      </w:hyperlink>
      <w:r>
        <w:t xml:space="preserve">]</w:t>
      </w:r>
      <w:r>
        <w:t xml:space="preserve"> </w:t>
      </w:r>
      <w:r>
        <w:t xml:space="preserve">and were observed to have the highest spread velocity of any</w:t>
      </w:r>
      <w:r>
        <w:t xml:space="preserve"> </w:t>
      </w:r>
      <w:r>
        <w:rPr>
          <w:i/>
        </w:rPr>
        <w:t xml:space="preserve">Y. pestis</w:t>
      </w:r>
      <w:r>
        <w:t xml:space="preserve"> </w:t>
      </w:r>
      <w:r>
        <w:t xml:space="preserve">clade</w:t>
      </w:r>
      <w:r>
        <w:t xml:space="preserve"> </w:t>
      </w:r>
      <w:r>
        <w:t xml:space="preserve">[</w:t>
      </w:r>
      <w:hyperlink w:anchor="ref-RWkOSyzX">
        <w:r>
          <w:rPr>
            <w:rStyle w:val="Hyperlink"/>
          </w:rPr>
          <w:t xml:space="preserve">38</w:t>
        </w:r>
      </w:hyperlink>
      <w:r>
        <w:t xml:space="preserve">]</w:t>
      </w:r>
      <w:r>
        <w:t xml:space="preserve"> </w:t>
      </w:r>
      <w:r>
        <w:t xml:space="preserve">As historical plague scholarship extends beyond the bounds of Western Europe, it will be important to consider the role these lineages played, and adjust nomenclature accordingly.</w:t>
      </w:r>
    </w:p>
    <w:bookmarkStart w:id="0" w:name="fig:map_branch2"/>
    <w:p>
      <w:pPr>
        <w:pStyle w:val="CaptionedFigure"/>
      </w:pPr>
      <w:bookmarkStart w:id="56" w:name="fig:map_branch2"/>
      <w:r>
        <w:drawing>
          <wp:inline>
            <wp:extent cx="5943600" cy="3499761"/>
            <wp:effectExtent b="0" l="0" r="0" t="0"/>
            <wp:docPr descr="Figure 7: The geographic distribution of Y. pestis Branch 2. (PLACEHOLDER)"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5"/>
                    <a:stretch>
                      <a:fillRect/>
                    </a:stretch>
                  </pic:blipFill>
                  <pic:spPr bwMode="auto">
                    <a:xfrm>
                      <a:off x="0" y="0"/>
                      <a:ext cx="5943600" cy="3499761"/>
                    </a:xfrm>
                    <a:prstGeom prst="rect">
                      <a:avLst/>
                    </a:prstGeom>
                    <a:noFill/>
                    <a:ln w="9525">
                      <a:noFill/>
                      <a:headEnd/>
                      <a:tailEnd/>
                    </a:ln>
                  </pic:spPr>
                </pic:pic>
              </a:graphicData>
            </a:graphic>
          </wp:inline>
        </w:drawing>
      </w:r>
      <w:bookmarkEnd w:id="56"/>
    </w:p>
    <w:p>
      <w:pPr>
        <w:pStyle w:val="ImageCaption"/>
      </w:pPr>
      <w:r>
        <w:t xml:space="preserve">Figure 7: The geographic distribution of</w:t>
      </w:r>
      <w:r>
        <w:t xml:space="preserve"> </w:t>
      </w:r>
      <w:r>
        <w:rPr>
          <w:i/>
        </w:rPr>
        <w:t xml:space="preserve">Y. pestis</w:t>
      </w:r>
      <w:r>
        <w:t xml:space="preserve"> </w:t>
      </w:r>
      <w:r>
        <w:rPr>
          <w:rStyle w:val="VerbatimChar"/>
        </w:rPr>
        <w:t xml:space="preserve">Branch 2</w:t>
      </w:r>
      <w:r>
        <w:t xml:space="preserve">. (PLACEHOLDER)</w:t>
      </w:r>
    </w:p>
    <w:bookmarkEnd w:id="0"/>
    <w:p>
      <w:pPr>
        <w:pStyle w:val="BlockText"/>
      </w:pPr>
      <w:r>
        <w:rPr>
          <w:b/>
        </w:rPr>
        <w:t xml:space="preserve">Kat’s Notes</w:t>
      </w:r>
      <w:r>
        <w:t xml:space="preserve">:</w:t>
      </w:r>
      <w:r>
        <w:t xml:space="preserve"> </w:t>
      </w:r>
      <w:r>
        <w:t xml:space="preserve">- Where is the best place to discuss sampling bias?</w:t>
      </w:r>
    </w:p>
    <w:p>
      <w:pPr>
        <w:pStyle w:val="FirstParagraph"/>
      </w:pPr>
      <w:r>
        <w:t xml:space="preserve">A significant caveat to interpreting the population structure of</w:t>
      </w:r>
      <w:r>
        <w:t xml:space="preserve"> </w:t>
      </w:r>
      <w:r>
        <w:rPr>
          <w:i/>
        </w:rPr>
        <w:t xml:space="preserve">Y. pestis</w:t>
      </w:r>
      <w:r>
        <w:t xml:space="preserve"> </w:t>
      </w:r>
      <w:r>
        <w:t xml:space="preserve">from genomic sources is sampling bias. The geographic sampling strategy of</w:t>
      </w:r>
      <w:r>
        <w:t xml:space="preserve"> </w:t>
      </w:r>
      <w:r>
        <w:rPr>
          <w:i/>
        </w:rPr>
        <w:t xml:space="preserve">Y. pestis</w:t>
      </w:r>
      <w:r>
        <w:t xml:space="preserve"> </w:t>
      </w:r>
      <w:r>
        <w:t xml:space="preserve">genomes (Figure</w:t>
      </w:r>
      <w:r>
        <w:t xml:space="preserve"> </w:t>
      </w:r>
      <w:hyperlink w:anchor="fig:map_all_branch-major">
        <w:r>
          <w:rPr>
            <w:rStyle w:val="Hyperlink"/>
          </w:rPr>
          <w:t xml:space="preserve">4</w:t>
        </w:r>
      </w:hyperlink>
      <w:r>
        <w:t xml:space="preserve">) does not reflect the known distribution of modern plague</w:t>
      </w:r>
      <w:r>
        <w:t xml:space="preserve"> </w:t>
      </w:r>
      <w:r>
        <w:t xml:space="preserve">[</w:t>
      </w:r>
      <w:hyperlink w:anchor="ref-pjjiQi2H">
        <w:r>
          <w:rPr>
            <w:rStyle w:val="Hyperlink"/>
          </w:rPr>
          <w:t xml:space="preserve">40</w:t>
        </w:r>
      </w:hyperlink>
      <w:r>
        <w:t xml:space="preserve">]</w:t>
      </w:r>
      <w:r>
        <w:t xml:space="preserve">. The over-sampling of East Asia has been previously described</w:t>
      </w:r>
      <w:r>
        <w:t xml:space="preserve"> </w:t>
      </w:r>
      <w:r>
        <w:t xml:space="preserve">[</w:t>
      </w:r>
      <w:hyperlink w:anchor="ref-39QXTupk">
        <w:r>
          <w:rPr>
            <w:rStyle w:val="Hyperlink"/>
          </w:rPr>
          <w:t xml:space="preserve">41</w:t>
        </w:r>
      </w:hyperlink>
      <w:r>
        <w:t xml:space="preserve">]</w:t>
      </w:r>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17</w:t>
        </w:r>
      </w:hyperlink>
      <w:r>
        <w:t xml:space="preserve">,</w:t>
      </w:r>
      <w:hyperlink w:anchor="ref-Y4CIJOZW">
        <w:r>
          <w:rPr>
            <w:rStyle w:val="Hyperlink"/>
          </w:rPr>
          <w:t xml:space="preserve">42</w:t>
        </w:r>
      </w:hyperlink>
      <w:r>
        <w:t xml:space="preserve">]</w:t>
      </w:r>
      <w:r>
        <w:t xml:space="preserve">. This once established theory is now in contention, as the most basal strains of</w:t>
      </w:r>
      <w:r>
        <w:t xml:space="preserve"> </w:t>
      </w:r>
      <w:r>
        <w:rPr>
          <w:i/>
        </w:rPr>
        <w:t xml:space="preserve">Y. pestis</w:t>
      </w:r>
      <w:r>
        <w:t xml:space="preserve">,</w:t>
      </w:r>
      <w:r>
        <w:t xml:space="preserve"> </w:t>
      </w:r>
      <w:r>
        <w:rPr>
          <w:rStyle w:val="VerbatimChar"/>
        </w:rPr>
        <w:t xml:space="preserve">0.PRE</w:t>
      </w:r>
      <w:r>
        <w:t xml:space="preserve"> </w:t>
      </w:r>
      <w:r>
        <w:t xml:space="preserve">and</w:t>
      </w:r>
      <w:r>
        <w:t xml:space="preserve"> </w:t>
      </w:r>
      <w:r>
        <w:rPr>
          <w:rStyle w:val="VerbatimChar"/>
        </w:rPr>
        <w:t xml:space="preserve">0.PE</w:t>
      </w:r>
      <w:r>
        <w:t xml:space="preserve">, have been isolated from all across Eurasia.</w:t>
      </w:r>
    </w:p>
    <w:p>
      <w:pPr>
        <w:pStyle w:val="BlockText"/>
      </w:pPr>
      <w:r>
        <w:rPr>
          <w:b/>
        </w:rPr>
        <w:t xml:space="preserve">Kat’s Notes</w:t>
      </w:r>
      <w:r>
        <w:t xml:space="preserve">:</w:t>
      </w:r>
      <w:r>
        <w:t xml:space="preserve"> </w:t>
      </w:r>
      <w:r>
        <w:t xml:space="preserve">- This section lacks an explicit conclusion.</w:t>
      </w:r>
    </w:p>
    <w:p>
      <w:pPr>
        <w:pStyle w:val="Heading3"/>
      </w:pPr>
      <w:bookmarkStart w:id="57" w:name="phylodynamics-1"/>
      <w:r>
        <w:t xml:space="preserve">Phylodynamics</w:t>
      </w:r>
      <w:bookmarkEnd w:id="57"/>
    </w:p>
    <w:p>
      <w:pPr>
        <w:pStyle w:val="Heading4"/>
      </w:pPr>
      <w:bookmarkStart w:id="58" w:name="temporal-signal"/>
      <w:r>
        <w:t xml:space="preserve">Temporal Signal</w:t>
      </w:r>
      <w:bookmarkEnd w:id="58"/>
    </w:p>
    <w:p>
      <w:pPr>
        <w:pStyle w:val="FirstParagraph"/>
      </w:pPr>
      <w:r>
        <w:t xml:space="preserve">Previous work has documented substantial rate variation both between and within clades of</w:t>
      </w:r>
      <w:r>
        <w:t xml:space="preserve"> </w:t>
      </w:r>
      <w:r>
        <w:rPr>
          <w:i/>
        </w:rPr>
        <w:t xml:space="preserve">Y. pestis</w:t>
      </w:r>
      <w:r>
        <w:t xml:space="preserve"> </w:t>
      </w:r>
      <w:r>
        <w:t xml:space="preserve">[</w:t>
      </w:r>
      <w:hyperlink w:anchor="ref-ONhNS9aO">
        <w:r>
          <w:rPr>
            <w:rStyle w:val="Hyperlink"/>
          </w:rPr>
          <w:t xml:space="preserve">17</w:t>
        </w:r>
      </w:hyperlink>
      <w:r>
        <w:t xml:space="preserve">,</w:t>
      </w:r>
      <w:hyperlink w:anchor="ref-1CPIgshmC">
        <w:r>
          <w:rPr>
            <w:rStyle w:val="Hyperlink"/>
          </w:rPr>
          <w:t xml:space="preserve">19</w:t>
        </w:r>
      </w:hyperlink>
      <w:r>
        <w:t xml:space="preserve">]</w:t>
      </w:r>
      <w:r>
        <w:t xml:space="preserve">. A root-to-tip regression on sampling date for the</w:t>
      </w:r>
      <w:r>
        <w:t xml:space="preserve"> </w:t>
      </w:r>
      <w:r>
        <w:rPr>
          <w:i/>
        </w:rPr>
        <w:t xml:space="preserve">full</w:t>
      </w:r>
      <w:r>
        <w:t xml:space="preserve"> </w:t>
      </w:r>
      <w:r>
        <w:t xml:space="preserve">dataset (N=601) reproduces this finding as the coefficient of determination (R</w:t>
      </w:r>
      <w:r>
        <w:t xml:space="preserve">2</w:t>
      </w:r>
      <w:r>
        <w:t xml:space="preserve">) is extremely low at 0.09 (Figure</w:t>
      </w:r>
      <w:r>
        <w:t xml:space="preserve"> </w:t>
      </w:r>
      <w:hyperlink w:anchor="fig:rtt_all_branch-major">
        <w:r>
          <w:rPr>
            <w:rStyle w:val="Hyperlink"/>
          </w:rPr>
          <w:t xml:space="preserve">8</w:t>
        </w:r>
      </w:hyperlink>
      <w:r>
        <w:t xml:space="preserve">). A Bayesian Evaluation of Temporal Signal (BETS) also indicates poor support for a strict clock as the coefficient of variation was consistently estimated to be greater than 1. Taken together, the root-to-tip regression and BETS analysis suggest that alternative clock models, such as the uncorrelated relaxed log normal (UCLN) model, should be preferred when accounting for the high degree of rate variation.</w:t>
      </w:r>
    </w:p>
    <w:bookmarkStart w:id="0" w:name="fig:rtt_all_branch-major"/>
    <w:p>
      <w:pPr>
        <w:pStyle w:val="CaptionedFigure"/>
      </w:pPr>
      <w:bookmarkStart w:id="60" w:name="fig:rtt_all_branch-major"/>
      <w:r>
        <w:drawing>
          <wp:inline>
            <wp:extent cx="3655308" cy="1785257"/>
            <wp:effectExtent b="0" l="0" r="0" t="0"/>
            <wp:docPr descr="Figure 8: Root-to-tip regression. The solid line represents the linear model for the entire dataset. The dashed lines present linear models for clades with significant p values." title="" id="1" name="Picture"/>
            <a:graphic>
              <a:graphicData uri="http://schemas.openxmlformats.org/drawingml/2006/picture">
                <pic:pic>
                  <pic:nvPicPr>
                    <pic:cNvPr descr="https://raw.githubusercontent.com/ktmeaton/plague-phylogeography-projects/cd898b3/main/iqtree/all/chromosome/full/filter5/filter-taxa/rtt_all_branch_major.png" id="0" name="Picture"/>
                    <pic:cNvPicPr>
                      <a:picLocks noChangeArrowheads="1" noChangeAspect="1"/>
                    </pic:cNvPicPr>
                  </pic:nvPicPr>
                  <pic:blipFill>
                    <a:blip r:embed="rId59"/>
                    <a:stretch>
                      <a:fillRect/>
                    </a:stretch>
                  </pic:blipFill>
                  <pic:spPr bwMode="auto">
                    <a:xfrm>
                      <a:off x="0" y="0"/>
                      <a:ext cx="3655308" cy="1785257"/>
                    </a:xfrm>
                    <a:prstGeom prst="rect">
                      <a:avLst/>
                    </a:prstGeom>
                    <a:noFill/>
                    <a:ln w="9525">
                      <a:noFill/>
                      <a:headEnd/>
                      <a:tailEnd/>
                    </a:ln>
                  </pic:spPr>
                </pic:pic>
              </a:graphicData>
            </a:graphic>
          </wp:inline>
        </w:drawing>
      </w:r>
      <w:bookmarkEnd w:id="60"/>
    </w:p>
    <w:p>
      <w:pPr>
        <w:pStyle w:val="ImageCaption"/>
      </w:pPr>
      <w:r>
        <w:t xml:space="preserve">Figure 8: Root-to-tip regression. The solid line represents the linear model for the entire dataset. The dashed lines present linear models for clades with significant p values.</w:t>
      </w:r>
    </w:p>
    <w:bookmarkEnd w:id="0"/>
    <w:p>
      <w:pPr>
        <w:pStyle w:val="BodyText"/>
      </w:pPr>
      <w:r>
        <w:t xml:space="preserve">However, the BETS analysis exhibited poor sampling of the relaxed clock model parameters, even when using a fixed topology (Figure</w:t>
      </w:r>
      <w:r>
        <w:t xml:space="preserve"> </w:t>
      </w:r>
      <w:hyperlink w:anchor="fig:mean_rate_trace_kde">
        <w:r>
          <w:rPr>
            <w:rStyle w:val="Hyperlink"/>
          </w:rPr>
          <w:t xml:space="preserve">9</w:t>
        </w:r>
      </w:hyperlink>
      <w:r>
        <w:t xml:space="preserve">). This suggests there may be too much rate variation to confidently estimate key parameters such as the mean substitution rate and the time to the most recent common ancestor (tMRCA). This observation is consistent with previous analyses</w:t>
      </w:r>
      <w:r>
        <w:t xml:space="preserve"> </w:t>
      </w:r>
      <w:r>
        <w:t xml:space="preserve">[</w:t>
      </w:r>
      <w:hyperlink w:anchor="ref-ACt53Sow">
        <w:r>
          <w:rPr>
            <w:rStyle w:val="Hyperlink"/>
          </w:rPr>
          <w:t xml:space="preserve">18</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However, other studies have suggested data composition is a strong determinant of temporal signal</w:t>
      </w:r>
      <w:r>
        <w:t xml:space="preserve"> </w:t>
      </w:r>
      <w:hyperlink w:anchor="ref-1cTipQcd">
        <w:r>
          <w:rPr>
            <w:rStyle w:val="Hyperlink"/>
          </w:rPr>
          <w:t xml:space="preserve">20</w:t>
        </w:r>
      </w:hyperlink>
      <w:r>
        <w:t xml:space="preserve"> </w:t>
      </w:r>
      <w:r>
        <w:t xml:space="preserve">and thus we investigated alternative approaches.</w:t>
      </w:r>
    </w:p>
    <w:bookmarkStart w:id="0" w:name="fig:mean_rate_trace_kde"/>
    <w:p>
      <w:pPr>
        <w:pStyle w:val="CaptionedFigure"/>
      </w:pPr>
      <w:bookmarkStart w:id="62" w:name="fig:mean_rate_trace_kde"/>
      <w:r>
        <w:drawing>
          <wp:inline>
            <wp:extent cx="5943600" cy="2268474"/>
            <wp:effectExtent b="0" l="0" r="0" t="0"/>
            <wp:docPr descr="Figure 9: MCMC parameter estimation of the mean substitution rate for the reduced dataset (N=191). Left: Poor mixing of the MCMC Chain, Right: The resulting multimodal estimate of the rate." title="" id="1" name="Picture"/>
            <a:graphic>
              <a:graphicData uri="http://schemas.openxmlformats.org/drawingml/2006/picture">
                <pic:pic>
                  <pic:nvPicPr>
                    <pic:cNvPr descr="https://raw.githubusercontent.com/ktmeaton/plague-phylogeography-projects/c12ba4b/main/beast/all/chromosome/prune/filter5/mean_rate_trace_kde.png" id="0" name="Picture"/>
                    <pic:cNvPicPr>
                      <a:picLocks noChangeArrowheads="1" noChangeAspect="1"/>
                    </pic:cNvPicPr>
                  </pic:nvPicPr>
                  <pic:blipFill>
                    <a:blip r:embed="rId61"/>
                    <a:stretch>
                      <a:fillRect/>
                    </a:stretch>
                  </pic:blipFill>
                  <pic:spPr bwMode="auto">
                    <a:xfrm>
                      <a:off x="0" y="0"/>
                      <a:ext cx="5943600" cy="2268474"/>
                    </a:xfrm>
                    <a:prstGeom prst="rect">
                      <a:avLst/>
                    </a:prstGeom>
                    <a:noFill/>
                    <a:ln w="9525">
                      <a:noFill/>
                      <a:headEnd/>
                      <a:tailEnd/>
                    </a:ln>
                  </pic:spPr>
                </pic:pic>
              </a:graphicData>
            </a:graphic>
          </wp:inline>
        </w:drawing>
      </w:r>
      <w:bookmarkEnd w:id="62"/>
    </w:p>
    <w:p>
      <w:pPr>
        <w:pStyle w:val="ImageCaption"/>
      </w:pPr>
      <w:r>
        <w:t xml:space="preserve">Figure 9: MCMC parameter estimation of the mean substitution rate for the reduced dataset (N=191). Left: Poor mixing of the MCMC Chain, Right: The resulting multimodal estimate of the rate.</w:t>
      </w:r>
    </w:p>
    <w:bookmarkEnd w:id="0"/>
    <w:p>
      <w:pPr>
        <w:pStyle w:val="BodyText"/>
      </w:pPr>
      <w:r>
        <w:t xml:space="preserve">To identify patterns in rate variation that may improve the clock model, we first performed visual inspection of the root-to-tip regression residuals (Figure</w:t>
      </w:r>
      <w:r>
        <w:t xml:space="preserve"> </w:t>
      </w:r>
      <w:hyperlink w:anchor="fig:rtt_all_branch-major">
        <w:r>
          <w:rPr>
            <w:rStyle w:val="Hyperlink"/>
          </w:rPr>
          <w:t xml:space="preserve">8</w:t>
        </w:r>
      </w:hyperlink>
      <w:r>
        <w:t xml:space="preserve">). 3/12 clades appeared to have temporal signal according to a linear model, namely the ancient clades isolated from human skeletal remains:</w:t>
      </w:r>
      <w:r>
        <w:t xml:space="preserve"> </w:t>
      </w:r>
      <w:r>
        <w:rPr>
          <w:rStyle w:val="VerbatimChar"/>
        </w:rPr>
        <w:t xml:space="preserve">0.PRE</w:t>
      </w:r>
      <w:r>
        <w:t xml:space="preserve"> </w:t>
      </w:r>
      <w:r>
        <w:t xml:space="preserve">(Bronze Age),</w:t>
      </w:r>
      <w:r>
        <w:t xml:space="preserve"> </w:t>
      </w:r>
      <w:r>
        <w:rPr>
          <w:rStyle w:val="VerbatimChar"/>
        </w:rPr>
        <w:t xml:space="preserve">0.ANT4</w:t>
      </w:r>
      <w:r>
        <w:t xml:space="preserve"> </w:t>
      </w:r>
      <w:r>
        <w:t xml:space="preserve">(Late Antiquity), and</w:t>
      </w:r>
      <w:r>
        <w:t xml:space="preserve"> </w:t>
      </w:r>
      <w:r>
        <w:rPr>
          <w:rStyle w:val="VerbatimChar"/>
        </w:rPr>
        <w:t xml:space="preserve">1.PRE</w:t>
      </w:r>
      <w:r>
        <w:t xml:space="preserve"> </w:t>
      </w:r>
      <w:r>
        <w:t xml:space="preserve">(Medieval/Early Modern). Indeed, when the root-to-tip regression was performed on clades in isolation, these three clades demonstrated strong evidence of strict-clock behavior (Table</w:t>
      </w:r>
      <w:r>
        <w:t xml:space="preserve"> </w:t>
      </w:r>
      <w:hyperlink w:anchor="tbl:rtt_statistics">
        <w:r>
          <w:rPr>
            <w:rStyle w:val="Hyperlink"/>
          </w:rPr>
          <w:t xml:space="preserve">2</w:t>
        </w:r>
      </w:hyperlink>
      <w:r>
        <w:t xml:space="preserve">, Figure</w:t>
      </w:r>
      <w:r>
        <w:t xml:space="preserve"> </w:t>
      </w:r>
      <w:hyperlink w:anchor="fig:rtt_clades">
        <w:r>
          <w:rPr>
            <w:rStyle w:val="Hyperlink"/>
          </w:rPr>
          <w:t xml:space="preserve">11</w:t>
        </w:r>
      </w:hyperlink>
      <w:r>
        <w:t xml:space="preserve">). A BETS analysis by clade proved even more sensitive as temporal signal was detected in 7/12 clades (Table</w:t>
      </w:r>
      <w:r>
        <w:t xml:space="preserve"> </w:t>
      </w:r>
      <w:hyperlink w:anchor="tbl:bets_statistics">
        <w:r>
          <w:rPr>
            <w:rStyle w:val="Hyperlink"/>
          </w:rPr>
          <w:t xml:space="preserve">1</w:t>
        </w:r>
      </w:hyperlink>
      <w:r>
        <w:t xml:space="preserve">). This drastic improvement in model performance reveals four intriguing aspects about the evolution of</w:t>
      </w:r>
      <w:r>
        <w:t xml:space="preserve"> </w:t>
      </w:r>
      <w:r>
        <w:rPr>
          <w:i/>
        </w:rPr>
        <w:t xml:space="preserve">Y. pestis</w:t>
      </w:r>
      <w:r>
        <w:t xml:space="preserve">.</w:t>
      </w:r>
    </w:p>
    <w:p>
      <w:pPr>
        <w:pStyle w:val="BlockText"/>
      </w:pPr>
      <w:r>
        <w:rPr>
          <w:b/>
        </w:rPr>
        <w:t xml:space="preserve">Kat’s Notes:</w:t>
      </w:r>
      <w:r>
        <w:t xml:space="preserve"> </w:t>
      </w:r>
      <w:r>
        <w:t xml:space="preserve">1. Could I get finalized Bayes Factors for the full dataset and clades?</w:t>
      </w:r>
      <w:r>
        <w:t xml:space="preserve"> </w:t>
      </w:r>
      <w:r>
        <w:t xml:space="preserve">2. Could I get log files for all clades, even those without temporal signal?</w:t>
      </w:r>
    </w:p>
    <w:bookmarkStart w:id="0" w:name="tbl:bets_statistics"/>
    <w:p>
      <w:pPr>
        <w:pStyle w:val="TableCaption"/>
      </w:pPr>
      <w:r>
        <w:t xml:space="preserve">Table 1: Bayesian Evaluation of Temporal Signal (BETS) statistics. Cov: Coefficient of Variation</w:t>
      </w:r>
      <w:r>
        <w:t xml:space="preserve"> </w:t>
      </w:r>
    </w:p>
    <w:tbl>
      <w:tblPr>
        <w:tblStyle w:val="Table"/>
        <w:tblW w:type="pct" w:w="0.0"/>
        <w:tblLook w:firstRow="1"/>
        <w:tblCaption w:val="Table 1: Bayesian Evaluation of Temporal Signal (BETS) statistics. Cov: Coefficient of Variation "/>
      </w:tblPr>
      <w:tblGrid/>
      <w:tr>
        <w:trPr>
          <w:cnfStyle w:firstRow="1"/>
        </w:trPr>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SC Bayes Factor</w:t>
            </w:r>
          </w:p>
        </w:tc>
        <w:tc>
          <w:tcPr>
            <w:tcBorders>
              <w:bottom w:val="single"/>
            </w:tcBorders>
            <w:vAlign w:val="bottom"/>
          </w:tcPr>
          <w:p>
            <w:pPr>
              <w:pStyle w:val="Compact"/>
              <w:jc w:val="center"/>
            </w:pPr>
            <w:r>
              <w:t xml:space="preserve">UCLN Bayes Factor</w:t>
            </w:r>
          </w:p>
        </w:tc>
        <w:tc>
          <w:tcPr>
            <w:tcBorders>
              <w:bottom w:val="single"/>
            </w:tcBorders>
            <w:vAlign w:val="bottom"/>
          </w:tcPr>
          <w:p>
            <w:pPr>
              <w:pStyle w:val="Compact"/>
              <w:jc w:val="center"/>
            </w:pPr>
            <w:r>
              <w:t xml:space="preserve">Rate</w:t>
            </w:r>
          </w:p>
        </w:tc>
        <w:tc>
          <w:tcPr>
            <w:tcBorders>
              <w:bottom w:val="single"/>
            </w:tcBorders>
            <w:vAlign w:val="bottom"/>
          </w:tcPr>
          <w:p>
            <w:pPr>
              <w:pStyle w:val="Compact"/>
              <w:jc w:val="center"/>
            </w:pPr>
            <w:r>
              <w:t xml:space="preserve">CoV</w:t>
            </w:r>
          </w:p>
        </w:tc>
        <w:tc>
          <w:tcPr>
            <w:tcBorders>
              <w:bottom w:val="single"/>
            </w:tcBorders>
            <w:vAlign w:val="bottom"/>
          </w:tcPr>
          <w:p>
            <w:pPr>
              <w:pStyle w:val="Compact"/>
              <w:jc w:val="center"/>
            </w:pPr>
            <w:r>
              <w:t xml:space="preserve">tMRCA 95% CI</w:t>
            </w:r>
          </w:p>
        </w:tc>
      </w:tr>
      <w:tr>
        <w:tc>
          <w:p>
            <w:pPr>
              <w:pStyle w:val="Compact"/>
              <w:jc w:val="center"/>
            </w:pPr>
            <w:r>
              <w:t xml:space="preserve">All</w:t>
            </w:r>
          </w:p>
        </w:tc>
        <w:tc>
          <w:p>
            <w:pPr>
              <w:pStyle w:val="Compact"/>
              <w:jc w:val="center"/>
            </w:pPr>
            <w:r>
              <w:t xml:space="preserve">191</w:t>
            </w:r>
          </w:p>
        </w:tc>
        <w:tc>
          <w:p>
            <w:pPr>
              <w:pStyle w:val="Compact"/>
              <w:jc w:val="center"/>
            </w:pPr>
            <w:r>
              <w:t xml:space="preserve">–</w:t>
            </w:r>
          </w:p>
        </w:tc>
        <w:tc>
          <w:p>
            <w:pPr>
              <w:pStyle w:val="Compact"/>
              <w:jc w:val="center"/>
            </w:pPr>
            <w:r>
              <w:t xml:space="preserve">–</w:t>
            </w:r>
          </w:p>
        </w:tc>
        <w:tc>
          <w:p>
            <w:pPr>
              <w:pStyle w:val="Compact"/>
              <w:jc w:val="center"/>
            </w:pPr>
            <w:r>
              <w:t xml:space="preserve">1.59E-8</w:t>
            </w:r>
          </w:p>
        </w:tc>
        <w:tc>
          <w:p>
            <w:pPr>
              <w:pStyle w:val="Compact"/>
              <w:jc w:val="center"/>
            </w:pPr>
            <w:r>
              <w:t xml:space="preserve">1.66</w:t>
            </w:r>
          </w:p>
        </w:tc>
        <w:tc>
          <w:p>
            <w:pPr>
              <w:pStyle w:val="Compact"/>
              <w:jc w:val="center"/>
            </w:pPr>
            <w:r>
              <w:t xml:space="preserve">-7400 : -3289</w:t>
            </w:r>
          </w:p>
        </w:tc>
      </w:tr>
      <w:tr>
        <w:tc>
          <w:p>
            <w:pPr>
              <w:pStyle w:val="Compact"/>
              <w:jc w:val="center"/>
            </w:pPr>
            <w:r>
              <w:t xml:space="preserve">1.ORI</w:t>
            </w:r>
          </w:p>
        </w:tc>
        <w:tc>
          <w:p>
            <w:pPr>
              <w:pStyle w:val="Compact"/>
              <w:jc w:val="center"/>
            </w:pPr>
            <w:r>
              <w:t xml:space="preserve">117</w:t>
            </w:r>
          </w:p>
        </w:tc>
        <w:tc>
          <w:p>
            <w:pPr>
              <w:pStyle w:val="Compact"/>
              <w:jc w:val="center"/>
            </w:pPr>
            <w:r>
              <w:t xml:space="preserve">29.6*</w:t>
            </w:r>
          </w:p>
        </w:tc>
        <w:tc>
          <w:p>
            <w:pPr>
              <w:pStyle w:val="Compact"/>
              <w:jc w:val="center"/>
            </w:pPr>
            <w:r>
              <w:t xml:space="preserve">35.7*</w:t>
            </w:r>
          </w:p>
        </w:tc>
        <w:tc>
          <w:p>
            <w:pPr>
              <w:pStyle w:val="Compact"/>
              <w:jc w:val="center"/>
            </w:pPr>
            <w:r>
              <w:t xml:space="preserve">1.29E-7</w:t>
            </w:r>
          </w:p>
        </w:tc>
        <w:tc>
          <w:p>
            <w:pPr>
              <w:pStyle w:val="Compact"/>
              <w:jc w:val="center"/>
            </w:pPr>
            <w:r>
              <w:t xml:space="preserve">1.38</w:t>
            </w:r>
          </w:p>
        </w:tc>
        <w:tc>
          <w:p>
            <w:pPr>
              <w:pStyle w:val="Compact"/>
              <w:jc w:val="center"/>
            </w:pPr>
            <w:r>
              <w:t xml:space="preserve">1802 : 1907</w:t>
            </w:r>
          </w:p>
        </w:tc>
      </w:tr>
      <w:tr>
        <w:tc>
          <w:p>
            <w:pPr>
              <w:pStyle w:val="Compact"/>
              <w:jc w:val="center"/>
            </w:pPr>
            <w:r>
              <w:t xml:space="preserve">1.IN</w:t>
            </w:r>
          </w:p>
        </w:tc>
        <w:tc>
          <w:p>
            <w:pPr>
              <w:pStyle w:val="Compact"/>
              <w:jc w:val="center"/>
            </w:pPr>
            <w:r>
              <w:t xml:space="preserve">39</w:t>
            </w:r>
          </w:p>
        </w:tc>
        <w:tc>
          <w:p>
            <w:pPr>
              <w:pStyle w:val="Compact"/>
              <w:jc w:val="center"/>
            </w:pPr>
            <w:r>
              <w:t xml:space="preserve">-3.9</w:t>
            </w:r>
          </w:p>
        </w:tc>
        <w:tc>
          <w:p>
            <w:pPr>
              <w:pStyle w:val="Compact"/>
              <w:jc w:val="center"/>
            </w:pPr>
            <w:r>
              <w:t xml:space="preserve">-10.2</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1.ANT</w:t>
            </w:r>
          </w:p>
        </w:tc>
        <w:tc>
          <w:p>
            <w:pPr>
              <w:pStyle w:val="Compact"/>
              <w:jc w:val="center"/>
            </w:pPr>
            <w:r>
              <w:t xml:space="preserve">4</w:t>
            </w:r>
          </w:p>
        </w:tc>
        <w:tc>
          <w:p>
            <w:pPr>
              <w:pStyle w:val="Compact"/>
              <w:jc w:val="center"/>
            </w:pPr>
            <w:r>
              <w:t xml:space="preserve">8.9*</w:t>
            </w:r>
          </w:p>
        </w:tc>
        <w:tc>
          <w:p>
            <w:pPr>
              <w:pStyle w:val="Compact"/>
              <w:jc w:val="center"/>
            </w:pPr>
            <w:r>
              <w:t xml:space="preserve">12.6*</w:t>
            </w:r>
          </w:p>
        </w:tc>
        <w:tc>
          <w:p>
            <w:pPr>
              <w:pStyle w:val="Compact"/>
              <w:jc w:val="center"/>
            </w:pPr>
            <w:r>
              <w:t xml:space="preserve">6.48E-8</w:t>
            </w:r>
          </w:p>
        </w:tc>
        <w:tc>
          <w:p>
            <w:pPr>
              <w:pStyle w:val="Compact"/>
              <w:jc w:val="center"/>
            </w:pPr>
            <w:r>
              <w:t xml:space="preserve">0.48</w:t>
            </w:r>
          </w:p>
        </w:tc>
        <w:tc>
          <w:p>
            <w:pPr>
              <w:pStyle w:val="Compact"/>
              <w:jc w:val="center"/>
            </w:pPr>
            <w:r>
              <w:t xml:space="preserve">1645 : 1889</w:t>
            </w:r>
          </w:p>
        </w:tc>
      </w:tr>
      <w:tr>
        <w:tc>
          <w:p>
            <w:pPr>
              <w:pStyle w:val="Compact"/>
              <w:jc w:val="center"/>
            </w:pPr>
            <w:r>
              <w:t xml:space="preserve">1.PRE</w:t>
            </w:r>
          </w:p>
        </w:tc>
        <w:tc>
          <w:p>
            <w:pPr>
              <w:pStyle w:val="Compact"/>
              <w:jc w:val="center"/>
            </w:pPr>
            <w:r>
              <w:t xml:space="preserve">40</w:t>
            </w:r>
          </w:p>
        </w:tc>
        <w:tc>
          <w:p>
            <w:pPr>
              <w:pStyle w:val="Compact"/>
              <w:jc w:val="center"/>
            </w:pPr>
            <w:r>
              <w:t xml:space="preserve">10.1*</w:t>
            </w:r>
          </w:p>
        </w:tc>
        <w:tc>
          <w:p>
            <w:pPr>
              <w:pStyle w:val="Compact"/>
              <w:jc w:val="center"/>
            </w:pPr>
            <w:r>
              <w:t xml:space="preserve">44.1*</w:t>
            </w:r>
          </w:p>
        </w:tc>
        <w:tc>
          <w:p>
            <w:pPr>
              <w:pStyle w:val="Compact"/>
              <w:jc w:val="center"/>
            </w:pPr>
            <w:r>
              <w:t xml:space="preserve">4.77E-8</w:t>
            </w:r>
          </w:p>
        </w:tc>
        <w:tc>
          <w:p>
            <w:pPr>
              <w:pStyle w:val="Compact"/>
              <w:jc w:val="center"/>
            </w:pPr>
            <w:r>
              <w:t xml:space="preserve">2.06</w:t>
            </w:r>
          </w:p>
        </w:tc>
        <w:tc>
          <w:p>
            <w:pPr>
              <w:pStyle w:val="Compact"/>
              <w:jc w:val="center"/>
            </w:pPr>
            <w:r>
              <w:t xml:space="preserve">995 : 1324</w:t>
            </w:r>
          </w:p>
        </w:tc>
      </w:tr>
      <w:tr>
        <w:tc>
          <w:p>
            <w:pPr>
              <w:pStyle w:val="Compact"/>
              <w:jc w:val="center"/>
            </w:pPr>
            <w:r>
              <w:t xml:space="preserve">2.MED</w:t>
            </w:r>
          </w:p>
        </w:tc>
        <w:tc>
          <w:p>
            <w:pPr>
              <w:pStyle w:val="Compact"/>
              <w:jc w:val="center"/>
            </w:pPr>
            <w:r>
              <w:t xml:space="preserve">116</w:t>
            </w:r>
          </w:p>
        </w:tc>
        <w:tc>
          <w:p>
            <w:pPr>
              <w:pStyle w:val="Compact"/>
              <w:jc w:val="center"/>
            </w:pPr>
            <w:r>
              <w:t xml:space="preserve">–</w:t>
            </w:r>
          </w:p>
        </w:tc>
        <w:tc>
          <w:p>
            <w:pPr>
              <w:pStyle w:val="Compact"/>
              <w:jc w:val="center"/>
            </w:pPr>
            <w:r>
              <w:t xml:space="preserve">–</w:t>
            </w:r>
          </w:p>
        </w:tc>
        <w:tc>
          <w:p>
            <w:pPr>
              <w:pStyle w:val="Compact"/>
              <w:jc w:val="center"/>
            </w:pPr>
            <w:r>
              <w:t xml:space="preserve">2.49E-7</w:t>
            </w:r>
          </w:p>
        </w:tc>
        <w:tc>
          <w:p>
            <w:pPr>
              <w:pStyle w:val="Compact"/>
              <w:jc w:val="center"/>
            </w:pPr>
            <w:r>
              <w:t xml:space="preserve">2.85</w:t>
            </w:r>
          </w:p>
        </w:tc>
        <w:tc>
          <w:p>
            <w:pPr>
              <w:pStyle w:val="Compact"/>
              <w:jc w:val="center"/>
            </w:pPr>
            <w:r>
              <w:t xml:space="preserve">1547 : 1867</w:t>
            </w:r>
          </w:p>
        </w:tc>
      </w:tr>
      <w:tr>
        <w:tc>
          <w:p>
            <w:pPr>
              <w:pStyle w:val="Compact"/>
              <w:jc w:val="center"/>
            </w:pPr>
            <w:r>
              <w:t xml:space="preserve">2.ANT</w:t>
            </w:r>
          </w:p>
        </w:tc>
        <w:tc>
          <w:p>
            <w:pPr>
              <w:pStyle w:val="Compact"/>
              <w:jc w:val="center"/>
            </w:pPr>
            <w:r>
              <w:t xml:space="preserve">54</w:t>
            </w:r>
          </w:p>
        </w:tc>
        <w:tc>
          <w:p>
            <w:pPr>
              <w:pStyle w:val="Compact"/>
              <w:jc w:val="center"/>
            </w:pPr>
            <w:r>
              <w:t xml:space="preserve">-20.8</w:t>
            </w:r>
          </w:p>
        </w:tc>
        <w:tc>
          <w:p>
            <w:pPr>
              <w:pStyle w:val="Compact"/>
              <w:jc w:val="center"/>
            </w:pPr>
            <w:r>
              <w:t xml:space="preserve">-13.7</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4.ANT</w:t>
            </w:r>
          </w:p>
        </w:tc>
        <w:tc>
          <w:p>
            <w:pPr>
              <w:pStyle w:val="Compact"/>
              <w:jc w:val="center"/>
            </w:pPr>
            <w:r>
              <w:t xml:space="preserve">11</w:t>
            </w:r>
          </w:p>
        </w:tc>
        <w:tc>
          <w:p>
            <w:pPr>
              <w:pStyle w:val="Compact"/>
              <w:jc w:val="center"/>
            </w:pPr>
            <w:r>
              <w:t xml:space="preserve">-2.9</w:t>
            </w:r>
          </w:p>
        </w:tc>
        <w:tc>
          <w:p>
            <w:pPr>
              <w:pStyle w:val="Compact"/>
              <w:jc w:val="center"/>
            </w:pPr>
            <w:r>
              <w:t xml:space="preserve">3.7*</w:t>
            </w:r>
          </w:p>
        </w:tc>
        <w:tc>
          <w:p>
            <w:pPr>
              <w:pStyle w:val="Compact"/>
              <w:jc w:val="center"/>
            </w:pPr>
            <w:r>
              <w:t xml:space="preserve">9.38E-8</w:t>
            </w:r>
          </w:p>
        </w:tc>
        <w:tc>
          <w:p>
            <w:pPr>
              <w:pStyle w:val="Compact"/>
              <w:jc w:val="center"/>
            </w:pPr>
            <w:r>
              <w:t xml:space="preserve">2.27</w:t>
            </w:r>
          </w:p>
        </w:tc>
        <w:tc>
          <w:p>
            <w:pPr>
              <w:pStyle w:val="Compact"/>
              <w:jc w:val="center"/>
            </w:pPr>
            <w:r>
              <w:t xml:space="preserve">1847 : 1975</w:t>
            </w:r>
          </w:p>
        </w:tc>
      </w:tr>
      <w:tr>
        <w:tc>
          <w:p>
            <w:pPr>
              <w:pStyle w:val="Compact"/>
              <w:jc w:val="center"/>
            </w:pPr>
            <w:r>
              <w:t xml:space="preserve">3.ANT</w:t>
            </w:r>
          </w:p>
        </w:tc>
        <w:tc>
          <w:p>
            <w:pPr>
              <w:pStyle w:val="Compact"/>
              <w:jc w:val="center"/>
            </w:pPr>
            <w:r>
              <w:t xml:space="preserve">11</w:t>
            </w:r>
          </w:p>
        </w:tc>
        <w:tc>
          <w:p>
            <w:pPr>
              <w:pStyle w:val="Compact"/>
              <w:jc w:val="center"/>
            </w:pPr>
            <w:r>
              <w:t xml:space="preserve">-9.6</w:t>
            </w:r>
          </w:p>
        </w:tc>
        <w:tc>
          <w:p>
            <w:pPr>
              <w:pStyle w:val="Compact"/>
              <w:jc w:val="center"/>
            </w:pPr>
            <w:r>
              <w:t xml:space="preserve">-11.4</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0.ANT</w:t>
            </w:r>
          </w:p>
        </w:tc>
        <w:tc>
          <w:p>
            <w:pPr>
              <w:pStyle w:val="Compact"/>
              <w:jc w:val="center"/>
            </w:pPr>
            <w:r>
              <w:t xml:space="preserve">103</w:t>
            </w:r>
          </w:p>
        </w:tc>
        <w:tc>
          <w:p>
            <w:pPr>
              <w:pStyle w:val="Compact"/>
              <w:jc w:val="center"/>
            </w:pPr>
            <w:r>
              <w:t xml:space="preserve">-2.3</w:t>
            </w:r>
          </w:p>
        </w:tc>
        <w:tc>
          <w:p>
            <w:pPr>
              <w:pStyle w:val="Compact"/>
              <w:jc w:val="center"/>
            </w:pPr>
            <w:r>
              <w:t xml:space="preserve">-6.5</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0.ANT4</w:t>
            </w:r>
          </w:p>
        </w:tc>
        <w:tc>
          <w:p>
            <w:pPr>
              <w:pStyle w:val="Compact"/>
              <w:jc w:val="center"/>
            </w:pPr>
            <w:r>
              <w:t xml:space="preserve">12</w:t>
            </w:r>
          </w:p>
        </w:tc>
        <w:tc>
          <w:p>
            <w:pPr>
              <w:pStyle w:val="Compact"/>
              <w:jc w:val="center"/>
            </w:pPr>
            <w:r>
              <w:t xml:space="preserve">5.3*</w:t>
            </w:r>
          </w:p>
        </w:tc>
        <w:tc>
          <w:p>
            <w:pPr>
              <w:pStyle w:val="Compact"/>
              <w:jc w:val="center"/>
            </w:pPr>
            <w:r>
              <w:t xml:space="preserve">5.9*</w:t>
            </w:r>
          </w:p>
        </w:tc>
        <w:tc>
          <w:p>
            <w:pPr>
              <w:pStyle w:val="Compact"/>
              <w:jc w:val="center"/>
            </w:pPr>
            <w:r>
              <w:t xml:space="preserve">3.51E-8</w:t>
            </w:r>
          </w:p>
        </w:tc>
        <w:tc>
          <w:p>
            <w:pPr>
              <w:pStyle w:val="Compact"/>
              <w:jc w:val="center"/>
            </w:pPr>
            <w:r>
              <w:t xml:space="preserve">2.49</w:t>
            </w:r>
          </w:p>
        </w:tc>
        <w:tc>
          <w:p>
            <w:pPr>
              <w:pStyle w:val="Compact"/>
              <w:jc w:val="center"/>
            </w:pPr>
            <w:r>
              <w:t xml:space="preserve">39 : 237</w:t>
            </w:r>
          </w:p>
        </w:tc>
      </w:tr>
      <w:tr>
        <w:tc>
          <w:p>
            <w:pPr>
              <w:pStyle w:val="Compact"/>
              <w:jc w:val="center"/>
            </w:pPr>
            <w:r>
              <w:t xml:space="preserve">0.PE</w:t>
            </w:r>
          </w:p>
        </w:tc>
        <w:tc>
          <w:p>
            <w:pPr>
              <w:pStyle w:val="Compact"/>
              <w:jc w:val="center"/>
            </w:pPr>
            <w:r>
              <w:t xml:space="preserve">83</w:t>
            </w:r>
          </w:p>
        </w:tc>
        <w:tc>
          <w:p>
            <w:pPr>
              <w:pStyle w:val="Compact"/>
              <w:jc w:val="center"/>
            </w:pPr>
            <w:r>
              <w:t xml:space="preserve">-82.1</w:t>
            </w:r>
          </w:p>
        </w:tc>
        <w:tc>
          <w:p>
            <w:pPr>
              <w:pStyle w:val="Compact"/>
              <w:jc w:val="center"/>
            </w:pPr>
            <w:r>
              <w:t xml:space="preserve">12.4*</w:t>
            </w:r>
          </w:p>
        </w:tc>
        <w:tc>
          <w:p>
            <w:pPr>
              <w:pStyle w:val="Compact"/>
              <w:jc w:val="center"/>
            </w:pPr>
            <w:r>
              <w:t xml:space="preserve">6.10E-7</w:t>
            </w:r>
          </w:p>
        </w:tc>
        <w:tc>
          <w:p>
            <w:pPr>
              <w:pStyle w:val="Compact"/>
              <w:jc w:val="center"/>
            </w:pPr>
            <w:r>
              <w:t xml:space="preserve">2.24</w:t>
            </w:r>
          </w:p>
        </w:tc>
        <w:tc>
          <w:p>
            <w:pPr>
              <w:pStyle w:val="Compact"/>
              <w:jc w:val="center"/>
            </w:pPr>
            <w:r>
              <w:t xml:space="preserve">1565 : 1892</w:t>
            </w:r>
          </w:p>
        </w:tc>
      </w:tr>
      <w:tr>
        <w:tc>
          <w:p>
            <w:pPr>
              <w:pStyle w:val="Compact"/>
              <w:jc w:val="center"/>
            </w:pPr>
            <w:r>
              <w:t xml:space="preserve">0.PRE</w:t>
            </w:r>
          </w:p>
        </w:tc>
        <w:tc>
          <w:p>
            <w:pPr>
              <w:pStyle w:val="Compact"/>
              <w:jc w:val="center"/>
            </w:pPr>
            <w:r>
              <w:t xml:space="preserve">8</w:t>
            </w:r>
          </w:p>
        </w:tc>
        <w:tc>
          <w:p>
            <w:pPr>
              <w:pStyle w:val="Compact"/>
              <w:jc w:val="center"/>
            </w:pPr>
            <w:r>
              <w:t xml:space="preserve">83.0*</w:t>
            </w:r>
          </w:p>
        </w:tc>
        <w:tc>
          <w:p>
            <w:pPr>
              <w:pStyle w:val="Compact"/>
              <w:jc w:val="center"/>
            </w:pPr>
            <w:r>
              <w:t xml:space="preserve">-2.9</w:t>
            </w:r>
          </w:p>
        </w:tc>
        <w:tc>
          <w:p>
            <w:pPr>
              <w:pStyle w:val="Compact"/>
              <w:jc w:val="center"/>
            </w:pPr>
            <w:r>
              <w:t xml:space="preserve">5.23E-8</w:t>
            </w:r>
          </w:p>
        </w:tc>
        <w:tc>
          <w:p>
            <w:pPr>
              <w:pStyle w:val="Compact"/>
              <w:jc w:val="center"/>
            </w:pPr>
            <w:r>
              <w:t xml:space="preserve">1.78</w:t>
            </w:r>
          </w:p>
        </w:tc>
        <w:tc>
          <w:p>
            <w:pPr>
              <w:pStyle w:val="Compact"/>
              <w:jc w:val="center"/>
            </w:pPr>
            <w:r>
              <w:t xml:space="preserve">-3070 : -2776</w:t>
            </w:r>
          </w:p>
        </w:tc>
      </w:tr>
    </w:tbl>
    <w:bookmarkEnd w:id="0"/>
    <w:p>
      <w:pPr>
        <w:pStyle w:val="BlockText"/>
      </w:pPr>
      <w:r>
        <w:rPr>
          <w:b/>
        </w:rPr>
        <w:t xml:space="preserve">Kat’s Notes:</w:t>
      </w:r>
      <w:r>
        <w:t xml:space="preserve"> </w:t>
      </w:r>
      <w:r>
        <w:t xml:space="preserve">1. Overall the node dates are non-conflicting when re-integrated into the global phylogeny.</w:t>
      </w:r>
      <w:r>
        <w:t xml:space="preserve"> </w:t>
      </w:r>
      <w:r>
        <w:t xml:space="preserve">2. 0.PE is an exception, perhaps because it is the least monophyletic and has some of the most rate variation.</w:t>
      </w:r>
    </w:p>
    <w:bookmarkStart w:id="0" w:name="fig:divtree_node-dating"/>
    <w:p>
      <w:pPr>
        <w:pStyle w:val="CaptionedFigure"/>
      </w:pPr>
      <w:bookmarkStart w:id="64" w:name="fig:divtree_node-dating"/>
      <w:r>
        <w:drawing>
          <wp:inline>
            <wp:extent cx="5943600" cy="5372127"/>
            <wp:effectExtent b="0" l="0" r="0" t="0"/>
            <wp:docPr descr="Figure 10: The maximum likelihood phylogeny annotated with the 95% HPD on clade root date." title="" id="1" name="Picture"/>
            <a:graphic>
              <a:graphicData uri="http://schemas.openxmlformats.org/drawingml/2006/picture">
                <pic:pic>
                  <pic:nvPicPr>
                    <pic:cNvPr descr="https://raw.githubusercontent.com/ktmeaton/plague-phylogeography-projects/206f481/main/auspice/all/chromosome/full/filter5/divtree_node-dating.png" id="0" name="Picture"/>
                    <pic:cNvPicPr>
                      <a:picLocks noChangeArrowheads="1" noChangeAspect="1"/>
                    </pic:cNvPicPr>
                  </pic:nvPicPr>
                  <pic:blipFill>
                    <a:blip r:embed="rId63"/>
                    <a:stretch>
                      <a:fillRect/>
                    </a:stretch>
                  </pic:blipFill>
                  <pic:spPr bwMode="auto">
                    <a:xfrm>
                      <a:off x="0" y="0"/>
                      <a:ext cx="5943600" cy="5372127"/>
                    </a:xfrm>
                    <a:prstGeom prst="rect">
                      <a:avLst/>
                    </a:prstGeom>
                    <a:noFill/>
                    <a:ln w="9525">
                      <a:noFill/>
                      <a:headEnd/>
                      <a:tailEnd/>
                    </a:ln>
                  </pic:spPr>
                </pic:pic>
              </a:graphicData>
            </a:graphic>
          </wp:inline>
        </w:drawing>
      </w:r>
      <w:bookmarkEnd w:id="64"/>
    </w:p>
    <w:p>
      <w:pPr>
        <w:pStyle w:val="ImageCaption"/>
      </w:pPr>
      <w:r>
        <w:t xml:space="preserve">Figure 10: The maximum likelihood phylogeny annotated with the 95% HPD on clade root date.</w:t>
      </w:r>
    </w:p>
    <w:bookmarkEnd w:id="0"/>
    <w:p>
      <w:pPr>
        <w:pStyle w:val="BodyText"/>
      </w:pPr>
      <w:r>
        <w:t xml:space="preserve">The first aspect is that</w:t>
      </w:r>
      <w:r>
        <w:t xml:space="preserve"> </w:t>
      </w:r>
      <w:r>
        <w:rPr>
          <w:b/>
        </w:rPr>
        <w:t xml:space="preserve">fitting a single clock model to the global phylogeny of</w:t>
      </w:r>
      <w:r>
        <w:rPr>
          <w:b/>
        </w:rPr>
        <w:t xml:space="preserve"> </w:t>
      </w:r>
      <w:r>
        <w:rPr>
          <w:i/>
          <w:b/>
        </w:rPr>
        <w:t xml:space="preserve">Y. pestis</w:t>
      </w:r>
      <w:r>
        <w:rPr>
          <w:b/>
        </w:rPr>
        <w:t xml:space="preserve"> </w:t>
      </w:r>
      <w:r>
        <w:rPr>
          <w:b/>
        </w:rPr>
        <w:t xml:space="preserve">is not statistically supported</w:t>
      </w:r>
      <w:r>
        <w:t xml:space="preserve">. This can be observed in the relative instability of the MCMC analyses on the</w:t>
      </w:r>
      <w:r>
        <w:t xml:space="preserve"> </w:t>
      </w:r>
      <w:r>
        <w:rPr>
          <w:i/>
        </w:rPr>
        <w:t xml:space="preserve">reduced</w:t>
      </w:r>
      <w:r>
        <w:t xml:space="preserve"> </w:t>
      </w:r>
      <w:r>
        <w:t xml:space="preserve">dataset, which fails to converge in parameter space. In contrast, successfully fitting models on a clade-by-clade basis reveals that</w:t>
      </w:r>
      <w:r>
        <w:t xml:space="preserve"> </w:t>
      </w:r>
      <w:r>
        <w:rPr>
          <w:b/>
        </w:rPr>
        <w:t xml:space="preserve">Y. pestis</w:t>
      </w:r>
      <w:r>
        <w:rPr>
          <w:b/>
        </w:rPr>
        <w:t xml:space="preserve"> </w:t>
      </w:r>
      <w:r>
        <w:rPr>
          <w:b/>
        </w:rPr>
        <w:t xml:space="preserve">has more temporal signal than previously thought.</w:t>
      </w:r>
      <w:r>
        <w:t xml:space="preserve"> </w:t>
      </w:r>
      <w:r>
        <w:t xml:space="preserve">The observation that different populations have evolved at drastically different rates may explain the previous finding that the apparent structure in</w:t>
      </w:r>
      <w:r>
        <w:t xml:space="preserve"> </w:t>
      </w:r>
      <w:r>
        <w:rPr>
          <w:i/>
        </w:rPr>
        <w:t xml:space="preserve">Y. pestis</w:t>
      </w:r>
      <w:r>
        <w:t xml:space="preserve"> </w:t>
      </w:r>
      <w:r>
        <w:t xml:space="preserve">is dependent on dataset composition</w:t>
      </w:r>
      <w:r>
        <w:t xml:space="preserve"> </w:t>
      </w:r>
      <w:r>
        <w:t xml:space="preserve">[</w:t>
      </w:r>
      <w:hyperlink w:anchor="ref-1cTipQcd">
        <w:r>
          <w:rPr>
            <w:rStyle w:val="Hyperlink"/>
          </w:rPr>
          <w:t xml:space="preserve">20</w:t>
        </w:r>
      </w:hyperlink>
      <w:r>
        <w:t xml:space="preserve">]</w:t>
      </w:r>
      <w:r>
        <w:t xml:space="preserve">.</w:t>
      </w:r>
    </w:p>
    <w:p>
      <w:pPr>
        <w:pStyle w:val="BodyText"/>
      </w:pPr>
      <w:r>
        <w:t xml:space="preserve">The second observation is that</w:t>
      </w:r>
      <w:r>
        <w:t xml:space="preserve"> </w:t>
      </w:r>
      <w:r>
        <w:rPr>
          <w:b/>
        </w:rPr>
        <w:t xml:space="preserve">for all clades with temporal signal, the relaxed clock model (UCLN) had higher support than the strict clock</w:t>
      </w:r>
      <w:r>
        <w:t xml:space="preserve">. This was initially surprising, as the root-to-tip regression suggested strict clock-like behavior in several clades. However, this disparity can largely be explained by the known statistical limitations of a root-to-tip regression</w:t>
      </w:r>
      <w:r>
        <w:t xml:space="preserve"> </w:t>
      </w:r>
      <w:r>
        <w:t xml:space="preserve">[</w:t>
      </w:r>
      <w:hyperlink w:anchor="ref-zikRADit">
        <w:r>
          <w:rPr>
            <w:rStyle w:val="Hyperlink"/>
          </w:rPr>
          <w:t xml:space="preserve">43</w:t>
        </w:r>
      </w:hyperlink>
      <w:r>
        <w:t xml:space="preserve">]</w:t>
      </w:r>
      <w:r>
        <w:t xml:space="preserve">. A root-to-tip regression assumes either 1) no temporal structure, or 2) temporal structure following a linear model, and thus gives no indication that the data could be better modeled with a different assumption, ie. rate variation following a lognormal distribution. From this finding, we conclude that a root-to-tip regression is a poor statistical test of temporal signal in</w:t>
      </w:r>
      <w:r>
        <w:t xml:space="preserve"> </w:t>
      </w:r>
      <w:r>
        <w:rPr>
          <w:i/>
        </w:rPr>
        <w:t xml:space="preserve">Y. pestis</w:t>
      </w:r>
      <w:r>
        <w:t xml:space="preserve">, and great caution should be taken in interpreting the associated statistics.</w:t>
      </w:r>
    </w:p>
    <w:p>
      <w:pPr>
        <w:pStyle w:val="BodyText"/>
      </w:pPr>
      <w:r>
        <w:t xml:space="preserve">A third intriguing characteristic is that</w:t>
      </w:r>
      <w:r>
        <w:t xml:space="preserve"> </w:t>
      </w:r>
      <w:r>
        <w:rPr>
          <w:b/>
        </w:rPr>
        <w:t xml:space="preserve">the</w:t>
      </w:r>
      <w:r>
        <w:rPr>
          <w:b/>
        </w:rPr>
        <w:t xml:space="preserve"> </w:t>
      </w:r>
      <w:r>
        <w:rPr>
          <w:b/>
        </w:rPr>
        <w:t xml:space="preserve">‘</w:t>
      </w:r>
      <w:r>
        <w:rPr>
          <w:b/>
        </w:rPr>
        <w:t xml:space="preserve">true</w:t>
      </w:r>
      <w:r>
        <w:rPr>
          <w:b/>
        </w:rPr>
        <w:t xml:space="preserve">’</w:t>
      </w:r>
      <w:r>
        <w:rPr>
          <w:b/>
        </w:rPr>
        <w:t xml:space="preserve"> </w:t>
      </w:r>
      <w:r>
        <w:rPr>
          <w:b/>
        </w:rPr>
        <w:t xml:space="preserve">substitution rates of</w:t>
      </w:r>
      <w:r>
        <w:rPr>
          <w:b/>
        </w:rPr>
        <w:t xml:space="preserve"> </w:t>
      </w:r>
      <w:r>
        <w:rPr>
          <w:i/>
          <w:b/>
        </w:rPr>
        <w:t xml:space="preserve">Y. pestis</w:t>
      </w:r>
      <w:r>
        <w:rPr>
          <w:b/>
        </w:rPr>
        <w:t xml:space="preserve"> </w:t>
      </w:r>
      <w:r>
        <w:rPr>
          <w:b/>
        </w:rPr>
        <w:t xml:space="preserve">may be much higher than previously thought.</w:t>
      </w:r>
      <w:r>
        <w:t xml:space="preserve"> </w:t>
      </w:r>
      <w:r>
        <w:t xml:space="preserve">Previous work estimated that</w:t>
      </w:r>
      <w:r>
        <w:t xml:space="preserve"> </w:t>
      </w:r>
      <w:r>
        <w:rPr>
          <w:i/>
        </w:rPr>
        <w:t xml:space="preserve">Y. pestis</w:t>
      </w:r>
      <w:r>
        <w:t xml:space="preserve"> </w:t>
      </w:r>
      <w:r>
        <w:t xml:space="preserve">has one of the slowest observed substitution rates, around 1-2 x 10</w:t>
      </w:r>
      <w:r>
        <w:t xml:space="preserve">-8</w:t>
      </w:r>
      <w:r>
        <w:t xml:space="preserve">, which is on par with the exceptionally slow-evolving</w:t>
      </w:r>
      <w:r>
        <w:t xml:space="preserve"> </w:t>
      </w:r>
      <w:r>
        <w:rPr>
          <w:i/>
        </w:rPr>
        <w:t xml:space="preserve">Mycobacterium leprae</w:t>
      </w:r>
      <w:r>
        <w:t xml:space="preserve"> </w:t>
      </w:r>
      <w:r>
        <w:t xml:space="preserve">[</w:t>
      </w:r>
      <w:hyperlink w:anchor="ref-ONhNS9aO">
        <w:r>
          <w:rPr>
            <w:rStyle w:val="Hyperlink"/>
          </w:rPr>
          <w:t xml:space="preserve">17</w:t>
        </w:r>
      </w:hyperlink>
      <w:r>
        <w:t xml:space="preserve">,</w:t>
      </w:r>
      <w:hyperlink w:anchor="ref-1cTipQcd">
        <w:r>
          <w:rPr>
            <w:rStyle w:val="Hyperlink"/>
          </w:rPr>
          <w:t xml:space="preserve">20</w:t>
        </w:r>
      </w:hyperlink>
      <w:r>
        <w:t xml:space="preserve">]</w:t>
      </w:r>
      <w:r>
        <w:t xml:space="preserve">. Indeed, a BETS analysis on the non-segregated data estimated the substitution rate to be between 1.1582 x10</w:t>
      </w:r>
      <w:r>
        <w:t xml:space="preserve">-8</w:t>
      </w:r>
      <w:r>
        <w:t xml:space="preserve"> </w:t>
      </w:r>
      <w:r>
        <w:t xml:space="preserve">and 1.9491 x 10</w:t>
      </w:r>
      <w:r>
        <w:t xml:space="preserve">-8</w:t>
      </w:r>
      <w:r>
        <w:t xml:space="preserve"> </w:t>
      </w:r>
      <w:r>
        <w:t xml:space="preserve">based on the 95% HPD. However, this global rate is a considerable underestimate, as clades with detectable temporal signal ranged from 3.51x10</w:t>
      </w:r>
      <w:r>
        <w:t xml:space="preserve">-8</w:t>
      </w:r>
      <w:r>
        <w:t xml:space="preserve"> </w:t>
      </w:r>
      <w:r>
        <w:t xml:space="preserve">to 1.29 x10x10</w:t>
      </w:r>
      <w:r>
        <w:t xml:space="preserve">-7</w:t>
      </w:r>
      <w:r>
        <w:t xml:space="preserve"> </w:t>
      </w:r>
      <w:r>
        <w:t xml:space="preserve">(Table</w:t>
      </w:r>
      <w:r>
        <w:t xml:space="preserve"> </w:t>
      </w:r>
      <w:hyperlink w:anchor="tbl:bets_statistics">
        <w:r>
          <w:rPr>
            <w:rStyle w:val="Hyperlink"/>
          </w:rPr>
          <w:t xml:space="preserve">1</w:t>
        </w:r>
      </w:hyperlink>
      <w:r>
        <w:t xml:space="preserve">). This study therefore reports the substitution rate of</w:t>
      </w:r>
      <w:r>
        <w:t xml:space="preserve"> </w:t>
      </w:r>
      <w:r>
        <w:rPr>
          <w:i/>
        </w:rPr>
        <w:t xml:space="preserve">Y. pestis</w:t>
      </w:r>
      <w:r>
        <w:t xml:space="preserve"> </w:t>
      </w:r>
      <w:r>
        <w:t xml:space="preserve">to be much higher than previously thought and more comparable to bacteria such as</w:t>
      </w:r>
      <w:r>
        <w:t xml:space="preserve"> </w:t>
      </w:r>
      <w:r>
        <w:rPr>
          <w:i/>
        </w:rPr>
        <w:t xml:space="preserve">Mycobacterium tuberulcosis</w:t>
      </w:r>
      <w:r>
        <w:t xml:space="preserve">. We hypothesize that outlier clades which are challenging to model (ex. 2.MED) have artificially decreased estimates of the mean substitution rate in past studies.</w:t>
      </w:r>
    </w:p>
    <w:p>
      <w:pPr>
        <w:pStyle w:val="BodyText"/>
      </w:pPr>
      <w:r>
        <w:t xml:space="preserve">The final finding from constructing nuanced models concerns the outlier clades for which no detectable signal could be found, namely 0.ANT, 2.ANT, 3.ANT, 2.MED, and 1.IN. The reason for this lack of signal is unclear, but one explanation may be that</w:t>
      </w:r>
      <w:r>
        <w:t xml:space="preserve"> </w:t>
      </w:r>
      <w:r>
        <w:rPr>
          <w:b/>
        </w:rPr>
        <w:t xml:space="preserve">these</w:t>
      </w:r>
      <w:r>
        <w:rPr>
          <w:b/>
        </w:rPr>
        <w:t xml:space="preserve"> </w:t>
      </w:r>
      <w:r>
        <w:rPr>
          <w:i/>
          <w:b/>
        </w:rPr>
        <w:t xml:space="preserve">Y. pestis</w:t>
      </w:r>
      <w:r>
        <w:rPr>
          <w:b/>
        </w:rPr>
        <w:t xml:space="preserve"> </w:t>
      </w:r>
      <w:r>
        <w:rPr>
          <w:b/>
        </w:rPr>
        <w:t xml:space="preserve">populations are inappropriately separated based on the</w:t>
      </w:r>
      <w:r>
        <w:rPr>
          <w:b/>
        </w:rPr>
        <w:t xml:space="preserve"> </w:t>
      </w:r>
      <w:r>
        <w:rPr>
          <w:rStyle w:val="VerbatimChar"/>
          <w:b/>
        </w:rPr>
        <w:t xml:space="preserve">major branch</w:t>
      </w:r>
      <w:r>
        <w:rPr>
          <w:b/>
        </w:rPr>
        <w:t xml:space="preserve"> </w:t>
      </w:r>
      <w:r>
        <w:rPr>
          <w:b/>
        </w:rPr>
        <w:t xml:space="preserve">and</w:t>
      </w:r>
      <w:r>
        <w:rPr>
          <w:b/>
        </w:rPr>
        <w:t xml:space="preserve"> </w:t>
      </w:r>
      <w:r>
        <w:rPr>
          <w:rStyle w:val="VerbatimChar"/>
          <w:b/>
        </w:rPr>
        <w:t xml:space="preserve">biovar</w:t>
      </w:r>
      <w:r>
        <w:rPr>
          <w:b/>
        </w:rPr>
        <w:t xml:space="preserve"> </w:t>
      </w:r>
      <w:r>
        <w:rPr>
          <w:b/>
        </w:rPr>
        <w:t xml:space="preserve">systems</w:t>
      </w:r>
      <w:r>
        <w:t xml:space="preserve">. We hypothesis that alternative strategies to subdivide these populations will yield greater insight, based on the methodological improvements demonstrated in this study.</w:t>
      </w:r>
    </w:p>
    <w:p>
      <w:pPr>
        <w:pStyle w:val="BodyText"/>
      </w:pPr>
      <w:r>
        <w:t xml:space="preserve">Furthermore, almost all of the estimated clade tMRCAs were non-conflicting when re-integrated into the global phylogeny (Figure</w:t>
      </w:r>
      <w:r>
        <w:t xml:space="preserve"> </w:t>
      </w:r>
      <w:hyperlink w:anchor="fig:divtree_node-dating">
        <w:r>
          <w:rPr>
            <w:rStyle w:val="Hyperlink"/>
          </w:rPr>
          <w:t xml:space="preserve">10</w:t>
        </w:r>
      </w:hyperlink>
      <w:r>
        <w:t xml:space="preserve">). The exception to this finding was 0.PE with a tMRCA of 1565 : 1892 which topologically conflicts with 0.ANT4 and 1.PRE. We suspect the tMRCA of 0.PE should be treated with suspicion as it is 1) the least monophyletic clade, and 2) has one of the greatest amounts of rate variation.</w:t>
      </w:r>
    </w:p>
    <w:p>
      <w:pPr>
        <w:pStyle w:val="Heading2"/>
      </w:pPr>
      <w:bookmarkStart w:id="65" w:name="conclusion"/>
      <w:r>
        <w:t xml:space="preserve">Conclusion</w:t>
      </w:r>
      <w:bookmarkEnd w:id="65"/>
    </w:p>
    <w:p>
      <w:pPr>
        <w:numPr>
          <w:ilvl w:val="0"/>
          <w:numId w:val="1003"/>
        </w:numPr>
        <w:pStyle w:val="Compact"/>
      </w:pPr>
      <w:r>
        <w:rPr>
          <w:b/>
        </w:rPr>
        <w:t xml:space="preserve">Fitting a single clock model to the global phylogeny of</w:t>
      </w:r>
      <w:r>
        <w:rPr>
          <w:b/>
        </w:rPr>
        <w:t xml:space="preserve"> </w:t>
      </w:r>
      <w:r>
        <w:rPr>
          <w:i/>
          <w:b/>
        </w:rPr>
        <w:t xml:space="preserve">Y. pestis</w:t>
      </w:r>
      <w:r>
        <w:rPr>
          <w:b/>
        </w:rPr>
        <w:t xml:space="preserve"> </w:t>
      </w:r>
      <w:r>
        <w:rPr>
          <w:b/>
        </w:rPr>
        <w:t xml:space="preserve">is not statistically supported</w:t>
      </w:r>
      <w:r>
        <w:t xml:space="preserve">.</w:t>
      </w:r>
      <w:r>
        <w:t xml:space="preserve"> </w:t>
      </w:r>
      <w:r>
        <w:t xml:space="preserve"> </w:t>
      </w:r>
      <w:r>
        <w:t xml:space="preserve">This can be observed in the relative instability of the MCMC analyses on the</w:t>
      </w:r>
      <w:r>
        <w:t xml:space="preserve"> </w:t>
      </w:r>
      <w:r>
        <w:rPr>
          <w:i/>
        </w:rPr>
        <w:t xml:space="preserve">reduced</w:t>
      </w:r>
      <w:r>
        <w:t xml:space="preserve"> </w:t>
      </w:r>
      <w:r>
        <w:t xml:space="preserve">dataset, which fails to converge in parameter space.</w:t>
      </w:r>
      <w:r>
        <w:t xml:space="preserve"> </w:t>
      </w:r>
    </w:p>
    <w:p>
      <w:pPr>
        <w:numPr>
          <w:ilvl w:val="0"/>
          <w:numId w:val="1003"/>
        </w:numPr>
        <w:pStyle w:val="Compact"/>
      </w:pPr>
      <w:r>
        <w:rPr>
          <w:i/>
          <w:b/>
        </w:rPr>
        <w:t xml:space="preserve">Y. pestis</w:t>
      </w:r>
      <w:r>
        <w:rPr>
          <w:b/>
        </w:rPr>
        <w:t xml:space="preserve"> </w:t>
      </w:r>
      <w:r>
        <w:rPr>
          <w:b/>
        </w:rPr>
        <w:t xml:space="preserve">has much more temporal signal than previously thought.</w:t>
      </w:r>
      <w:r>
        <w:t xml:space="preserve"> </w:t>
      </w:r>
      <w:r>
        <w:t xml:space="preserve">Separating the genomic dataset by clade recovers robust temporal signal for the majority of clades.</w:t>
      </w:r>
    </w:p>
    <w:p>
      <w:pPr>
        <w:numPr>
          <w:ilvl w:val="0"/>
          <w:numId w:val="1003"/>
        </w:numPr>
        <w:pStyle w:val="Compact"/>
      </w:pPr>
      <w:r>
        <w:rPr>
          <w:b/>
        </w:rPr>
        <w:t xml:space="preserve">The true substitution rates of</w:t>
      </w:r>
      <w:r>
        <w:rPr>
          <w:b/>
        </w:rPr>
        <w:t xml:space="preserve"> </w:t>
      </w:r>
      <w:r>
        <w:rPr>
          <w:i/>
          <w:b/>
        </w:rPr>
        <w:t xml:space="preserve">Y. pestis</w:t>
      </w:r>
      <w:r>
        <w:rPr>
          <w:b/>
        </w:rPr>
        <w:t xml:space="preserve"> </w:t>
      </w:r>
      <w:r>
        <w:rPr>
          <w:b/>
        </w:rPr>
        <w:t xml:space="preserve">are much higher than previously thought.</w:t>
      </w:r>
      <w:r>
        <w:t xml:space="preserve"> </w:t>
      </w:r>
      <w:r>
        <w:t xml:space="preserve">The mean substitution rate of all global populations (1.59E-8) is a drastic underestimate compared to the rates observed by clade which range from 3.51E-8 to 1.29E-7. The clades without temporal signal are pulling down the mean estimate. Previous work estimated that</w:t>
      </w:r>
      <w:r>
        <w:t xml:space="preserve"> </w:t>
      </w:r>
      <w:r>
        <w:rPr>
          <w:i/>
        </w:rPr>
        <w:t xml:space="preserve">Y. pestis</w:t>
      </w:r>
      <w:r>
        <w:t xml:space="preserve"> </w:t>
      </w:r>
      <w:r>
        <w:t xml:space="preserve">has one of the lowest observed substitution rates, on par with the exceptionally slow-evolving</w:t>
      </w:r>
      <w:r>
        <w:t xml:space="preserve"> </w:t>
      </w:r>
      <w:r>
        <w:rPr>
          <w:i/>
        </w:rPr>
        <w:t xml:space="preserve">Mycobacterium leprae</w:t>
      </w:r>
      <w:r>
        <w:t xml:space="preserve"> </w:t>
      </w:r>
      <w:r>
        <w:t xml:space="preserve">[</w:t>
      </w:r>
      <w:hyperlink w:anchor="ref-1cTipQcd">
        <w:r>
          <w:rPr>
            <w:rStyle w:val="Hyperlink"/>
          </w:rPr>
          <w:t xml:space="preserve">20</w:t>
        </w:r>
      </w:hyperlink>
      <w:r>
        <w:t xml:space="preserve">]</w:t>
      </w:r>
      <w:r>
        <w:t xml:space="preserve">. This study instead reports the substitution rate of</w:t>
      </w:r>
      <w:r>
        <w:t xml:space="preserve"> </w:t>
      </w:r>
      <w:r>
        <w:rPr>
          <w:i/>
        </w:rPr>
        <w:t xml:space="preserve">Y. pestis</w:t>
      </w:r>
      <w:r>
        <w:t xml:space="preserve"> </w:t>
      </w:r>
      <w:r>
        <w:t xml:space="preserve">to be much higher, and comparable to</w:t>
      </w:r>
      <w:r>
        <w:t xml:space="preserve"> </w:t>
      </w:r>
      <w:r>
        <w:rPr>
          <w:i/>
        </w:rPr>
        <w:t xml:space="preserve">Mycobacterium tuberulcosis</w:t>
      </w:r>
      <w:r>
        <w:t xml:space="preserve">.</w:t>
      </w:r>
    </w:p>
    <w:p>
      <w:pPr>
        <w:numPr>
          <w:ilvl w:val="0"/>
          <w:numId w:val="1003"/>
        </w:numPr>
        <w:pStyle w:val="Compact"/>
      </w:pPr>
      <w:r>
        <w:rPr>
          <w:b/>
        </w:rPr>
        <w:t xml:space="preserve">Root-to-tip regression is a poor statistical test of temporal signal compared to BETS</w:t>
      </w:r>
      <w:r>
        <w:t xml:space="preserve">.</w:t>
      </w:r>
      <w:r>
        <w:t xml:space="preserve"> </w:t>
      </w:r>
      <w:r>
        <w:t xml:space="preserve">The root-to-tip regression has several known limitations, namely the underlying assumption of strict clock-behavior and the non-independence of data points</w:t>
      </w:r>
      <w:r>
        <w:t xml:space="preserve"> </w:t>
      </w:r>
      <w:r>
        <w:t xml:space="preserve">[</w:t>
      </w:r>
      <w:hyperlink w:anchor="ref-zikRADit">
        <w:r>
          <w:rPr>
            <w:rStyle w:val="Hyperlink"/>
          </w:rPr>
          <w:t xml:space="preserve">43</w:t>
        </w:r>
      </w:hyperlink>
      <w:r>
        <w:t xml:space="preserve">]</w:t>
      </w:r>
      <w:r>
        <w:t xml:space="preserve">. A BETS analysis counters these statistical violates, and is overall more sensitive given that multiple clock models can be tested. In this study, root-to-tip regression indicated temporal signal in 3/12 lineages while the BETS analysis detected signal in 7/12 lineages.</w:t>
      </w:r>
    </w:p>
    <w:p>
      <w:pPr>
        <w:pStyle w:val="Heading2"/>
      </w:pPr>
      <w:bookmarkStart w:id="66" w:name="references"/>
      <w:r>
        <w:t xml:space="preserve">References</w:t>
      </w:r>
      <w:bookmarkEnd w:id="66"/>
    </w:p>
    <w:bookmarkStart w:id="199" w:name="refs"/>
    <w:bookmarkStart w:id="69"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67">
        <w:r>
          <w:rPr>
            <w:rStyle w:val="Hyperlink"/>
          </w:rPr>
          <w:t xml:space="preserve">10.1016/j.cub.2017.10.025</w:t>
        </w:r>
      </w:hyperlink>
      <w:r>
        <w:t xml:space="preserve"> </w:t>
      </w:r>
      <w:r>
        <w:t xml:space="preserve">· PMID:</w:t>
      </w:r>
      <w:r>
        <w:t xml:space="preserve"> </w:t>
      </w:r>
      <w:hyperlink r:id="rId68">
        <w:r>
          <w:rPr>
            <w:rStyle w:val="Hyperlink"/>
          </w:rPr>
          <w:t xml:space="preserve">29174893</w:t>
        </w:r>
      </w:hyperlink>
    </w:p>
    <w:bookmarkEnd w:id="69"/>
    <w:bookmarkStart w:id="73"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70">
        <w:r>
          <w:rPr>
            <w:rStyle w:val="Hyperlink"/>
          </w:rPr>
          <w:t xml:space="preserve">https://www.cell.com/cell/abstract/S0092-8674(18)31464-8</w:t>
        </w:r>
      </w:hyperlink>
      <w:r>
        <w:t xml:space="preserve"> </w:t>
      </w:r>
      <w:r>
        <w:br/>
      </w:r>
      <w:r>
        <w:t xml:space="preserve">DOI:</w:t>
      </w:r>
      <w:r>
        <w:t xml:space="preserve"> </w:t>
      </w:r>
      <w:hyperlink r:id="rId71">
        <w:r>
          <w:rPr>
            <w:rStyle w:val="Hyperlink"/>
          </w:rPr>
          <w:t xml:space="preserve">10.1016/j.cell.2018.11.005</w:t>
        </w:r>
      </w:hyperlink>
      <w:r>
        <w:t xml:space="preserve"> </w:t>
      </w:r>
      <w:r>
        <w:t xml:space="preserve">· PMID:</w:t>
      </w:r>
      <w:r>
        <w:t xml:space="preserve"> </w:t>
      </w:r>
      <w:hyperlink r:id="rId72">
        <w:r>
          <w:rPr>
            <w:rStyle w:val="Hyperlink"/>
          </w:rPr>
          <w:t xml:space="preserve">30528431</w:t>
        </w:r>
      </w:hyperlink>
    </w:p>
    <w:bookmarkEnd w:id="73"/>
    <w:bookmarkStart w:id="78"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74">
        <w:r>
          <w:rPr>
            <w:rStyle w:val="Hyperlink"/>
          </w:rPr>
          <w:t xml:space="preserve">https://www.ncbi.nlm.nih.gov/pmc/articles/PMC5636801/</w:t>
        </w:r>
      </w:hyperlink>
      <w:r>
        <w:t xml:space="preserve"> </w:t>
      </w:r>
      <w:r>
        <w:br/>
      </w:r>
      <w:r>
        <w:t xml:space="preserve">DOI:</w:t>
      </w:r>
      <w:r>
        <w:t xml:space="preserve"> </w:t>
      </w:r>
      <w:hyperlink r:id="rId75">
        <w:r>
          <w:rPr>
            <w:rStyle w:val="Hyperlink"/>
          </w:rPr>
          <w:t xml:space="preserve">10.1038/s41598-017-13481-2</w:t>
        </w:r>
      </w:hyperlink>
      <w:r>
        <w:t xml:space="preserve"> </w:t>
      </w:r>
      <w:r>
        <w:t xml:space="preserve">· PMID:</w:t>
      </w:r>
      <w:r>
        <w:t xml:space="preserve"> </w:t>
      </w:r>
      <w:hyperlink r:id="rId76">
        <w:r>
          <w:rPr>
            <w:rStyle w:val="Hyperlink"/>
          </w:rPr>
          <w:t xml:space="preserve">29021541</w:t>
        </w:r>
      </w:hyperlink>
      <w:r>
        <w:t xml:space="preserve"> </w:t>
      </w:r>
      <w:r>
        <w:t xml:space="preserve">· PMCID:</w:t>
      </w:r>
      <w:r>
        <w:t xml:space="preserve"> </w:t>
      </w:r>
      <w:hyperlink r:id="rId77">
        <w:r>
          <w:rPr>
            <w:rStyle w:val="Hyperlink"/>
          </w:rPr>
          <w:t xml:space="preserve">PMC5636801</w:t>
        </w:r>
      </w:hyperlink>
    </w:p>
    <w:bookmarkEnd w:id="78"/>
    <w:bookmarkStart w:id="81"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79">
        <w:r>
          <w:rPr>
            <w:rStyle w:val="Hyperlink"/>
          </w:rPr>
          <w:t xml:space="preserve">8993858</w:t>
        </w:r>
      </w:hyperlink>
      <w:r>
        <w:t xml:space="preserve"> </w:t>
      </w:r>
      <w:r>
        <w:t xml:space="preserve">· PMCID:</w:t>
      </w:r>
      <w:r>
        <w:t xml:space="preserve"> </w:t>
      </w:r>
      <w:hyperlink r:id="rId80">
        <w:r>
          <w:rPr>
            <w:rStyle w:val="Hyperlink"/>
          </w:rPr>
          <w:t xml:space="preserve">PMC172914</w:t>
        </w:r>
      </w:hyperlink>
    </w:p>
    <w:bookmarkEnd w:id="81"/>
    <w:bookmarkStart w:id="83"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82">
        <w:r>
          <w:rPr>
            <w:rStyle w:val="Hyperlink"/>
          </w:rPr>
          <w:t xml:space="preserve">https://www.who.int/news-room/fact-sheets/detail/plague</w:t>
        </w:r>
      </w:hyperlink>
    </w:p>
    <w:bookmarkEnd w:id="83"/>
    <w:bookmarkStart w:id="85"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84">
        <w:r>
          <w:rPr>
            <w:rStyle w:val="Hyperlink"/>
          </w:rPr>
          <w:t xml:space="preserve">0-85115-943-5</w:t>
        </w:r>
      </w:hyperlink>
    </w:p>
    <w:bookmarkEnd w:id="85"/>
    <w:bookmarkStart w:id="87"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86">
        <w:r>
          <w:rPr>
            <w:rStyle w:val="Hyperlink"/>
          </w:rPr>
          <w:t xml:space="preserve">https://apps.who.int/iris/bitstream/handle/10665/325481/WER9425-en-fr.pdf</w:t>
        </w:r>
      </w:hyperlink>
    </w:p>
    <w:bookmarkEnd w:id="87"/>
    <w:bookmarkStart w:id="89"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88">
        <w:r>
          <w:rPr>
            <w:rStyle w:val="Hyperlink"/>
          </w:rPr>
          <w:t xml:space="preserve">http://reviverestore.org/wp-content/uploads/2015/02/Gage-and-Kosoy_USGS-Blk-footed-ferret-symp_2006-copy.pdf</w:t>
        </w:r>
      </w:hyperlink>
    </w:p>
    <w:bookmarkEnd w:id="89"/>
    <w:bookmarkStart w:id="94" w:name="ref-ZvyYZ3sx"/>
    <w:p>
      <w:pPr>
        <w:pStyle w:val="Bibliography"/>
      </w:pPr>
      <w:r>
        <w:t xml:space="preserve">9.</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90">
        <w:r>
          <w:rPr>
            <w:rStyle w:val="Hyperlink"/>
          </w:rPr>
          <w:t xml:space="preserve">https://www.ncbi.nlm.nih.gov/pmc/articles/PMC4644222/</w:t>
        </w:r>
      </w:hyperlink>
      <w:r>
        <w:t xml:space="preserve"> </w:t>
      </w:r>
      <w:r>
        <w:br/>
      </w:r>
      <w:r>
        <w:t xml:space="preserve">DOI:</w:t>
      </w:r>
      <w:r>
        <w:t xml:space="preserve"> </w:t>
      </w:r>
      <w:hyperlink r:id="rId91">
        <w:r>
          <w:rPr>
            <w:rStyle w:val="Hyperlink"/>
          </w:rPr>
          <w:t xml:space="preserve">10.1016/j.cell.2015.10.009</w:t>
        </w:r>
      </w:hyperlink>
      <w:r>
        <w:t xml:space="preserve"> </w:t>
      </w:r>
      <w:r>
        <w:t xml:space="preserve">· PMID:</w:t>
      </w:r>
      <w:r>
        <w:t xml:space="preserve"> </w:t>
      </w:r>
      <w:hyperlink r:id="rId92">
        <w:r>
          <w:rPr>
            <w:rStyle w:val="Hyperlink"/>
          </w:rPr>
          <w:t xml:space="preserve">26496604</w:t>
        </w:r>
      </w:hyperlink>
      <w:r>
        <w:t xml:space="preserve"> </w:t>
      </w:r>
      <w:r>
        <w:t xml:space="preserve">· PMCID:</w:t>
      </w:r>
      <w:r>
        <w:t xml:space="preserve"> </w:t>
      </w:r>
      <w:hyperlink r:id="rId93">
        <w:r>
          <w:rPr>
            <w:rStyle w:val="Hyperlink"/>
          </w:rPr>
          <w:t xml:space="preserve">PMC4644222</w:t>
        </w:r>
      </w:hyperlink>
    </w:p>
    <w:bookmarkEnd w:id="94"/>
    <w:bookmarkStart w:id="98" w:name="ref-TV8iDhk7"/>
    <w:p>
      <w:pPr>
        <w:pStyle w:val="Bibliography"/>
      </w:pPr>
      <w:r>
        <w:t xml:space="preserve">10.</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95">
        <w:r>
          <w:rPr>
            <w:rStyle w:val="Hyperlink"/>
          </w:rPr>
          <w:t xml:space="preserve">10.1073/pnas.96.24.14043</w:t>
        </w:r>
      </w:hyperlink>
      <w:r>
        <w:t xml:space="preserve"> </w:t>
      </w:r>
      <w:r>
        <w:t xml:space="preserve">· PMID:</w:t>
      </w:r>
      <w:r>
        <w:t xml:space="preserve"> </w:t>
      </w:r>
      <w:hyperlink r:id="rId96">
        <w:r>
          <w:rPr>
            <w:rStyle w:val="Hyperlink"/>
          </w:rPr>
          <w:t xml:space="preserve">10570195</w:t>
        </w:r>
      </w:hyperlink>
      <w:r>
        <w:t xml:space="preserve"> </w:t>
      </w:r>
      <w:r>
        <w:t xml:space="preserve">· PMCID:</w:t>
      </w:r>
      <w:r>
        <w:t xml:space="preserve"> </w:t>
      </w:r>
      <w:hyperlink r:id="rId97">
        <w:r>
          <w:rPr>
            <w:rStyle w:val="Hyperlink"/>
          </w:rPr>
          <w:t xml:space="preserve">PMC24187</w:t>
        </w:r>
      </w:hyperlink>
    </w:p>
    <w:bookmarkEnd w:id="98"/>
    <w:bookmarkStart w:id="103" w:name="ref-RrDa6yZx"/>
    <w:p>
      <w:pPr>
        <w:pStyle w:val="Bibliography"/>
      </w:pPr>
      <w:r>
        <w:t xml:space="preserve">11.</w:t>
      </w:r>
      <w:r>
        <w:t xml:space="preserve"> </w:t>
      </w:r>
      <w:r>
        <w:rPr>
          <w:b/>
        </w:rPr>
        <w:t xml:space="preserve">Population structure of the Yersinia pseudotuberculosis complex according to multilocus sequence typing</w:t>
      </w:r>
      <w:r>
        <w:t xml:space="preserve"> </w:t>
      </w:r>
      <w:r>
        <w:br/>
      </w:r>
      <w:r>
        <w:t xml:space="preserve">Riikka Laukkanen-Ninios, Xavier Didelot, Keith A. Jolley, Giovanna Morelli, Vartul Sangal, Paula Kristo, Priscilla F. M. Imori, Hiroshi Fukushima, Anja Siitonen, Galina Tseneva, … Mark Achtman</w:t>
      </w:r>
      <w:r>
        <w:br/>
      </w:r>
      <w:r>
        <w:rPr>
          <w:i/>
        </w:rPr>
        <w:t xml:space="preserve">Environmental microbiology</w:t>
      </w:r>
      <w:r>
        <w:t xml:space="preserve"> </w:t>
      </w:r>
      <w:r>
        <w:t xml:space="preserve">(2011-12)</w:t>
      </w:r>
      <w:r>
        <w:t xml:space="preserve"> </w:t>
      </w:r>
      <w:hyperlink r:id="rId99">
        <w:r>
          <w:rPr>
            <w:rStyle w:val="Hyperlink"/>
          </w:rPr>
          <w:t xml:space="preserve">https://www.ncbi.nlm.nih.gov/pmc/articles/PMC3988354/</w:t>
        </w:r>
      </w:hyperlink>
      <w:r>
        <w:t xml:space="preserve"> </w:t>
      </w:r>
      <w:r>
        <w:br/>
      </w:r>
      <w:r>
        <w:t xml:space="preserve">DOI:</w:t>
      </w:r>
      <w:r>
        <w:t xml:space="preserve"> </w:t>
      </w:r>
      <w:hyperlink r:id="rId100">
        <w:r>
          <w:rPr>
            <w:rStyle w:val="Hyperlink"/>
          </w:rPr>
          <w:t xml:space="preserve">10.1111/j.1462-2920.2011.02588.x</w:t>
        </w:r>
      </w:hyperlink>
      <w:r>
        <w:t xml:space="preserve"> </w:t>
      </w:r>
      <w:r>
        <w:t xml:space="preserve">· PMID:</w:t>
      </w:r>
      <w:r>
        <w:t xml:space="preserve"> </w:t>
      </w:r>
      <w:hyperlink r:id="rId101">
        <w:r>
          <w:rPr>
            <w:rStyle w:val="Hyperlink"/>
          </w:rPr>
          <w:t xml:space="preserve">21951486</w:t>
        </w:r>
      </w:hyperlink>
      <w:r>
        <w:t xml:space="preserve"> </w:t>
      </w:r>
      <w:r>
        <w:t xml:space="preserve">· PMCID:</w:t>
      </w:r>
      <w:r>
        <w:t xml:space="preserve"> </w:t>
      </w:r>
      <w:hyperlink r:id="rId102">
        <w:r>
          <w:rPr>
            <w:rStyle w:val="Hyperlink"/>
          </w:rPr>
          <w:t xml:space="preserve">PMC3988354</w:t>
        </w:r>
      </w:hyperlink>
    </w:p>
    <w:bookmarkEnd w:id="103"/>
    <w:bookmarkStart w:id="106" w:name="ref-17ygZQMtK"/>
    <w:p>
      <w:pPr>
        <w:pStyle w:val="Bibliography"/>
      </w:pPr>
      <w:r>
        <w:t xml:space="preserve">12.</w:t>
      </w:r>
      <w:r>
        <w:t xml:space="preserve"> </w:t>
      </w:r>
      <w:r>
        <w:rPr>
          <w:b/>
        </w:rPr>
        <w:t xml:space="preserve">Phylogeographic separation and formation of sexually discrete lineages in a global population of Yersinia pseudotuberculosis</w:t>
      </w:r>
      <w:r>
        <w:t xml:space="preserve"> </w:t>
      </w:r>
      <w:r>
        <w:br/>
      </w:r>
      <w:r>
        <w:t xml:space="preserve">Tristan Seecharran, Laura Kalin-Manttari, Katja Koskela, Simo Nikkari, Benjamin Dickins, Jukka Corander, Mikael Skurnik, AlanYR 2017 McNally</w:t>
      </w:r>
      <w:r>
        <w:br/>
      </w:r>
      <w:r>
        <w:rPr>
          <w:i/>
        </w:rPr>
        <w:t xml:space="preserve">Microbial Genomics</w:t>
      </w:r>
      <w:r>
        <w:t xml:space="preserve"> </w:t>
      </w:r>
      <w:r>
        <w:t xml:space="preserve">(2017)</w:t>
      </w:r>
      <w:r>
        <w:t xml:space="preserve"> </w:t>
      </w:r>
      <w:hyperlink r:id="rId104">
        <w:r>
          <w:rPr>
            <w:rStyle w:val="Hyperlink"/>
          </w:rPr>
          <w:t xml:space="preserve">https://www.microbiologyresearch.org/content/journal/mgen/10.1099/mgen.0.000133</w:t>
        </w:r>
      </w:hyperlink>
      <w:r>
        <w:t xml:space="preserve"> </w:t>
      </w:r>
      <w:r>
        <w:br/>
      </w:r>
      <w:r>
        <w:t xml:space="preserve">DOI:</w:t>
      </w:r>
      <w:r>
        <w:t xml:space="preserve"> </w:t>
      </w:r>
      <w:hyperlink r:id="rId105">
        <w:r>
          <w:rPr>
            <w:rStyle w:val="Hyperlink"/>
          </w:rPr>
          <w:t xml:space="preserve">10.1099/mgen.0.000133</w:t>
        </w:r>
      </w:hyperlink>
    </w:p>
    <w:bookmarkEnd w:id="106"/>
    <w:bookmarkStart w:id="109" w:name="ref-HqSIHWsh"/>
    <w:p>
      <w:pPr>
        <w:pStyle w:val="Bibliography"/>
      </w:pPr>
      <w:r>
        <w:t xml:space="preserve">13.</w:t>
      </w:r>
      <w:r>
        <w:t xml:space="preserve"> </w:t>
      </w:r>
      <w:r>
        <w:rPr>
          <w:b/>
        </w:rPr>
        <w:t xml:space="preserve">Taxonomy of Yersinia pestis</w:t>
      </w:r>
      <w:r>
        <w:t xml:space="preserve"> </w:t>
      </w:r>
      <w:r>
        <w:br/>
      </w:r>
      <w:r>
        <w:t xml:space="preserve">Zhizhen Qi, Yujun Cui, Qingwen Zhang, Ruifu Yang</w:t>
      </w:r>
      <w:r>
        <w:br/>
      </w:r>
      <w:r>
        <w:rPr>
          <w:i/>
        </w:rPr>
        <w:t xml:space="preserve">Yersinia pestis: Retrospective and Perspective</w:t>
      </w:r>
      <w:r>
        <w:t xml:space="preserve"> </w:t>
      </w:r>
      <w:r>
        <w:t xml:space="preserve">(2016)</w:t>
      </w:r>
      <w:r>
        <w:t xml:space="preserve"> </w:t>
      </w:r>
      <w:hyperlink r:id="rId107">
        <w:r>
          <w:rPr>
            <w:rStyle w:val="Hyperlink"/>
          </w:rPr>
          <w:t xml:space="preserve">https://doi.org/10.1007/978-94-024-0890-4_3</w:t>
        </w:r>
      </w:hyperlink>
      <w:r>
        <w:t xml:space="preserve"> </w:t>
      </w:r>
      <w:r>
        <w:br/>
      </w:r>
      <w:r>
        <w:t xml:space="preserve">DOI:</w:t>
      </w:r>
      <w:r>
        <w:t xml:space="preserve"> </w:t>
      </w:r>
      <w:hyperlink r:id="rId107">
        <w:r>
          <w:rPr>
            <w:rStyle w:val="Hyperlink"/>
          </w:rPr>
          <w:t xml:space="preserve">10.1007/978-94-024-0890-4_3</w:t>
        </w:r>
      </w:hyperlink>
      <w:r>
        <w:t xml:space="preserve"> </w:t>
      </w:r>
      <w:r>
        <w:t xml:space="preserve">· ISBN:</w:t>
      </w:r>
      <w:r>
        <w:t xml:space="preserve"> </w:t>
      </w:r>
      <w:hyperlink r:id="rId108">
        <w:r>
          <w:rPr>
            <w:rStyle w:val="Hyperlink"/>
          </w:rPr>
          <w:t xml:space="preserve">978-94-024-0890-4</w:t>
        </w:r>
      </w:hyperlink>
    </w:p>
    <w:bookmarkEnd w:id="109"/>
    <w:bookmarkStart w:id="112" w:name="ref-S7uUqUQG"/>
    <w:p>
      <w:pPr>
        <w:pStyle w:val="Bibliography"/>
      </w:pPr>
      <w:r>
        <w:t xml:space="preserve">14.</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110">
        <w:r>
          <w:rPr>
            <w:rStyle w:val="Hyperlink"/>
          </w:rPr>
          <w:t xml:space="preserve">https://www.frontiersin.org/article/10.3389/fmicb.2018.01106/full</w:t>
        </w:r>
      </w:hyperlink>
      <w:r>
        <w:t xml:space="preserve"> </w:t>
      </w:r>
      <w:r>
        <w:br/>
      </w:r>
      <w:r>
        <w:t xml:space="preserve">DOI:</w:t>
      </w:r>
      <w:r>
        <w:t xml:space="preserve"> </w:t>
      </w:r>
      <w:hyperlink r:id="rId111">
        <w:r>
          <w:rPr>
            <w:rStyle w:val="Hyperlink"/>
          </w:rPr>
          <w:t xml:space="preserve">10.3389/fmicb.2018.01106</w:t>
        </w:r>
      </w:hyperlink>
    </w:p>
    <w:bookmarkEnd w:id="112"/>
    <w:bookmarkStart w:id="117" w:name="ref-E2sCnrTc"/>
    <w:p>
      <w:pPr>
        <w:pStyle w:val="Bibliography"/>
      </w:pPr>
      <w:r>
        <w:t xml:space="preserve">15.</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13">
        <w:r>
          <w:rPr>
            <w:rStyle w:val="Hyperlink"/>
          </w:rPr>
          <w:t xml:space="preserve">https://www.ncbi.nlm.nih.gov/pmc/articles/PMC6961584/</w:t>
        </w:r>
      </w:hyperlink>
      <w:r>
        <w:t xml:space="preserve"> </w:t>
      </w:r>
      <w:r>
        <w:br/>
      </w:r>
      <w:r>
        <w:t xml:space="preserve">DOI:</w:t>
      </w:r>
      <w:r>
        <w:t xml:space="preserve"> </w:t>
      </w:r>
      <w:hyperlink r:id="rId114">
        <w:r>
          <w:rPr>
            <w:rStyle w:val="Hyperlink"/>
          </w:rPr>
          <w:t xml:space="preserve">10.1101/gr.251678.119</w:t>
        </w:r>
      </w:hyperlink>
      <w:r>
        <w:t xml:space="preserve"> </w:t>
      </w:r>
      <w:r>
        <w:t xml:space="preserve">· PMID:</w:t>
      </w:r>
      <w:r>
        <w:t xml:space="preserve"> </w:t>
      </w:r>
      <w:hyperlink r:id="rId115">
        <w:r>
          <w:rPr>
            <w:rStyle w:val="Hyperlink"/>
          </w:rPr>
          <w:t xml:space="preserve">31809257</w:t>
        </w:r>
      </w:hyperlink>
      <w:r>
        <w:t xml:space="preserve"> </w:t>
      </w:r>
      <w:r>
        <w:t xml:space="preserve">· PMCID:</w:t>
      </w:r>
      <w:r>
        <w:t xml:space="preserve"> </w:t>
      </w:r>
      <w:hyperlink r:id="rId116">
        <w:r>
          <w:rPr>
            <w:rStyle w:val="Hyperlink"/>
          </w:rPr>
          <w:t xml:space="preserve">PMC6961584</w:t>
        </w:r>
      </w:hyperlink>
    </w:p>
    <w:bookmarkEnd w:id="117"/>
    <w:bookmarkStart w:id="119" w:name="ref-14eJbOlxZ"/>
    <w:p>
      <w:pPr>
        <w:pStyle w:val="Bibliography"/>
      </w:pPr>
      <w:r>
        <w:t xml:space="preserve">16.</w:t>
      </w:r>
      <w:r>
        <w:t xml:space="preserve"> </w:t>
      </w:r>
      <w:r>
        <w:rPr>
          <w:b/>
        </w:rPr>
        <w:t xml:space="preserve">Identification of Hidden Population Structure in Time-Scaled Phylogenies</w:t>
      </w:r>
      <w:r>
        <w:t xml:space="preserve"> </w:t>
      </w:r>
      <w:r>
        <w:br/>
      </w:r>
      <w:r>
        <w:t xml:space="preserve">Erik M Volz, Wiuf Carsten, Yonatan H Grad, Simon DW Frost, Ann M Dennis, Xavier Didelot</w:t>
      </w:r>
      <w:r>
        <w:br/>
      </w:r>
      <w:r>
        <w:rPr>
          <w:i/>
        </w:rPr>
        <w:t xml:space="preserve">Systematic Biology</w:t>
      </w:r>
      <w:r>
        <w:t xml:space="preserve"> </w:t>
      </w:r>
      <w:r>
        <w:t xml:space="preserve">(2020-09-01)</w:t>
      </w:r>
      <w:r>
        <w:t xml:space="preserve"> </w:t>
      </w:r>
      <w:hyperlink r:id="rId118">
        <w:r>
          <w:rPr>
            <w:rStyle w:val="Hyperlink"/>
          </w:rPr>
          <w:t xml:space="preserve">https://doi.org/10.1093/sysbio/syaa009</w:t>
        </w:r>
      </w:hyperlink>
      <w:r>
        <w:t xml:space="preserve"> </w:t>
      </w:r>
      <w:r>
        <w:br/>
      </w:r>
      <w:r>
        <w:t xml:space="preserve">DOI:</w:t>
      </w:r>
      <w:r>
        <w:t xml:space="preserve"> </w:t>
      </w:r>
      <w:hyperlink r:id="rId118">
        <w:r>
          <w:rPr>
            <w:rStyle w:val="Hyperlink"/>
          </w:rPr>
          <w:t xml:space="preserve">10.1093/sysbio/syaa009</w:t>
        </w:r>
      </w:hyperlink>
    </w:p>
    <w:bookmarkEnd w:id="119"/>
    <w:bookmarkStart w:id="122" w:name="ref-ONhNS9aO"/>
    <w:p>
      <w:pPr>
        <w:pStyle w:val="Bibliography"/>
      </w:pPr>
      <w:r>
        <w:t xml:space="preserve">17.</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20">
        <w:r>
          <w:rPr>
            <w:rStyle w:val="Hyperlink"/>
          </w:rPr>
          <w:t xml:space="preserve">http://www.pnas.org/cgi/doi/10.1073/pnas.1205750110</w:t>
        </w:r>
      </w:hyperlink>
      <w:r>
        <w:t xml:space="preserve"> </w:t>
      </w:r>
      <w:r>
        <w:br/>
      </w:r>
      <w:r>
        <w:t xml:space="preserve">DOI:</w:t>
      </w:r>
      <w:r>
        <w:t xml:space="preserve"> </w:t>
      </w:r>
      <w:hyperlink r:id="rId121">
        <w:r>
          <w:rPr>
            <w:rStyle w:val="Hyperlink"/>
          </w:rPr>
          <w:t xml:space="preserve">10.1073/pnas.1205750110</w:t>
        </w:r>
      </w:hyperlink>
    </w:p>
    <w:bookmarkEnd w:id="122"/>
    <w:bookmarkStart w:id="125" w:name="ref-ACt53Sow"/>
    <w:p>
      <w:pPr>
        <w:pStyle w:val="Bibliography"/>
      </w:pPr>
      <w:r>
        <w:t xml:space="preserve">18.</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3">
        <w:r>
          <w:rPr>
            <w:rStyle w:val="Hyperlink"/>
          </w:rPr>
          <w:t xml:space="preserve">https://linkinghub.elsevier.com/retrieve/pii/S1473309913703232</w:t>
        </w:r>
      </w:hyperlink>
      <w:r>
        <w:t xml:space="preserve"> </w:t>
      </w:r>
      <w:r>
        <w:br/>
      </w:r>
      <w:r>
        <w:t xml:space="preserve">DOI:</w:t>
      </w:r>
      <w:r>
        <w:t xml:space="preserve"> </w:t>
      </w:r>
      <w:hyperlink r:id="rId124">
        <w:r>
          <w:rPr>
            <w:rStyle w:val="Hyperlink"/>
          </w:rPr>
          <w:t xml:space="preserve">10.1016/s1473-3099(13)70323-2</w:t>
        </w:r>
      </w:hyperlink>
    </w:p>
    <w:bookmarkEnd w:id="125"/>
    <w:bookmarkStart w:id="128" w:name="ref-1CPIgshmC"/>
    <w:p>
      <w:pPr>
        <w:pStyle w:val="Bibliography"/>
      </w:pPr>
      <w:r>
        <w:t xml:space="preserve">19.</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26">
        <w:r>
          <w:rPr>
            <w:rStyle w:val="Hyperlink"/>
          </w:rPr>
          <w:t xml:space="preserve">https://www.nature.com/articles/s41467-019-12154-0</w:t>
        </w:r>
      </w:hyperlink>
      <w:r>
        <w:t xml:space="preserve"> </w:t>
      </w:r>
      <w:r>
        <w:br/>
      </w:r>
      <w:r>
        <w:t xml:space="preserve">DOI:</w:t>
      </w:r>
      <w:r>
        <w:t xml:space="preserve"> </w:t>
      </w:r>
      <w:hyperlink r:id="rId127">
        <w:r>
          <w:rPr>
            <w:rStyle w:val="Hyperlink"/>
          </w:rPr>
          <w:t xml:space="preserve">10.1038/s41467-019-12154-0</w:t>
        </w:r>
      </w:hyperlink>
    </w:p>
    <w:bookmarkEnd w:id="128"/>
    <w:bookmarkStart w:id="133" w:name="ref-1cTipQcd"/>
    <w:p>
      <w:pPr>
        <w:pStyle w:val="Bibliography"/>
      </w:pPr>
      <w:r>
        <w:t xml:space="preserve">20.</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9">
        <w:r>
          <w:rPr>
            <w:rStyle w:val="Hyperlink"/>
          </w:rPr>
          <w:t xml:space="preserve">https://www.ncbi.nlm.nih.gov/pmc/articles/PMC5320706/</w:t>
        </w:r>
      </w:hyperlink>
      <w:r>
        <w:t xml:space="preserve"> </w:t>
      </w:r>
      <w:r>
        <w:br/>
      </w:r>
      <w:r>
        <w:t xml:space="preserve">DOI:</w:t>
      </w:r>
      <w:r>
        <w:t xml:space="preserve"> </w:t>
      </w:r>
      <w:hyperlink r:id="rId130">
        <w:r>
          <w:rPr>
            <w:rStyle w:val="Hyperlink"/>
          </w:rPr>
          <w:t xml:space="preserve">10.1099/mgen.0.000094</w:t>
        </w:r>
      </w:hyperlink>
      <w:r>
        <w:t xml:space="preserve"> </w:t>
      </w:r>
      <w:r>
        <w:t xml:space="preserve">· PMID:</w:t>
      </w:r>
      <w:r>
        <w:t xml:space="preserve"> </w:t>
      </w:r>
      <w:hyperlink r:id="rId131">
        <w:r>
          <w:rPr>
            <w:rStyle w:val="Hyperlink"/>
          </w:rPr>
          <w:t xml:space="preserve">28348834</w:t>
        </w:r>
      </w:hyperlink>
      <w:r>
        <w:t xml:space="preserve"> </w:t>
      </w:r>
      <w:r>
        <w:t xml:space="preserve">· PMCID:</w:t>
      </w:r>
      <w:r>
        <w:t xml:space="preserve"> </w:t>
      </w:r>
      <w:hyperlink r:id="rId132">
        <w:r>
          <w:rPr>
            <w:rStyle w:val="Hyperlink"/>
          </w:rPr>
          <w:t xml:space="preserve">PMC5320706</w:t>
        </w:r>
      </w:hyperlink>
    </w:p>
    <w:bookmarkEnd w:id="133"/>
    <w:bookmarkStart w:id="135" w:name="ref-131fQLiJt"/>
    <w:p>
      <w:pPr>
        <w:pStyle w:val="Bibliography"/>
      </w:pPr>
      <w:r>
        <w:t xml:space="preserve">21.</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34">
        <w:r>
          <w:rPr>
            <w:rStyle w:val="Hyperlink"/>
          </w:rPr>
          <w:t xml:space="preserve">https://github.com/ktmeaton/NCBImeta</w:t>
        </w:r>
      </w:hyperlink>
    </w:p>
    <w:bookmarkEnd w:id="135"/>
    <w:bookmarkStart w:id="137" w:name="ref-hxWSqZgm"/>
    <w:p>
      <w:pPr>
        <w:pStyle w:val="Bibliography"/>
      </w:pPr>
      <w:r>
        <w:t xml:space="preserve">22.</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36">
        <w:r>
          <w:rPr>
            <w:rStyle w:val="Hyperlink"/>
          </w:rPr>
          <w:t xml:space="preserve">https://github.com/geopy/geopy</w:t>
        </w:r>
      </w:hyperlink>
    </w:p>
    <w:bookmarkEnd w:id="137"/>
    <w:bookmarkStart w:id="139" w:name="ref-M15a78x5"/>
    <w:p>
      <w:pPr>
        <w:pStyle w:val="Bibliography"/>
      </w:pPr>
      <w:r>
        <w:t xml:space="preserve">23.</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38">
        <w:r>
          <w:rPr>
            <w:rStyle w:val="Hyperlink"/>
          </w:rPr>
          <w:t xml:space="preserve">https://github.com/osm-search/Nominatim</w:t>
        </w:r>
      </w:hyperlink>
    </w:p>
    <w:bookmarkEnd w:id="139"/>
    <w:bookmarkStart w:id="141" w:name="ref-5rCiNisz"/>
    <w:p>
      <w:pPr>
        <w:pStyle w:val="Bibliography"/>
      </w:pPr>
      <w:r>
        <w:t xml:space="preserve">24.</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40">
        <w:r>
          <w:rPr>
            <w:rStyle w:val="Hyperlink"/>
          </w:rPr>
          <w:t xml:space="preserve">https://www.openstreetmap.org</w:t>
        </w:r>
      </w:hyperlink>
    </w:p>
    <w:bookmarkEnd w:id="141"/>
    <w:bookmarkStart w:id="143" w:name="ref-1DR126iIZ"/>
    <w:p>
      <w:pPr>
        <w:pStyle w:val="Bibliography"/>
      </w:pPr>
      <w:r>
        <w:t xml:space="preserve">25.</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2">
        <w:r>
          <w:rPr>
            <w:rStyle w:val="Hyperlink"/>
          </w:rPr>
          <w:t xml:space="preserve">https://github.com/tseemann/snippy</w:t>
        </w:r>
      </w:hyperlink>
    </w:p>
    <w:bookmarkEnd w:id="143"/>
    <w:bookmarkStart w:id="145" w:name="ref-puYDXtJ9"/>
    <w:p>
      <w:pPr>
        <w:pStyle w:val="Bibliography"/>
      </w:pPr>
      <w:r>
        <w:t xml:space="preserve">26.</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44">
        <w:r>
          <w:rPr>
            <w:rStyle w:val="Hyperlink"/>
          </w:rPr>
          <w:t xml:space="preserve">https://github.com/ncbi/sra-tools</w:t>
        </w:r>
      </w:hyperlink>
    </w:p>
    <w:bookmarkEnd w:id="145"/>
    <w:bookmarkStart w:id="148" w:name="ref-17yD9OrGW"/>
    <w:p>
      <w:pPr>
        <w:pStyle w:val="Bibliography"/>
      </w:pPr>
      <w:r>
        <w:t xml:space="preserve">27.</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46">
        <w:r>
          <w:rPr>
            <w:rStyle w:val="Hyperlink"/>
          </w:rPr>
          <w:t xml:space="preserve">https://peerj.com/articles/10947</w:t>
        </w:r>
      </w:hyperlink>
      <w:r>
        <w:t xml:space="preserve"> </w:t>
      </w:r>
      <w:r>
        <w:br/>
      </w:r>
      <w:r>
        <w:t xml:space="preserve">DOI:</w:t>
      </w:r>
      <w:r>
        <w:t xml:space="preserve"> </w:t>
      </w:r>
      <w:hyperlink r:id="rId147">
        <w:r>
          <w:rPr>
            <w:rStyle w:val="Hyperlink"/>
          </w:rPr>
          <w:t xml:space="preserve">10.7717/peerj.10947</w:t>
        </w:r>
      </w:hyperlink>
    </w:p>
    <w:bookmarkEnd w:id="148"/>
    <w:bookmarkStart w:id="151" w:name="ref-QZIPWLUx"/>
    <w:p>
      <w:pPr>
        <w:pStyle w:val="Bibliography"/>
      </w:pPr>
      <w:r>
        <w:t xml:space="preserve">28.</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9">
        <w:r>
          <w:rPr>
            <w:rStyle w:val="Hyperlink"/>
          </w:rPr>
          <w:t xml:space="preserve">http://www.nature.com/articles/nmeth.4285</w:t>
        </w:r>
      </w:hyperlink>
      <w:r>
        <w:t xml:space="preserve"> </w:t>
      </w:r>
      <w:r>
        <w:br/>
      </w:r>
      <w:r>
        <w:t xml:space="preserve">DOI:</w:t>
      </w:r>
      <w:r>
        <w:t xml:space="preserve"> </w:t>
      </w:r>
      <w:hyperlink r:id="rId150">
        <w:r>
          <w:rPr>
            <w:rStyle w:val="Hyperlink"/>
          </w:rPr>
          <w:t xml:space="preserve">10.1038/nmeth.4285</w:t>
        </w:r>
      </w:hyperlink>
    </w:p>
    <w:bookmarkEnd w:id="151"/>
    <w:bookmarkStart w:id="154" w:name="ref-mkkgRhHT"/>
    <w:p>
      <w:pPr>
        <w:pStyle w:val="Bibliography"/>
      </w:pPr>
      <w:r>
        <w:t xml:space="preserve">29.</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52">
        <w:r>
          <w:rPr>
            <w:rStyle w:val="Hyperlink"/>
          </w:rPr>
          <w:t xml:space="preserve">https://academic.oup.com/mbe/article/37/5/1530/5721363</w:t>
        </w:r>
      </w:hyperlink>
      <w:r>
        <w:t xml:space="preserve"> </w:t>
      </w:r>
      <w:r>
        <w:br/>
      </w:r>
      <w:r>
        <w:t xml:space="preserve">DOI:</w:t>
      </w:r>
      <w:r>
        <w:t xml:space="preserve"> </w:t>
      </w:r>
      <w:hyperlink r:id="rId153">
        <w:r>
          <w:rPr>
            <w:rStyle w:val="Hyperlink"/>
          </w:rPr>
          <w:t xml:space="preserve">10.1093/molbev/msaa015</w:t>
        </w:r>
      </w:hyperlink>
    </w:p>
    <w:bookmarkEnd w:id="154"/>
    <w:bookmarkStart w:id="157" w:name="ref-12SvE6y3A"/>
    <w:p>
      <w:pPr>
        <w:pStyle w:val="Bibliography"/>
      </w:pPr>
      <w:r>
        <w:t xml:space="preserve">30.</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55">
        <w:r>
          <w:rPr>
            <w:rStyle w:val="Hyperlink"/>
          </w:rPr>
          <w:t xml:space="preserve">https://academic.oup.com/mbe/article/35/2/518/4565479</w:t>
        </w:r>
      </w:hyperlink>
      <w:r>
        <w:t xml:space="preserve"> </w:t>
      </w:r>
      <w:r>
        <w:br/>
      </w:r>
      <w:r>
        <w:t xml:space="preserve">DOI:</w:t>
      </w:r>
      <w:r>
        <w:t xml:space="preserve"> </w:t>
      </w:r>
      <w:hyperlink r:id="rId156">
        <w:r>
          <w:rPr>
            <w:rStyle w:val="Hyperlink"/>
          </w:rPr>
          <w:t xml:space="preserve">10.1093/molbev/msx281</w:t>
        </w:r>
      </w:hyperlink>
    </w:p>
    <w:bookmarkEnd w:id="157"/>
    <w:bookmarkStart w:id="160" w:name="ref-11e70fLkA"/>
    <w:p>
      <w:pPr>
        <w:pStyle w:val="Bibliography"/>
      </w:pPr>
      <w:r>
        <w:t xml:space="preserve">31.</w:t>
      </w:r>
      <w:r>
        <w:t xml:space="preserve"> </w:t>
      </w:r>
      <w:r>
        <w:rPr>
          <w:b/>
        </w:rPr>
        <w:t xml:space="preserve">Statsmodels: Econometric and Statistical Modeling with Python</w:t>
      </w:r>
      <w:r>
        <w:t xml:space="preserve"> </w:t>
      </w:r>
      <w:r>
        <w:br/>
      </w:r>
      <w:r>
        <w:t xml:space="preserve">Skipper Seabold, Josef Perktold</w:t>
      </w:r>
      <w:r>
        <w:br/>
      </w:r>
      <w:r>
        <w:t xml:space="preserve">(2010)</w:t>
      </w:r>
      <w:r>
        <w:t xml:space="preserve"> </w:t>
      </w:r>
      <w:hyperlink r:id="rId158">
        <w:r>
          <w:rPr>
            <w:rStyle w:val="Hyperlink"/>
          </w:rPr>
          <w:t xml:space="preserve">https://conference.scipy.org/proceedings/scipy2010/seabold.html</w:t>
        </w:r>
      </w:hyperlink>
      <w:r>
        <w:t xml:space="preserve"> </w:t>
      </w:r>
      <w:r>
        <w:br/>
      </w:r>
      <w:r>
        <w:t xml:space="preserve">DOI:</w:t>
      </w:r>
      <w:r>
        <w:t xml:space="preserve"> </w:t>
      </w:r>
      <w:hyperlink r:id="rId159">
        <w:r>
          <w:rPr>
            <w:rStyle w:val="Hyperlink"/>
          </w:rPr>
          <w:t xml:space="preserve">10.25080/majora-92bf1922-011</w:t>
        </w:r>
      </w:hyperlink>
    </w:p>
    <w:bookmarkEnd w:id="160"/>
    <w:bookmarkStart w:id="163" w:name="ref-qLAL8Don"/>
    <w:p>
      <w:pPr>
        <w:pStyle w:val="Bibliography"/>
      </w:pPr>
      <w:r>
        <w:t xml:space="preserve">32.</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161">
        <w:r>
          <w:rPr>
            <w:rStyle w:val="Hyperlink"/>
          </w:rPr>
          <w:t xml:space="preserve">https://www.thelancet.com/journals/lanmic/article/PIIS2666-5247(20)30176-2/abstract</w:t>
        </w:r>
      </w:hyperlink>
      <w:r>
        <w:t xml:space="preserve"> </w:t>
      </w:r>
      <w:r>
        <w:br/>
      </w:r>
      <w:r>
        <w:t xml:space="preserve">DOI:</w:t>
      </w:r>
      <w:r>
        <w:t xml:space="preserve"> </w:t>
      </w:r>
      <w:hyperlink r:id="rId162">
        <w:r>
          <w:rPr>
            <w:rStyle w:val="Hyperlink"/>
          </w:rPr>
          <w:t xml:space="preserve">10.1016/s2666-5247(20)30176-2</w:t>
        </w:r>
      </w:hyperlink>
    </w:p>
    <w:bookmarkEnd w:id="163"/>
    <w:bookmarkStart w:id="167" w:name="ref-15WOrftK3"/>
    <w:p>
      <w:pPr>
        <w:pStyle w:val="Bibliography"/>
      </w:pPr>
      <w:r>
        <w:t xml:space="preserve">33.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164">
        <w:r>
          <w:rPr>
            <w:rStyle w:val="Hyperlink"/>
          </w:rPr>
          <w:t xml:space="preserve">https://www.ncbi.nlm.nih.gov/pmc/articles/PMC2554099/</w:t>
        </w:r>
      </w:hyperlink>
      <w:r>
        <w:t xml:space="preserve"> </w:t>
      </w:r>
      <w:r>
        <w:br/>
      </w:r>
      <w:r>
        <w:t xml:space="preserve">PMID:</w:t>
      </w:r>
      <w:r>
        <w:t xml:space="preserve"> </w:t>
      </w:r>
      <w:hyperlink r:id="rId165">
        <w:r>
          <w:rPr>
            <w:rStyle w:val="Hyperlink"/>
          </w:rPr>
          <w:t xml:space="preserve">14859080</w:t>
        </w:r>
      </w:hyperlink>
      <w:r>
        <w:t xml:space="preserve"> </w:t>
      </w:r>
      <w:r>
        <w:t xml:space="preserve">· PMCID:</w:t>
      </w:r>
      <w:r>
        <w:t xml:space="preserve"> </w:t>
      </w:r>
      <w:hyperlink r:id="rId166">
        <w:r>
          <w:rPr>
            <w:rStyle w:val="Hyperlink"/>
          </w:rPr>
          <w:t xml:space="preserve">PMC2554099</w:t>
        </w:r>
      </w:hyperlink>
    </w:p>
    <w:bookmarkEnd w:id="167"/>
    <w:bookmarkStart w:id="170" w:name="ref-cIuFxbEY"/>
    <w:p>
      <w:pPr>
        <w:pStyle w:val="Bibliography"/>
      </w:pPr>
      <w:r>
        <w:t xml:space="preserve">34.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68">
        <w:r>
          <w:rPr>
            <w:rStyle w:val="Hyperlink"/>
          </w:rPr>
          <w:t xml:space="preserve">http://www.sciencedirect.com/science/article/pii/S1286457904002357</w:t>
        </w:r>
      </w:hyperlink>
      <w:r>
        <w:t xml:space="preserve"> </w:t>
      </w:r>
      <w:r>
        <w:br/>
      </w:r>
      <w:r>
        <w:t xml:space="preserve">DOI:</w:t>
      </w:r>
      <w:r>
        <w:t xml:space="preserve"> </w:t>
      </w:r>
      <w:hyperlink r:id="rId169">
        <w:r>
          <w:rPr>
            <w:rStyle w:val="Hyperlink"/>
          </w:rPr>
          <w:t xml:space="preserve">10.1016/j.micinf.2004.08.002</w:t>
        </w:r>
      </w:hyperlink>
    </w:p>
    <w:bookmarkEnd w:id="170"/>
    <w:bookmarkStart w:id="173" w:name="ref-66GmpEaG"/>
    <w:p>
      <w:pPr>
        <w:pStyle w:val="Bibliography"/>
      </w:pPr>
      <w:r>
        <w:t xml:space="preserve">35.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71">
        <w:r>
          <w:rPr>
            <w:rStyle w:val="Hyperlink"/>
          </w:rPr>
          <w:t xml:space="preserve">https://journals.plos.org/plosone/article?id=10.1371/journal.pone.0006000</w:t>
        </w:r>
      </w:hyperlink>
      <w:r>
        <w:t xml:space="preserve"> </w:t>
      </w:r>
      <w:r>
        <w:br/>
      </w:r>
      <w:r>
        <w:t xml:space="preserve">DOI:</w:t>
      </w:r>
      <w:r>
        <w:t xml:space="preserve"> </w:t>
      </w:r>
      <w:hyperlink r:id="rId172">
        <w:r>
          <w:rPr>
            <w:rStyle w:val="Hyperlink"/>
          </w:rPr>
          <w:t xml:space="preserve">10.1371/journal.pone.0006000</w:t>
        </w:r>
      </w:hyperlink>
    </w:p>
    <w:bookmarkEnd w:id="173"/>
    <w:bookmarkStart w:id="175" w:name="ref-MDriN15G"/>
    <w:p>
      <w:pPr>
        <w:pStyle w:val="Bibliography"/>
      </w:pPr>
      <w:r>
        <w:t xml:space="preserve">36.</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174">
        <w:r>
          <w:rPr>
            <w:rStyle w:val="Hyperlink"/>
          </w:rPr>
          <w:t xml:space="preserve">https://doi.org/10.1093/gbe/evw285</w:t>
        </w:r>
      </w:hyperlink>
      <w:r>
        <w:t xml:space="preserve"> </w:t>
      </w:r>
      <w:r>
        <w:br/>
      </w:r>
      <w:r>
        <w:t xml:space="preserve">DOI:</w:t>
      </w:r>
      <w:r>
        <w:t xml:space="preserve"> </w:t>
      </w:r>
      <w:hyperlink r:id="rId174">
        <w:r>
          <w:rPr>
            <w:rStyle w:val="Hyperlink"/>
          </w:rPr>
          <w:t xml:space="preserve">10.1093/gbe/evw285</w:t>
        </w:r>
      </w:hyperlink>
    </w:p>
    <w:bookmarkEnd w:id="175"/>
    <w:bookmarkStart w:id="179" w:name="ref-19LMpiGZs"/>
    <w:p>
      <w:pPr>
        <w:pStyle w:val="Bibliography"/>
      </w:pPr>
      <w:r>
        <w:t xml:space="preserve">37.</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76">
        <w:r>
          <w:rPr>
            <w:rStyle w:val="Hyperlink"/>
          </w:rPr>
          <w:t xml:space="preserve">https://www.pnas.org/content/116/25/12363</w:t>
        </w:r>
      </w:hyperlink>
      <w:r>
        <w:t xml:space="preserve"> </w:t>
      </w:r>
      <w:r>
        <w:br/>
      </w:r>
      <w:r>
        <w:t xml:space="preserve">DOI:</w:t>
      </w:r>
      <w:r>
        <w:t xml:space="preserve"> </w:t>
      </w:r>
      <w:hyperlink r:id="rId177">
        <w:r>
          <w:rPr>
            <w:rStyle w:val="Hyperlink"/>
          </w:rPr>
          <w:t xml:space="preserve">10.1073/pnas.1820447116</w:t>
        </w:r>
      </w:hyperlink>
      <w:r>
        <w:t xml:space="preserve"> </w:t>
      </w:r>
      <w:r>
        <w:t xml:space="preserve">· PMID:</w:t>
      </w:r>
      <w:r>
        <w:t xml:space="preserve"> </w:t>
      </w:r>
      <w:hyperlink r:id="rId178">
        <w:r>
          <w:rPr>
            <w:rStyle w:val="Hyperlink"/>
          </w:rPr>
          <w:t xml:space="preserve">31164419</w:t>
        </w:r>
      </w:hyperlink>
    </w:p>
    <w:bookmarkEnd w:id="179"/>
    <w:bookmarkStart w:id="182" w:name="ref-RWkOSyzX"/>
    <w:p>
      <w:pPr>
        <w:pStyle w:val="Bibliography"/>
      </w:pPr>
      <w:r>
        <w:t xml:space="preserve">38.</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80">
        <w:r>
          <w:rPr>
            <w:rStyle w:val="Hyperlink"/>
          </w:rPr>
          <w:t xml:space="preserve">https://royalsocietypublishing.org/doi/10.1098/rspb.2013.3159</w:t>
        </w:r>
      </w:hyperlink>
      <w:r>
        <w:t xml:space="preserve"> </w:t>
      </w:r>
      <w:r>
        <w:br/>
      </w:r>
      <w:r>
        <w:t xml:space="preserve">DOI:</w:t>
      </w:r>
      <w:r>
        <w:t xml:space="preserve"> </w:t>
      </w:r>
      <w:hyperlink r:id="rId181">
        <w:r>
          <w:rPr>
            <w:rStyle w:val="Hyperlink"/>
          </w:rPr>
          <w:t xml:space="preserve">10.1098/rspb.2013.3159</w:t>
        </w:r>
      </w:hyperlink>
    </w:p>
    <w:bookmarkEnd w:id="182"/>
    <w:bookmarkStart w:id="185" w:name="ref-3aFEkVra"/>
    <w:p>
      <w:pPr>
        <w:pStyle w:val="Bibliography"/>
      </w:pPr>
      <w:r>
        <w:t xml:space="preserve">39.</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83">
        <w:r>
          <w:rPr>
            <w:rStyle w:val="Hyperlink"/>
          </w:rPr>
          <w:t xml:space="preserve">https://journals.plos.org/plosone/article?id=10.1371/journal.pone.0244615</w:t>
        </w:r>
      </w:hyperlink>
      <w:r>
        <w:t xml:space="preserve"> </w:t>
      </w:r>
      <w:r>
        <w:br/>
      </w:r>
      <w:r>
        <w:t xml:space="preserve">DOI:</w:t>
      </w:r>
      <w:r>
        <w:t xml:space="preserve"> </w:t>
      </w:r>
      <w:hyperlink r:id="rId184">
        <w:r>
          <w:rPr>
            <w:rStyle w:val="Hyperlink"/>
          </w:rPr>
          <w:t xml:space="preserve">10.1371/journal.pone.0244615</w:t>
        </w:r>
      </w:hyperlink>
    </w:p>
    <w:bookmarkEnd w:id="185"/>
    <w:bookmarkStart w:id="189" w:name="ref-pjjiQi2H"/>
    <w:p>
      <w:pPr>
        <w:pStyle w:val="Bibliography"/>
      </w:pPr>
      <w:r>
        <w:t xml:space="preserve">40.</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86">
        <w:r>
          <w:rPr>
            <w:rStyle w:val="Hyperlink"/>
          </w:rPr>
          <w:t xml:space="preserve">https://www.pnas.org/content/116/24/11833</w:t>
        </w:r>
      </w:hyperlink>
      <w:r>
        <w:t xml:space="preserve"> </w:t>
      </w:r>
      <w:r>
        <w:br/>
      </w:r>
      <w:r>
        <w:t xml:space="preserve">DOI:</w:t>
      </w:r>
      <w:r>
        <w:t xml:space="preserve"> </w:t>
      </w:r>
      <w:hyperlink r:id="rId187">
        <w:r>
          <w:rPr>
            <w:rStyle w:val="Hyperlink"/>
          </w:rPr>
          <w:t xml:space="preserve">10.1073/pnas.1901366116</w:t>
        </w:r>
      </w:hyperlink>
      <w:r>
        <w:t xml:space="preserve"> </w:t>
      </w:r>
      <w:r>
        <w:t xml:space="preserve">· PMID:</w:t>
      </w:r>
      <w:r>
        <w:t xml:space="preserve"> </w:t>
      </w:r>
      <w:hyperlink r:id="rId188">
        <w:r>
          <w:rPr>
            <w:rStyle w:val="Hyperlink"/>
          </w:rPr>
          <w:t xml:space="preserve">31138696</w:t>
        </w:r>
      </w:hyperlink>
    </w:p>
    <w:bookmarkEnd w:id="189"/>
    <w:bookmarkStart w:id="192" w:name="ref-39QXTupk"/>
    <w:p>
      <w:pPr>
        <w:pStyle w:val="Bibliography"/>
      </w:pPr>
      <w:r>
        <w:t xml:space="preserve">41.</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90">
        <w:r>
          <w:rPr>
            <w:rStyle w:val="Hyperlink"/>
          </w:rPr>
          <w:t xml:space="preserve">http://linkinghub.elsevier.com/retrieve/pii/S1931312816302086</w:t>
        </w:r>
      </w:hyperlink>
      <w:r>
        <w:t xml:space="preserve"> </w:t>
      </w:r>
      <w:r>
        <w:br/>
      </w:r>
      <w:r>
        <w:t xml:space="preserve">DOI:</w:t>
      </w:r>
      <w:r>
        <w:t xml:space="preserve"> </w:t>
      </w:r>
      <w:hyperlink r:id="rId191">
        <w:r>
          <w:rPr>
            <w:rStyle w:val="Hyperlink"/>
          </w:rPr>
          <w:t xml:space="preserve">10.1016/j.chom.2016.05.012</w:t>
        </w:r>
      </w:hyperlink>
    </w:p>
    <w:bookmarkEnd w:id="192"/>
    <w:bookmarkStart w:id="196" w:name="ref-Y4CIJOZW"/>
    <w:p>
      <w:pPr>
        <w:pStyle w:val="Bibliography"/>
      </w:pPr>
      <w:r>
        <w:t xml:space="preserve">42.</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93">
        <w:r>
          <w:rPr>
            <w:rStyle w:val="Hyperlink"/>
          </w:rPr>
          <w:t xml:space="preserve">10.1038/ng.705</w:t>
        </w:r>
      </w:hyperlink>
      <w:r>
        <w:t xml:space="preserve"> </w:t>
      </w:r>
      <w:r>
        <w:t xml:space="preserve">· PMID:</w:t>
      </w:r>
      <w:r>
        <w:t xml:space="preserve"> </w:t>
      </w:r>
      <w:hyperlink r:id="rId194">
        <w:r>
          <w:rPr>
            <w:rStyle w:val="Hyperlink"/>
          </w:rPr>
          <w:t xml:space="preserve">21037571</w:t>
        </w:r>
      </w:hyperlink>
      <w:r>
        <w:t xml:space="preserve"> </w:t>
      </w:r>
      <w:r>
        <w:t xml:space="preserve">· PMCID:</w:t>
      </w:r>
      <w:r>
        <w:t xml:space="preserve"> </w:t>
      </w:r>
      <w:hyperlink r:id="rId195">
        <w:r>
          <w:rPr>
            <w:rStyle w:val="Hyperlink"/>
          </w:rPr>
          <w:t xml:space="preserve">PMC2999892</w:t>
        </w:r>
      </w:hyperlink>
    </w:p>
    <w:bookmarkEnd w:id="196"/>
    <w:bookmarkStart w:id="198" w:name="ref-zikRADit"/>
    <w:p>
      <w:pPr>
        <w:pStyle w:val="Bibliography"/>
      </w:pPr>
      <w:r>
        <w:t xml:space="preserve">43.</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97">
        <w:r>
          <w:rPr>
            <w:rStyle w:val="Hyperlink"/>
          </w:rPr>
          <w:t xml:space="preserve">https://doi.org/10.1093/molbev/msaa163</w:t>
        </w:r>
      </w:hyperlink>
      <w:r>
        <w:t xml:space="preserve"> </w:t>
      </w:r>
      <w:r>
        <w:br/>
      </w:r>
      <w:r>
        <w:t xml:space="preserve">DOI:</w:t>
      </w:r>
      <w:r>
        <w:t xml:space="preserve"> </w:t>
      </w:r>
      <w:hyperlink r:id="rId197">
        <w:r>
          <w:rPr>
            <w:rStyle w:val="Hyperlink"/>
          </w:rPr>
          <w:t xml:space="preserve">10.1093/molbev/msaa163</w:t>
        </w:r>
      </w:hyperlink>
    </w:p>
    <w:bookmarkEnd w:id="198"/>
    <w:bookmarkEnd w:id="199"/>
    <w:p>
      <w:pPr>
        <w:pStyle w:val="Heading2"/>
      </w:pPr>
      <w:bookmarkStart w:id="200" w:name="appendix"/>
      <w:r>
        <w:t xml:space="preserve">Appendix</w:t>
      </w:r>
      <w:bookmarkEnd w:id="200"/>
    </w:p>
    <w:p>
      <w:pPr>
        <w:pStyle w:val="Heading3"/>
      </w:pPr>
      <w:bookmarkStart w:id="201" w:name="methods-overview"/>
      <w:r>
        <w:t xml:space="preserve">Methods Overview</w:t>
      </w:r>
      <w:bookmarkEnd w:id="201"/>
    </w:p>
    <w:p>
      <w:pPr>
        <w:pStyle w:val="Heading4"/>
      </w:pPr>
      <w:bookmarkStart w:id="202" w:name="geography"/>
      <w:r>
        <w:t xml:space="preserve">Geography</w:t>
      </w:r>
      <w:bookmarkEnd w:id="202"/>
    </w:p>
    <w:p>
      <w:pPr>
        <w:pStyle w:val="FirstParagraph"/>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map_all_branch-major">
        <w:r>
          <w:rPr>
            <w:rStyle w:val="Hyperlink"/>
          </w:rPr>
          <w:t xml:space="preserve">4</w:t>
        </w:r>
      </w:hyperlink>
      <w:r>
        <w:t xml:space="preserve">) does not reflect the known distribution of modern plague</w:t>
      </w:r>
      <w:r>
        <w:t xml:space="preserve"> </w:t>
      </w:r>
      <w:r>
        <w:t xml:space="preserve">[</w:t>
      </w:r>
      <w:hyperlink w:anchor="ref-pjjiQi2H">
        <w:r>
          <w:rPr>
            <w:rStyle w:val="Hyperlink"/>
          </w:rPr>
          <w:t xml:space="preserve">40</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41</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17</w:t>
        </w:r>
      </w:hyperlink>
      <w:r>
        <w:t xml:space="preserve">,</w:t>
      </w:r>
      <w:hyperlink w:anchor="ref-Y4CIJOZW">
        <w:r>
          <w:rPr>
            <w:rStyle w:val="Hyperlink"/>
          </w:rPr>
          <w:t xml:space="preserve">42</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Heading3"/>
      </w:pPr>
      <w:bookmarkStart w:id="203" w:name="phylodynamics-2"/>
      <w:r>
        <w:t xml:space="preserve">Phylodynamics</w:t>
      </w:r>
      <w:bookmarkEnd w:id="203"/>
    </w:p>
    <w:p>
      <w:pPr>
        <w:pStyle w:val="Heading4"/>
      </w:pPr>
      <w:bookmarkStart w:id="204" w:name="root-to-tip-regression"/>
      <w:r>
        <w:t xml:space="preserve">Root to Tip Regression</w:t>
      </w:r>
      <w:bookmarkEnd w:id="204"/>
    </w:p>
    <w:bookmarkStart w:id="0" w:name="tbl:rtt_statistics"/>
    <w:p>
      <w:pPr>
        <w:pStyle w:val="TableCaption"/>
      </w:pPr>
      <w:r>
        <w:t xml:space="preserve">Table 2: Root-to-tip regression statistics.</w:t>
      </w:r>
      <w:r>
        <w:t xml:space="preserve"> </w:t>
      </w:r>
    </w:p>
    <w:tbl>
      <w:tblPr>
        <w:tblStyle w:val="Table"/>
        <w:tblW w:type="pct" w:w="0.0"/>
        <w:tblLook w:firstRow="1"/>
        <w:tblCaption w:val="Table 2: Root-to-tip regression statistics. "/>
      </w:tblPr>
      <w:tblGrid/>
      <w:tr>
        <w:trPr>
          <w:cnfStyle w:firstRow="1"/>
        </w:trPr>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Coefficient</w:t>
            </w:r>
          </w:p>
        </w:tc>
        <w:tc>
          <w:tcPr>
            <w:tcBorders>
              <w:bottom w:val="single"/>
            </w:tcBorders>
            <w:vAlign w:val="bottom"/>
          </w:tcPr>
          <w:p>
            <w:pPr>
              <w:pStyle w:val="Compact"/>
              <w:jc w:val="center"/>
            </w:pPr>
            <w:r>
              <w:t xml:space="preserve">p</w:t>
            </w:r>
          </w:p>
        </w:tc>
      </w:tr>
      <w:tr>
        <w:tc>
          <w:p>
            <w:pPr>
              <w:pStyle w:val="Compact"/>
              <w:jc w:val="center"/>
            </w:pPr>
            <w:r>
              <w:t xml:space="preserve">All</w:t>
            </w:r>
          </w:p>
        </w:tc>
        <w:tc>
          <w:p>
            <w:pPr>
              <w:pStyle w:val="Compact"/>
              <w:jc w:val="center"/>
            </w:pPr>
            <w:r>
              <w:t xml:space="preserve">601</w:t>
            </w:r>
          </w:p>
        </w:tc>
        <w:tc>
          <w:p>
            <w:pPr>
              <w:pStyle w:val="Compact"/>
              <w:jc w:val="center"/>
            </w:pPr>
            <w:r>
              <w:t xml:space="preserve">0.09</w:t>
            </w:r>
          </w:p>
        </w:tc>
        <w:tc>
          <w:p>
            <w:pPr>
              <w:pStyle w:val="Compact"/>
              <w:jc w:val="center"/>
            </w:pPr>
            <w:r>
              <w:t xml:space="preserve">4.959e-13*</w:t>
            </w:r>
          </w:p>
        </w:tc>
      </w:tr>
      <w:tr>
        <w:tc>
          <w:p>
            <w:pPr>
              <w:pStyle w:val="Compact"/>
              <w:jc w:val="center"/>
            </w:pPr>
            <w:r>
              <w:t xml:space="preserve">1.ORI</w:t>
            </w:r>
          </w:p>
        </w:tc>
        <w:tc>
          <w:p>
            <w:pPr>
              <w:pStyle w:val="Compact"/>
              <w:jc w:val="center"/>
            </w:pPr>
            <w:r>
              <w:t xml:space="preserve">117</w:t>
            </w:r>
          </w:p>
        </w:tc>
        <w:tc>
          <w:p>
            <w:pPr>
              <w:pStyle w:val="Compact"/>
              <w:jc w:val="center"/>
            </w:pPr>
            <w:r>
              <w:t xml:space="preserve">0.04</w:t>
            </w:r>
          </w:p>
        </w:tc>
        <w:tc>
          <w:p>
            <w:pPr>
              <w:pStyle w:val="Compact"/>
              <w:jc w:val="center"/>
            </w:pPr>
            <w:r>
              <w:t xml:space="preserve">1.184e-01</w:t>
            </w:r>
          </w:p>
        </w:tc>
      </w:tr>
      <w:tr>
        <w:tc>
          <w:p>
            <w:pPr>
              <w:pStyle w:val="Compact"/>
              <w:jc w:val="center"/>
            </w:pPr>
            <w:r>
              <w:t xml:space="preserve">1.IN</w:t>
            </w:r>
          </w:p>
        </w:tc>
        <w:tc>
          <w:p>
            <w:pPr>
              <w:pStyle w:val="Compact"/>
              <w:jc w:val="center"/>
            </w:pPr>
            <w:r>
              <w:t xml:space="preserve">39</w:t>
            </w:r>
          </w:p>
        </w:tc>
        <w:tc>
          <w:p>
            <w:pPr>
              <w:pStyle w:val="Compact"/>
              <w:jc w:val="center"/>
            </w:pPr>
            <w:r>
              <w:t xml:space="preserve">-0.0</w:t>
            </w:r>
          </w:p>
        </w:tc>
        <w:tc>
          <w:p>
            <w:pPr>
              <w:pStyle w:val="Compact"/>
              <w:jc w:val="center"/>
            </w:pPr>
            <w:r>
              <w:t xml:space="preserve">1.0</w:t>
            </w:r>
          </w:p>
        </w:tc>
      </w:tr>
      <w:tr>
        <w:tc>
          <w:p>
            <w:pPr>
              <w:pStyle w:val="Compact"/>
              <w:jc w:val="center"/>
            </w:pPr>
            <w:r>
              <w:t xml:space="preserve">1.ANT</w:t>
            </w:r>
          </w:p>
        </w:tc>
        <w:tc>
          <w:p>
            <w:pPr>
              <w:pStyle w:val="Compact"/>
              <w:jc w:val="center"/>
            </w:pPr>
            <w:r>
              <w:t xml:space="preserve">4</w:t>
            </w:r>
          </w:p>
        </w:tc>
        <w:tc>
          <w:p>
            <w:pPr>
              <w:pStyle w:val="Compact"/>
              <w:jc w:val="center"/>
            </w:pPr>
            <w:r>
              <w:t xml:space="preserve">0.45</w:t>
            </w:r>
          </w:p>
        </w:tc>
        <w:tc>
          <w:p>
            <w:pPr>
              <w:pStyle w:val="Compact"/>
              <w:jc w:val="center"/>
            </w:pPr>
            <w:r>
              <w:t xml:space="preserve">1.0</w:t>
            </w:r>
          </w:p>
        </w:tc>
      </w:tr>
      <w:tr>
        <w:tc>
          <w:p>
            <w:pPr>
              <w:pStyle w:val="Compact"/>
              <w:jc w:val="center"/>
            </w:pPr>
            <w:r>
              <w:t xml:space="preserve">1.PRE</w:t>
            </w:r>
          </w:p>
        </w:tc>
        <w:tc>
          <w:p>
            <w:pPr>
              <w:pStyle w:val="Compact"/>
              <w:jc w:val="center"/>
            </w:pPr>
            <w:r>
              <w:t xml:space="preserve">40</w:t>
            </w:r>
          </w:p>
        </w:tc>
        <w:tc>
          <w:p>
            <w:pPr>
              <w:pStyle w:val="Compact"/>
              <w:jc w:val="center"/>
            </w:pPr>
            <w:r>
              <w:t xml:space="preserve">0.76</w:t>
            </w:r>
          </w:p>
        </w:tc>
        <w:tc>
          <w:p>
            <w:pPr>
              <w:pStyle w:val="Compact"/>
              <w:jc w:val="center"/>
            </w:pPr>
            <w:r>
              <w:t xml:space="preserve">2.022e-12*</w:t>
            </w:r>
          </w:p>
        </w:tc>
      </w:tr>
      <w:tr>
        <w:tc>
          <w:p>
            <w:pPr>
              <w:pStyle w:val="Compact"/>
              <w:jc w:val="center"/>
            </w:pPr>
            <w:r>
              <w:t xml:space="preserve">2.MED</w:t>
            </w:r>
          </w:p>
        </w:tc>
        <w:tc>
          <w:p>
            <w:pPr>
              <w:pStyle w:val="Compact"/>
              <w:jc w:val="center"/>
            </w:pPr>
            <w:r>
              <w:t xml:space="preserve">116</w:t>
            </w:r>
          </w:p>
        </w:tc>
        <w:tc>
          <w:p>
            <w:pPr>
              <w:pStyle w:val="Compact"/>
              <w:jc w:val="center"/>
            </w:pPr>
            <w:r>
              <w:t xml:space="preserve">0.01</w:t>
            </w:r>
          </w:p>
        </w:tc>
        <w:tc>
          <w:p>
            <w:pPr>
              <w:pStyle w:val="Compact"/>
              <w:jc w:val="center"/>
            </w:pPr>
            <w:r>
              <w:t xml:space="preserve">1.0</w:t>
            </w:r>
          </w:p>
        </w:tc>
      </w:tr>
      <w:tr>
        <w:tc>
          <w:p>
            <w:pPr>
              <w:pStyle w:val="Compact"/>
              <w:jc w:val="center"/>
            </w:pPr>
            <w:r>
              <w:t xml:space="preserve">2.ANT</w:t>
            </w:r>
          </w:p>
        </w:tc>
        <w:tc>
          <w:p>
            <w:pPr>
              <w:pStyle w:val="Compact"/>
              <w:jc w:val="center"/>
            </w:pPr>
            <w:r>
              <w:t xml:space="preserve">54</w:t>
            </w:r>
          </w:p>
        </w:tc>
        <w:tc>
          <w:p>
            <w:pPr>
              <w:pStyle w:val="Compact"/>
              <w:jc w:val="center"/>
            </w:pPr>
            <w:r>
              <w:t xml:space="preserve">0.05</w:t>
            </w:r>
          </w:p>
        </w:tc>
        <w:tc>
          <w:p>
            <w:pPr>
              <w:pStyle w:val="Compact"/>
              <w:jc w:val="center"/>
            </w:pPr>
            <w:r>
              <w:t xml:space="preserve">4.764e-01</w:t>
            </w:r>
          </w:p>
        </w:tc>
      </w:tr>
      <w:tr>
        <w:tc>
          <w:p>
            <w:pPr>
              <w:pStyle w:val="Compact"/>
              <w:jc w:val="center"/>
            </w:pPr>
            <w:r>
              <w:t xml:space="preserve">4.ANT</w:t>
            </w:r>
          </w:p>
        </w:tc>
        <w:tc>
          <w:p>
            <w:pPr>
              <w:pStyle w:val="Compact"/>
              <w:jc w:val="center"/>
            </w:pPr>
            <w:r>
              <w:t xml:space="preserve">11</w:t>
            </w:r>
          </w:p>
        </w:tc>
        <w:tc>
          <w:p>
            <w:pPr>
              <w:pStyle w:val="Compact"/>
              <w:jc w:val="center"/>
            </w:pPr>
            <w:r>
              <w:t xml:space="preserve">-0.11</w:t>
            </w:r>
          </w:p>
        </w:tc>
        <w:tc>
          <w:p>
            <w:pPr>
              <w:pStyle w:val="Compact"/>
              <w:jc w:val="center"/>
            </w:pPr>
            <w:r>
              <w:t xml:space="preserve">1.0</w:t>
            </w:r>
          </w:p>
        </w:tc>
      </w:tr>
      <w:tr>
        <w:tc>
          <w:p>
            <w:pPr>
              <w:pStyle w:val="Compact"/>
              <w:jc w:val="center"/>
            </w:pPr>
            <w:r>
              <w:t xml:space="preserve">3.ANT</w:t>
            </w:r>
          </w:p>
        </w:tc>
        <w:tc>
          <w:p>
            <w:pPr>
              <w:pStyle w:val="Compact"/>
              <w:jc w:val="center"/>
            </w:pPr>
            <w:r>
              <w:t xml:space="preserve">11</w:t>
            </w:r>
          </w:p>
        </w:tc>
        <w:tc>
          <w:p>
            <w:pPr>
              <w:pStyle w:val="Compact"/>
              <w:jc w:val="center"/>
            </w:pPr>
            <w:r>
              <w:t xml:space="preserve">-0.04</w:t>
            </w:r>
          </w:p>
        </w:tc>
        <w:tc>
          <w:p>
            <w:pPr>
              <w:pStyle w:val="Compact"/>
              <w:jc w:val="center"/>
            </w:pPr>
            <w:r>
              <w:t xml:space="preserve">1.0</w:t>
            </w:r>
          </w:p>
        </w:tc>
      </w:tr>
      <w:tr>
        <w:tc>
          <w:p>
            <w:pPr>
              <w:pStyle w:val="Compact"/>
              <w:jc w:val="center"/>
            </w:pPr>
            <w:r>
              <w:t xml:space="preserve">0.ANT</w:t>
            </w:r>
          </w:p>
        </w:tc>
        <w:tc>
          <w:p>
            <w:pPr>
              <w:pStyle w:val="Compact"/>
              <w:jc w:val="center"/>
            </w:pPr>
            <w:r>
              <w:t xml:space="preserve">103</w:t>
            </w:r>
          </w:p>
        </w:tc>
        <w:tc>
          <w:p>
            <w:pPr>
              <w:pStyle w:val="Compact"/>
              <w:jc w:val="center"/>
            </w:pPr>
            <w:r>
              <w:t xml:space="preserve">-0.01</w:t>
            </w:r>
          </w:p>
        </w:tc>
        <w:tc>
          <w:p>
            <w:pPr>
              <w:pStyle w:val="Compact"/>
              <w:jc w:val="center"/>
            </w:pPr>
            <w:r>
              <w:t xml:space="preserve">1.0</w:t>
            </w:r>
          </w:p>
        </w:tc>
      </w:tr>
      <w:tr>
        <w:tc>
          <w:p>
            <w:pPr>
              <w:pStyle w:val="Compact"/>
              <w:jc w:val="center"/>
            </w:pPr>
            <w:r>
              <w:t xml:space="preserve">0.ANT4</w:t>
            </w:r>
          </w:p>
        </w:tc>
        <w:tc>
          <w:p>
            <w:pPr>
              <w:pStyle w:val="Compact"/>
              <w:jc w:val="center"/>
            </w:pPr>
            <w:r>
              <w:t xml:space="preserve">12</w:t>
            </w:r>
          </w:p>
        </w:tc>
        <w:tc>
          <w:p>
            <w:pPr>
              <w:pStyle w:val="Compact"/>
              <w:jc w:val="center"/>
            </w:pPr>
            <w:r>
              <w:t xml:space="preserve">0.66</w:t>
            </w:r>
          </w:p>
        </w:tc>
        <w:tc>
          <w:p>
            <w:pPr>
              <w:pStyle w:val="Compact"/>
              <w:jc w:val="center"/>
            </w:pPr>
            <w:r>
              <w:t xml:space="preserve">7.842e-03*</w:t>
            </w:r>
          </w:p>
        </w:tc>
      </w:tr>
      <w:tr>
        <w:tc>
          <w:p>
            <w:pPr>
              <w:pStyle w:val="Compact"/>
              <w:jc w:val="center"/>
            </w:pPr>
            <w:r>
              <w:t xml:space="preserve">0.PE</w:t>
            </w:r>
          </w:p>
        </w:tc>
        <w:tc>
          <w:p>
            <w:pPr>
              <w:pStyle w:val="Compact"/>
              <w:jc w:val="center"/>
            </w:pPr>
            <w:r>
              <w:t xml:space="preserve">83</w:t>
            </w:r>
          </w:p>
        </w:tc>
        <w:tc>
          <w:p>
            <w:pPr>
              <w:pStyle w:val="Compact"/>
              <w:jc w:val="center"/>
            </w:pPr>
            <w:r>
              <w:t xml:space="preserve">0.01</w:t>
            </w:r>
          </w:p>
        </w:tc>
        <w:tc>
          <w:p>
            <w:pPr>
              <w:pStyle w:val="Compact"/>
              <w:jc w:val="center"/>
            </w:pPr>
            <w:r>
              <w:t xml:space="preserve">1.0</w:t>
            </w:r>
          </w:p>
        </w:tc>
      </w:tr>
      <w:tr>
        <w:tc>
          <w:p>
            <w:pPr>
              <w:pStyle w:val="Compact"/>
              <w:jc w:val="center"/>
            </w:pPr>
            <w:r>
              <w:t xml:space="preserve">0.PRE</w:t>
            </w:r>
          </w:p>
        </w:tc>
        <w:tc>
          <w:p>
            <w:pPr>
              <w:pStyle w:val="Compact"/>
              <w:jc w:val="center"/>
            </w:pPr>
            <w:r>
              <w:t xml:space="preserve">8</w:t>
            </w:r>
          </w:p>
        </w:tc>
        <w:tc>
          <w:p>
            <w:pPr>
              <w:pStyle w:val="Compact"/>
              <w:jc w:val="center"/>
            </w:pPr>
            <w:r>
              <w:t xml:space="preserve">0.91</w:t>
            </w:r>
          </w:p>
        </w:tc>
        <w:tc>
          <w:p>
            <w:pPr>
              <w:pStyle w:val="Compact"/>
              <w:jc w:val="center"/>
            </w:pPr>
            <w:r>
              <w:t xml:space="preserve">1.678e-03*</w:t>
            </w:r>
          </w:p>
        </w:tc>
      </w:tr>
    </w:tbl>
    <w:bookmarkEnd w:id="0"/>
    <w:bookmarkStart w:id="0" w:name="fig:rtt_clades"/>
    <w:p>
      <w:pPr>
        <w:pStyle w:val="CaptionedFigure"/>
      </w:pPr>
      <w:bookmarkStart w:id="206" w:name="fig:rtt_clades"/>
      <w:r>
        <w:drawing>
          <wp:inline>
            <wp:extent cx="4973052" cy="5392439"/>
            <wp:effectExtent b="0" l="0" r="0" t="0"/>
            <wp:docPr descr="Figure 11: Root To Tip Regression by clade." title="" id="1" name="Picture"/>
            <a:graphic>
              <a:graphicData uri="http://schemas.openxmlformats.org/drawingml/2006/picture">
                <pic:pic>
                  <pic:nvPicPr>
                    <pic:cNvPr descr="https://raw.githubusercontent.com/ktmeaton/plague-phylogeography-projects/cd898b3/main/iqtree/all/chromosome/full/filter5/filter-taxa/rtt_clades.png" id="0" name="Picture"/>
                    <pic:cNvPicPr>
                      <a:picLocks noChangeArrowheads="1" noChangeAspect="1"/>
                    </pic:cNvPicPr>
                  </pic:nvPicPr>
                  <pic:blipFill>
                    <a:blip r:embed="rId205"/>
                    <a:stretch>
                      <a:fillRect/>
                    </a:stretch>
                  </pic:blipFill>
                  <pic:spPr bwMode="auto">
                    <a:xfrm>
                      <a:off x="0" y="0"/>
                      <a:ext cx="4973052" cy="5392439"/>
                    </a:xfrm>
                    <a:prstGeom prst="rect">
                      <a:avLst/>
                    </a:prstGeom>
                    <a:noFill/>
                    <a:ln w="9525">
                      <a:noFill/>
                      <a:headEnd/>
                      <a:tailEnd/>
                    </a:ln>
                  </pic:spPr>
                </pic:pic>
              </a:graphicData>
            </a:graphic>
          </wp:inline>
        </w:drawing>
      </w:r>
      <w:bookmarkEnd w:id="206"/>
    </w:p>
    <w:p>
      <w:pPr>
        <w:pStyle w:val="ImageCaption"/>
      </w:pPr>
      <w:r>
        <w:t xml:space="preserve">Figure 11: Root To Tip Regression by clade.</w:t>
      </w:r>
    </w:p>
    <w:bookmarkEnd w:id="0"/>
    <w:p>
      <w:pPr>
        <w:pStyle w:val="Heading3"/>
      </w:pPr>
      <w:bookmarkStart w:id="207" w:name="misc-note"/>
      <w:r>
        <w:t xml:space="preserve">Misc Note</w:t>
      </w:r>
      <w:bookmarkEnd w:id="207"/>
    </w:p>
    <w:p>
      <w:pPr>
        <w:numPr>
          <w:ilvl w:val="0"/>
          <w:numId w:val="1004"/>
        </w:numPr>
        <w:pStyle w:val="Compact"/>
      </w:pPr>
      <w:r>
        <w:t xml:space="preserve">The single ancient sample of 0.PE was excluded from the BEAST analysis! This was partly by mistake, as for other clades, I separated out the ancient and modern samples based on their drastically different sampling periods. But for 0.PE, there’s only one ancient sample and it got dropped.</w:t>
      </w:r>
    </w:p>
    <w:p>
      <w:pPr>
        <w:numPr>
          <w:ilvl w:val="0"/>
          <w:numId w:val="1004"/>
        </w:numPr>
        <w:pStyle w:val="Compact"/>
      </w:pPr>
      <w:r>
        <w:t xml:space="preserve">Update tables with finalized logs and trees. Specifically Bayes Factors and rates.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205" Target="media/rId205.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90" Target="http://linkinghub.elsevier.com/retrieve/pii/S1931312816302086" TargetMode="External" /><Relationship Type="http://schemas.openxmlformats.org/officeDocument/2006/relationships/hyperlink" Id="rId88" Target="http://reviverestore.org/wp-content/uploads/2015/02/Gage-and-Kosoy_USGS-Blk-footed-ferret-symp_2006-copy.pdf" TargetMode="External" /><Relationship Type="http://schemas.openxmlformats.org/officeDocument/2006/relationships/hyperlink" Id="rId149" Target="http://www.nature.com/articles/nmeth.4285" TargetMode="External" /><Relationship Type="http://schemas.openxmlformats.org/officeDocument/2006/relationships/hyperlink" Id="rId120" Target="http://www.pnas.org/cgi/doi/10.1073/pnas.1205750110" TargetMode="External" /><Relationship Type="http://schemas.openxmlformats.org/officeDocument/2006/relationships/hyperlink" Id="rId168" Target="http://www.sciencedirect.com/science/article/pii/S1286457904002357" TargetMode="External" /><Relationship Type="http://schemas.openxmlformats.org/officeDocument/2006/relationships/hyperlink" Id="rId155" Target="https://academic.oup.com/mbe/article/35/2/518/4565479" TargetMode="External" /><Relationship Type="http://schemas.openxmlformats.org/officeDocument/2006/relationships/hyperlink" Id="rId152" Target="https://academic.oup.com/mbe/article/37/5/1530/5721363" TargetMode="External" /><Relationship Type="http://schemas.openxmlformats.org/officeDocument/2006/relationships/hyperlink" Id="rId86" Target="https://apps.who.int/iris/bitstream/handle/10665/325481/WER9425-en-fr.pdf" TargetMode="External" /><Relationship Type="http://schemas.openxmlformats.org/officeDocument/2006/relationships/hyperlink" Id="rId158" Target="https://conference.scipy.org/proceedings/scipy2010/seabold.html" TargetMode="External" /><Relationship Type="http://schemas.openxmlformats.org/officeDocument/2006/relationships/hyperlink" Id="rId107" Target="https://doi.org/10.1007/978-94-024-0890-4_3" TargetMode="External" /><Relationship Type="http://schemas.openxmlformats.org/officeDocument/2006/relationships/hyperlink" Id="rId124" Target="https://doi.org/10.1016/S1473-3099(13)70323-2" TargetMode="External" /><Relationship Type="http://schemas.openxmlformats.org/officeDocument/2006/relationships/hyperlink" Id="rId162" Target="https://doi.org/10.1016/S2666-5247(20)30176-2" TargetMode="External" /><Relationship Type="http://schemas.openxmlformats.org/officeDocument/2006/relationships/hyperlink" Id="rId91" Target="https://doi.org/10.1016/j.cell.2015.10.009" TargetMode="External" /><Relationship Type="http://schemas.openxmlformats.org/officeDocument/2006/relationships/hyperlink" Id="rId71" Target="https://doi.org/10.1016/j.cell.2018.11.005" TargetMode="External" /><Relationship Type="http://schemas.openxmlformats.org/officeDocument/2006/relationships/hyperlink" Id="rId191" Target="https://doi.org/10.1016/j.chom.2016.05.012" TargetMode="External" /><Relationship Type="http://schemas.openxmlformats.org/officeDocument/2006/relationships/hyperlink" Id="rId67" Target="https://doi.org/10.1016/j.cub.2017.10.025" TargetMode="External" /><Relationship Type="http://schemas.openxmlformats.org/officeDocument/2006/relationships/hyperlink" Id="rId169" Target="https://doi.org/10.1016/j.micinf.2004.08.002" TargetMode="External" /><Relationship Type="http://schemas.openxmlformats.org/officeDocument/2006/relationships/hyperlink" Id="rId193" Target="https://doi.org/10.1038/ng.705" TargetMode="External" /><Relationship Type="http://schemas.openxmlformats.org/officeDocument/2006/relationships/hyperlink" Id="rId150" Target="https://doi.org/10.1038/nmeth.4285" TargetMode="External" /><Relationship Type="http://schemas.openxmlformats.org/officeDocument/2006/relationships/hyperlink" Id="rId127" Target="https://doi.org/10.1038/s41467-019-12154-0" TargetMode="External" /><Relationship Type="http://schemas.openxmlformats.org/officeDocument/2006/relationships/hyperlink" Id="rId75" Target="https://doi.org/10.1038/s41598-017-13481-2" TargetMode="External" /><Relationship Type="http://schemas.openxmlformats.org/officeDocument/2006/relationships/hyperlink" Id="rId121" Target="https://doi.org/10.1073/pnas.1205750110" TargetMode="External" /><Relationship Type="http://schemas.openxmlformats.org/officeDocument/2006/relationships/hyperlink" Id="rId177" Target="https://doi.org/10.1073/pnas.1820447116" TargetMode="External" /><Relationship Type="http://schemas.openxmlformats.org/officeDocument/2006/relationships/hyperlink" Id="rId187" Target="https://doi.org/10.1073/pnas.1901366116" TargetMode="External" /><Relationship Type="http://schemas.openxmlformats.org/officeDocument/2006/relationships/hyperlink" Id="rId95" Target="https://doi.org/10.1073/pnas.96.24.14043" TargetMode="External" /><Relationship Type="http://schemas.openxmlformats.org/officeDocument/2006/relationships/hyperlink" Id="rId174" Target="https://doi.org/10.1093/gbe/evw285" TargetMode="External" /><Relationship Type="http://schemas.openxmlformats.org/officeDocument/2006/relationships/hyperlink" Id="rId153" Target="https://doi.org/10.1093/molbev/msaa015" TargetMode="External" /><Relationship Type="http://schemas.openxmlformats.org/officeDocument/2006/relationships/hyperlink" Id="rId197" Target="https://doi.org/10.1093/molbev/msaa163" TargetMode="External" /><Relationship Type="http://schemas.openxmlformats.org/officeDocument/2006/relationships/hyperlink" Id="rId156" Target="https://doi.org/10.1093/molbev/msx281" TargetMode="External" /><Relationship Type="http://schemas.openxmlformats.org/officeDocument/2006/relationships/hyperlink" Id="rId118" Target="https://doi.org/10.1093/sysbio/syaa009" TargetMode="External" /><Relationship Type="http://schemas.openxmlformats.org/officeDocument/2006/relationships/hyperlink" Id="rId181" Target="https://doi.org/10.1098/rspb.2013.3159" TargetMode="External" /><Relationship Type="http://schemas.openxmlformats.org/officeDocument/2006/relationships/hyperlink" Id="rId130" Target="https://doi.org/10.1099/mgen.0.000094" TargetMode="External" /><Relationship Type="http://schemas.openxmlformats.org/officeDocument/2006/relationships/hyperlink" Id="rId105" Target="https://doi.org/10.1099/mgen.0.000133" TargetMode="External" /><Relationship Type="http://schemas.openxmlformats.org/officeDocument/2006/relationships/hyperlink" Id="rId114" Target="https://doi.org/10.1101/gr.251678.119" TargetMode="External" /><Relationship Type="http://schemas.openxmlformats.org/officeDocument/2006/relationships/hyperlink" Id="rId100" Target="https://doi.org/10.1111/j.1462-2920.2011.02588.x" TargetMode="External" /><Relationship Type="http://schemas.openxmlformats.org/officeDocument/2006/relationships/hyperlink" Id="rId172" Target="https://doi.org/10.1371/journal.pone.0006000" TargetMode="External" /><Relationship Type="http://schemas.openxmlformats.org/officeDocument/2006/relationships/hyperlink" Id="rId184" Target="https://doi.org/10.1371/journal.pone.0244615" TargetMode="External" /><Relationship Type="http://schemas.openxmlformats.org/officeDocument/2006/relationships/hyperlink" Id="rId159" Target="https://doi.org/10.25080/Majora-92bf1922-011" TargetMode="External" /><Relationship Type="http://schemas.openxmlformats.org/officeDocument/2006/relationships/hyperlink" Id="rId111" Target="https://doi.org/10.3389/fmicb.2018.01106" TargetMode="External" /><Relationship Type="http://schemas.openxmlformats.org/officeDocument/2006/relationships/hyperlink" Id="rId147" Target="https://doi.org/10.7717/peerj.10947" TargetMode="External" /><Relationship Type="http://schemas.openxmlformats.org/officeDocument/2006/relationships/hyperlink" Id="rId136"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4" Target="https://github.com/ktmeaton/NCBImeta" TargetMode="External" /><Relationship Type="http://schemas.openxmlformats.org/officeDocument/2006/relationships/hyperlink" Id="rId21" Target="https://github.com/ktmeaton/obsidian-public/tree/d2eb9a13" TargetMode="External" /><Relationship Type="http://schemas.openxmlformats.org/officeDocument/2006/relationships/hyperlink" Id="rId144" Target="https://github.com/ncbi/sra-tools" TargetMode="External" /><Relationship Type="http://schemas.openxmlformats.org/officeDocument/2006/relationships/hyperlink" Id="rId138"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2" Target="https://github.com/tseemann/snippy" TargetMode="External" /><Relationship Type="http://schemas.openxmlformats.org/officeDocument/2006/relationships/hyperlink" Id="rId171" Target="https://journals.plos.org/plosone/article?id=10.1371/journal.pone.0006000" TargetMode="External" /><Relationship Type="http://schemas.openxmlformats.org/officeDocument/2006/relationships/hyperlink" Id="rId183" Target="https://journals.plos.org/plosone/article?id=10.1371/journal.pone.0244615" TargetMode="External" /><Relationship Type="http://schemas.openxmlformats.org/officeDocument/2006/relationships/hyperlink" Id="rId12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31"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6" Target="https://peerj.com/articles/10947" TargetMode="External" /><Relationship Type="http://schemas.openxmlformats.org/officeDocument/2006/relationships/hyperlink" Id="rId20" Target="https://rawcdn.githack.com/ktmeaton/obsidian-public/d2eb9a13/academic/Plague%20Phylodynamics%20and%20Phylogeography%20Paper.html" TargetMode="External" /><Relationship Type="http://schemas.openxmlformats.org/officeDocument/2006/relationships/hyperlink" Id="rId180" Target="https://royalsocietypublishing.org/doi/10.1098/rspb.2013.3159" TargetMode="External" /><Relationship Type="http://schemas.openxmlformats.org/officeDocument/2006/relationships/hyperlink" Id="rId84" Target="https://worldcat.org/isbn/0-85115-943-5" TargetMode="External" /><Relationship Type="http://schemas.openxmlformats.org/officeDocument/2006/relationships/hyperlink" Id="rId108" Target="https://worldcat.org/isbn/978-94-024-0890-4" TargetMode="External" /><Relationship Type="http://schemas.openxmlformats.org/officeDocument/2006/relationships/hyperlink" Id="rId70" Target="https://www.cell.com/cell/abstract/S0092-8674(18)31464-8" TargetMode="External" /><Relationship Type="http://schemas.openxmlformats.org/officeDocument/2006/relationships/hyperlink" Id="rId110" Target="https://www.frontiersin.org/article/10.3389/fmicb.2018.01106/full" TargetMode="External" /><Relationship Type="http://schemas.openxmlformats.org/officeDocument/2006/relationships/hyperlink" Id="rId104" Target="https://www.microbiologyresearch.org/content/journal/mgen/10.1099/mgen.0.000133" TargetMode="External" /><Relationship Type="http://schemas.openxmlformats.org/officeDocument/2006/relationships/hyperlink" Id="rId126" Target="https://www.nature.com/articles/s41467-019-12154-0" TargetMode="External" /><Relationship Type="http://schemas.openxmlformats.org/officeDocument/2006/relationships/hyperlink" Id="rId80" Target="https://www.ncbi.nlm.nih.gov/pmc/articles/PMC172914" TargetMode="External" /><Relationship Type="http://schemas.openxmlformats.org/officeDocument/2006/relationships/hyperlink" Id="rId97" Target="https://www.ncbi.nlm.nih.gov/pmc/articles/PMC24187" TargetMode="External" /><Relationship Type="http://schemas.openxmlformats.org/officeDocument/2006/relationships/hyperlink" Id="rId166" Target="https://www.ncbi.nlm.nih.gov/pmc/articles/PMC2554099" TargetMode="External" /><Relationship Type="http://schemas.openxmlformats.org/officeDocument/2006/relationships/hyperlink" Id="rId164" Target="https://www.ncbi.nlm.nih.gov/pmc/articles/PMC2554099/" TargetMode="External" /><Relationship Type="http://schemas.openxmlformats.org/officeDocument/2006/relationships/hyperlink" Id="rId195" Target="https://www.ncbi.nlm.nih.gov/pmc/articles/PMC2999892" TargetMode="External" /><Relationship Type="http://schemas.openxmlformats.org/officeDocument/2006/relationships/hyperlink" Id="rId102" Target="https://www.ncbi.nlm.nih.gov/pmc/articles/PMC3988354" TargetMode="External" /><Relationship Type="http://schemas.openxmlformats.org/officeDocument/2006/relationships/hyperlink" Id="rId99" Target="https://www.ncbi.nlm.nih.gov/pmc/articles/PMC3988354/" TargetMode="External" /><Relationship Type="http://schemas.openxmlformats.org/officeDocument/2006/relationships/hyperlink" Id="rId93" Target="https://www.ncbi.nlm.nih.gov/pmc/articles/PMC4644222" TargetMode="External" /><Relationship Type="http://schemas.openxmlformats.org/officeDocument/2006/relationships/hyperlink" Id="rId90" Target="https://www.ncbi.nlm.nih.gov/pmc/articles/PMC4644222/" TargetMode="External" /><Relationship Type="http://schemas.openxmlformats.org/officeDocument/2006/relationships/hyperlink" Id="rId132" Target="https://www.ncbi.nlm.nih.gov/pmc/articles/PMC5320706" TargetMode="External" /><Relationship Type="http://schemas.openxmlformats.org/officeDocument/2006/relationships/hyperlink" Id="rId129" Target="https://www.ncbi.nlm.nih.gov/pmc/articles/PMC5320706/" TargetMode="External" /><Relationship Type="http://schemas.openxmlformats.org/officeDocument/2006/relationships/hyperlink" Id="rId77" Target="https://www.ncbi.nlm.nih.gov/pmc/articles/PMC5636801" TargetMode="External" /><Relationship Type="http://schemas.openxmlformats.org/officeDocument/2006/relationships/hyperlink" Id="rId74" Target="https://www.ncbi.nlm.nih.gov/pmc/articles/PMC5636801/" TargetMode="External" /><Relationship Type="http://schemas.openxmlformats.org/officeDocument/2006/relationships/hyperlink" Id="rId116" Target="https://www.ncbi.nlm.nih.gov/pmc/articles/PMC6961584" TargetMode="External" /><Relationship Type="http://schemas.openxmlformats.org/officeDocument/2006/relationships/hyperlink" Id="rId113" Target="https://www.ncbi.nlm.nih.gov/pmc/articles/PMC6961584/" TargetMode="External" /><Relationship Type="http://schemas.openxmlformats.org/officeDocument/2006/relationships/hyperlink" Id="rId96" Target="https://www.ncbi.nlm.nih.gov/pubmed/10570195" TargetMode="External" /><Relationship Type="http://schemas.openxmlformats.org/officeDocument/2006/relationships/hyperlink" Id="rId165" Target="https://www.ncbi.nlm.nih.gov/pubmed/14859080" TargetMode="External" /><Relationship Type="http://schemas.openxmlformats.org/officeDocument/2006/relationships/hyperlink" Id="rId194" Target="https://www.ncbi.nlm.nih.gov/pubmed/21037571" TargetMode="External" /><Relationship Type="http://schemas.openxmlformats.org/officeDocument/2006/relationships/hyperlink" Id="rId101" Target="https://www.ncbi.nlm.nih.gov/pubmed/21951486" TargetMode="External" /><Relationship Type="http://schemas.openxmlformats.org/officeDocument/2006/relationships/hyperlink" Id="rId92" Target="https://www.ncbi.nlm.nih.gov/pubmed/26496604" TargetMode="External" /><Relationship Type="http://schemas.openxmlformats.org/officeDocument/2006/relationships/hyperlink" Id="rId131" Target="https://www.ncbi.nlm.nih.gov/pubmed/28348834" TargetMode="External" /><Relationship Type="http://schemas.openxmlformats.org/officeDocument/2006/relationships/hyperlink" Id="rId76" Target="https://www.ncbi.nlm.nih.gov/pubmed/29021541" TargetMode="External" /><Relationship Type="http://schemas.openxmlformats.org/officeDocument/2006/relationships/hyperlink" Id="rId68" Target="https://www.ncbi.nlm.nih.gov/pubmed/29174893" TargetMode="External" /><Relationship Type="http://schemas.openxmlformats.org/officeDocument/2006/relationships/hyperlink" Id="rId72" Target="https://www.ncbi.nlm.nih.gov/pubmed/30528431" TargetMode="External" /><Relationship Type="http://schemas.openxmlformats.org/officeDocument/2006/relationships/hyperlink" Id="rId188" Target="https://www.ncbi.nlm.nih.gov/pubmed/31138696" TargetMode="External" /><Relationship Type="http://schemas.openxmlformats.org/officeDocument/2006/relationships/hyperlink" Id="rId178" Target="https://www.ncbi.nlm.nih.gov/pubmed/31164419" TargetMode="External" /><Relationship Type="http://schemas.openxmlformats.org/officeDocument/2006/relationships/hyperlink" Id="rId115" Target="https://www.ncbi.nlm.nih.gov/pubmed/31809257" TargetMode="External" /><Relationship Type="http://schemas.openxmlformats.org/officeDocument/2006/relationships/hyperlink" Id="rId79" Target="https://www.ncbi.nlm.nih.gov/pubmed/8993858" TargetMode="External" /><Relationship Type="http://schemas.openxmlformats.org/officeDocument/2006/relationships/hyperlink" Id="rId140" Target="https://www.openstreetmap.org" TargetMode="External" /><Relationship Type="http://schemas.openxmlformats.org/officeDocument/2006/relationships/hyperlink" Id="rId186" Target="https://www.pnas.org/content/116/24/11833" TargetMode="External" /><Relationship Type="http://schemas.openxmlformats.org/officeDocument/2006/relationships/hyperlink" Id="rId176" Target="https://www.pnas.org/content/116/25/12363" TargetMode="External" /><Relationship Type="http://schemas.openxmlformats.org/officeDocument/2006/relationships/hyperlink" Id="rId161" Target="https://www.thelancet.com/journals/lanmic/article/PIIS2666-5247(20)30176-2/abstract" TargetMode="External" /><Relationship Type="http://schemas.openxmlformats.org/officeDocument/2006/relationships/hyperlink" Id="rId82"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90" Target="http://linkinghub.elsevier.com/retrieve/pii/S1931312816302086" TargetMode="External" /><Relationship Type="http://schemas.openxmlformats.org/officeDocument/2006/relationships/hyperlink" Id="rId88" Target="http://reviverestore.org/wp-content/uploads/2015/02/Gage-and-Kosoy_USGS-Blk-footed-ferret-symp_2006-copy.pdf" TargetMode="External" /><Relationship Type="http://schemas.openxmlformats.org/officeDocument/2006/relationships/hyperlink" Id="rId149" Target="http://www.nature.com/articles/nmeth.4285" TargetMode="External" /><Relationship Type="http://schemas.openxmlformats.org/officeDocument/2006/relationships/hyperlink" Id="rId120" Target="http://www.pnas.org/cgi/doi/10.1073/pnas.1205750110" TargetMode="External" /><Relationship Type="http://schemas.openxmlformats.org/officeDocument/2006/relationships/hyperlink" Id="rId168" Target="http://www.sciencedirect.com/science/article/pii/S1286457904002357" TargetMode="External" /><Relationship Type="http://schemas.openxmlformats.org/officeDocument/2006/relationships/hyperlink" Id="rId155" Target="https://academic.oup.com/mbe/article/35/2/518/4565479" TargetMode="External" /><Relationship Type="http://schemas.openxmlformats.org/officeDocument/2006/relationships/hyperlink" Id="rId152" Target="https://academic.oup.com/mbe/article/37/5/1530/5721363" TargetMode="External" /><Relationship Type="http://schemas.openxmlformats.org/officeDocument/2006/relationships/hyperlink" Id="rId86" Target="https://apps.who.int/iris/bitstream/handle/10665/325481/WER9425-en-fr.pdf" TargetMode="External" /><Relationship Type="http://schemas.openxmlformats.org/officeDocument/2006/relationships/hyperlink" Id="rId158" Target="https://conference.scipy.org/proceedings/scipy2010/seabold.html" TargetMode="External" /><Relationship Type="http://schemas.openxmlformats.org/officeDocument/2006/relationships/hyperlink" Id="rId107" Target="https://doi.org/10.1007/978-94-024-0890-4_3" TargetMode="External" /><Relationship Type="http://schemas.openxmlformats.org/officeDocument/2006/relationships/hyperlink" Id="rId124" Target="https://doi.org/10.1016/S1473-3099(13)70323-2" TargetMode="External" /><Relationship Type="http://schemas.openxmlformats.org/officeDocument/2006/relationships/hyperlink" Id="rId162" Target="https://doi.org/10.1016/S2666-5247(20)30176-2" TargetMode="External" /><Relationship Type="http://schemas.openxmlformats.org/officeDocument/2006/relationships/hyperlink" Id="rId91" Target="https://doi.org/10.1016/j.cell.2015.10.009" TargetMode="External" /><Relationship Type="http://schemas.openxmlformats.org/officeDocument/2006/relationships/hyperlink" Id="rId71" Target="https://doi.org/10.1016/j.cell.2018.11.005" TargetMode="External" /><Relationship Type="http://schemas.openxmlformats.org/officeDocument/2006/relationships/hyperlink" Id="rId191" Target="https://doi.org/10.1016/j.chom.2016.05.012" TargetMode="External" /><Relationship Type="http://schemas.openxmlformats.org/officeDocument/2006/relationships/hyperlink" Id="rId67" Target="https://doi.org/10.1016/j.cub.2017.10.025" TargetMode="External" /><Relationship Type="http://schemas.openxmlformats.org/officeDocument/2006/relationships/hyperlink" Id="rId169" Target="https://doi.org/10.1016/j.micinf.2004.08.002" TargetMode="External" /><Relationship Type="http://schemas.openxmlformats.org/officeDocument/2006/relationships/hyperlink" Id="rId193" Target="https://doi.org/10.1038/ng.705" TargetMode="External" /><Relationship Type="http://schemas.openxmlformats.org/officeDocument/2006/relationships/hyperlink" Id="rId150" Target="https://doi.org/10.1038/nmeth.4285" TargetMode="External" /><Relationship Type="http://schemas.openxmlformats.org/officeDocument/2006/relationships/hyperlink" Id="rId127" Target="https://doi.org/10.1038/s41467-019-12154-0" TargetMode="External" /><Relationship Type="http://schemas.openxmlformats.org/officeDocument/2006/relationships/hyperlink" Id="rId75" Target="https://doi.org/10.1038/s41598-017-13481-2" TargetMode="External" /><Relationship Type="http://schemas.openxmlformats.org/officeDocument/2006/relationships/hyperlink" Id="rId121" Target="https://doi.org/10.1073/pnas.1205750110" TargetMode="External" /><Relationship Type="http://schemas.openxmlformats.org/officeDocument/2006/relationships/hyperlink" Id="rId177" Target="https://doi.org/10.1073/pnas.1820447116" TargetMode="External" /><Relationship Type="http://schemas.openxmlformats.org/officeDocument/2006/relationships/hyperlink" Id="rId187" Target="https://doi.org/10.1073/pnas.1901366116" TargetMode="External" /><Relationship Type="http://schemas.openxmlformats.org/officeDocument/2006/relationships/hyperlink" Id="rId95" Target="https://doi.org/10.1073/pnas.96.24.14043" TargetMode="External" /><Relationship Type="http://schemas.openxmlformats.org/officeDocument/2006/relationships/hyperlink" Id="rId174" Target="https://doi.org/10.1093/gbe/evw285" TargetMode="External" /><Relationship Type="http://schemas.openxmlformats.org/officeDocument/2006/relationships/hyperlink" Id="rId153" Target="https://doi.org/10.1093/molbev/msaa015" TargetMode="External" /><Relationship Type="http://schemas.openxmlformats.org/officeDocument/2006/relationships/hyperlink" Id="rId197" Target="https://doi.org/10.1093/molbev/msaa163" TargetMode="External" /><Relationship Type="http://schemas.openxmlformats.org/officeDocument/2006/relationships/hyperlink" Id="rId156" Target="https://doi.org/10.1093/molbev/msx281" TargetMode="External" /><Relationship Type="http://schemas.openxmlformats.org/officeDocument/2006/relationships/hyperlink" Id="rId118" Target="https://doi.org/10.1093/sysbio/syaa009" TargetMode="External" /><Relationship Type="http://schemas.openxmlformats.org/officeDocument/2006/relationships/hyperlink" Id="rId181" Target="https://doi.org/10.1098/rspb.2013.3159" TargetMode="External" /><Relationship Type="http://schemas.openxmlformats.org/officeDocument/2006/relationships/hyperlink" Id="rId130" Target="https://doi.org/10.1099/mgen.0.000094" TargetMode="External" /><Relationship Type="http://schemas.openxmlformats.org/officeDocument/2006/relationships/hyperlink" Id="rId105" Target="https://doi.org/10.1099/mgen.0.000133" TargetMode="External" /><Relationship Type="http://schemas.openxmlformats.org/officeDocument/2006/relationships/hyperlink" Id="rId114" Target="https://doi.org/10.1101/gr.251678.119" TargetMode="External" /><Relationship Type="http://schemas.openxmlformats.org/officeDocument/2006/relationships/hyperlink" Id="rId100" Target="https://doi.org/10.1111/j.1462-2920.2011.02588.x" TargetMode="External" /><Relationship Type="http://schemas.openxmlformats.org/officeDocument/2006/relationships/hyperlink" Id="rId172" Target="https://doi.org/10.1371/journal.pone.0006000" TargetMode="External" /><Relationship Type="http://schemas.openxmlformats.org/officeDocument/2006/relationships/hyperlink" Id="rId184" Target="https://doi.org/10.1371/journal.pone.0244615" TargetMode="External" /><Relationship Type="http://schemas.openxmlformats.org/officeDocument/2006/relationships/hyperlink" Id="rId159" Target="https://doi.org/10.25080/Majora-92bf1922-011" TargetMode="External" /><Relationship Type="http://schemas.openxmlformats.org/officeDocument/2006/relationships/hyperlink" Id="rId111" Target="https://doi.org/10.3389/fmicb.2018.01106" TargetMode="External" /><Relationship Type="http://schemas.openxmlformats.org/officeDocument/2006/relationships/hyperlink" Id="rId147" Target="https://doi.org/10.7717/peerj.10947" TargetMode="External" /><Relationship Type="http://schemas.openxmlformats.org/officeDocument/2006/relationships/hyperlink" Id="rId136"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4" Target="https://github.com/ktmeaton/NCBImeta" TargetMode="External" /><Relationship Type="http://schemas.openxmlformats.org/officeDocument/2006/relationships/hyperlink" Id="rId21" Target="https://github.com/ktmeaton/obsidian-public/tree/d2eb9a13" TargetMode="External" /><Relationship Type="http://schemas.openxmlformats.org/officeDocument/2006/relationships/hyperlink" Id="rId144" Target="https://github.com/ncbi/sra-tools" TargetMode="External" /><Relationship Type="http://schemas.openxmlformats.org/officeDocument/2006/relationships/hyperlink" Id="rId138"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2" Target="https://github.com/tseemann/snippy" TargetMode="External" /><Relationship Type="http://schemas.openxmlformats.org/officeDocument/2006/relationships/hyperlink" Id="rId171" Target="https://journals.plos.org/plosone/article?id=10.1371/journal.pone.0006000" TargetMode="External" /><Relationship Type="http://schemas.openxmlformats.org/officeDocument/2006/relationships/hyperlink" Id="rId183" Target="https://journals.plos.org/plosone/article?id=10.1371/journal.pone.0244615" TargetMode="External" /><Relationship Type="http://schemas.openxmlformats.org/officeDocument/2006/relationships/hyperlink" Id="rId12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31"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6" Target="https://peerj.com/articles/10947" TargetMode="External" /><Relationship Type="http://schemas.openxmlformats.org/officeDocument/2006/relationships/hyperlink" Id="rId20" Target="https://rawcdn.githack.com/ktmeaton/obsidian-public/d2eb9a13/academic/Plague%20Phylodynamics%20and%20Phylogeography%20Paper.html" TargetMode="External" /><Relationship Type="http://schemas.openxmlformats.org/officeDocument/2006/relationships/hyperlink" Id="rId180" Target="https://royalsocietypublishing.org/doi/10.1098/rspb.2013.3159" TargetMode="External" /><Relationship Type="http://schemas.openxmlformats.org/officeDocument/2006/relationships/hyperlink" Id="rId84" Target="https://worldcat.org/isbn/0-85115-943-5" TargetMode="External" /><Relationship Type="http://schemas.openxmlformats.org/officeDocument/2006/relationships/hyperlink" Id="rId108" Target="https://worldcat.org/isbn/978-94-024-0890-4" TargetMode="External" /><Relationship Type="http://schemas.openxmlformats.org/officeDocument/2006/relationships/hyperlink" Id="rId70" Target="https://www.cell.com/cell/abstract/S0092-8674(18)31464-8" TargetMode="External" /><Relationship Type="http://schemas.openxmlformats.org/officeDocument/2006/relationships/hyperlink" Id="rId110" Target="https://www.frontiersin.org/article/10.3389/fmicb.2018.01106/full" TargetMode="External" /><Relationship Type="http://schemas.openxmlformats.org/officeDocument/2006/relationships/hyperlink" Id="rId104" Target="https://www.microbiologyresearch.org/content/journal/mgen/10.1099/mgen.0.000133" TargetMode="External" /><Relationship Type="http://schemas.openxmlformats.org/officeDocument/2006/relationships/hyperlink" Id="rId126" Target="https://www.nature.com/articles/s41467-019-12154-0" TargetMode="External" /><Relationship Type="http://schemas.openxmlformats.org/officeDocument/2006/relationships/hyperlink" Id="rId80" Target="https://www.ncbi.nlm.nih.gov/pmc/articles/PMC172914" TargetMode="External" /><Relationship Type="http://schemas.openxmlformats.org/officeDocument/2006/relationships/hyperlink" Id="rId97" Target="https://www.ncbi.nlm.nih.gov/pmc/articles/PMC24187" TargetMode="External" /><Relationship Type="http://schemas.openxmlformats.org/officeDocument/2006/relationships/hyperlink" Id="rId166" Target="https://www.ncbi.nlm.nih.gov/pmc/articles/PMC2554099" TargetMode="External" /><Relationship Type="http://schemas.openxmlformats.org/officeDocument/2006/relationships/hyperlink" Id="rId164" Target="https://www.ncbi.nlm.nih.gov/pmc/articles/PMC2554099/" TargetMode="External" /><Relationship Type="http://schemas.openxmlformats.org/officeDocument/2006/relationships/hyperlink" Id="rId195" Target="https://www.ncbi.nlm.nih.gov/pmc/articles/PMC2999892" TargetMode="External" /><Relationship Type="http://schemas.openxmlformats.org/officeDocument/2006/relationships/hyperlink" Id="rId102" Target="https://www.ncbi.nlm.nih.gov/pmc/articles/PMC3988354" TargetMode="External" /><Relationship Type="http://schemas.openxmlformats.org/officeDocument/2006/relationships/hyperlink" Id="rId99" Target="https://www.ncbi.nlm.nih.gov/pmc/articles/PMC3988354/" TargetMode="External" /><Relationship Type="http://schemas.openxmlformats.org/officeDocument/2006/relationships/hyperlink" Id="rId93" Target="https://www.ncbi.nlm.nih.gov/pmc/articles/PMC4644222" TargetMode="External" /><Relationship Type="http://schemas.openxmlformats.org/officeDocument/2006/relationships/hyperlink" Id="rId90" Target="https://www.ncbi.nlm.nih.gov/pmc/articles/PMC4644222/" TargetMode="External" /><Relationship Type="http://schemas.openxmlformats.org/officeDocument/2006/relationships/hyperlink" Id="rId132" Target="https://www.ncbi.nlm.nih.gov/pmc/articles/PMC5320706" TargetMode="External" /><Relationship Type="http://schemas.openxmlformats.org/officeDocument/2006/relationships/hyperlink" Id="rId129" Target="https://www.ncbi.nlm.nih.gov/pmc/articles/PMC5320706/" TargetMode="External" /><Relationship Type="http://schemas.openxmlformats.org/officeDocument/2006/relationships/hyperlink" Id="rId77" Target="https://www.ncbi.nlm.nih.gov/pmc/articles/PMC5636801" TargetMode="External" /><Relationship Type="http://schemas.openxmlformats.org/officeDocument/2006/relationships/hyperlink" Id="rId74" Target="https://www.ncbi.nlm.nih.gov/pmc/articles/PMC5636801/" TargetMode="External" /><Relationship Type="http://schemas.openxmlformats.org/officeDocument/2006/relationships/hyperlink" Id="rId116" Target="https://www.ncbi.nlm.nih.gov/pmc/articles/PMC6961584" TargetMode="External" /><Relationship Type="http://schemas.openxmlformats.org/officeDocument/2006/relationships/hyperlink" Id="rId113" Target="https://www.ncbi.nlm.nih.gov/pmc/articles/PMC6961584/" TargetMode="External" /><Relationship Type="http://schemas.openxmlformats.org/officeDocument/2006/relationships/hyperlink" Id="rId96" Target="https://www.ncbi.nlm.nih.gov/pubmed/10570195" TargetMode="External" /><Relationship Type="http://schemas.openxmlformats.org/officeDocument/2006/relationships/hyperlink" Id="rId165" Target="https://www.ncbi.nlm.nih.gov/pubmed/14859080" TargetMode="External" /><Relationship Type="http://schemas.openxmlformats.org/officeDocument/2006/relationships/hyperlink" Id="rId194" Target="https://www.ncbi.nlm.nih.gov/pubmed/21037571" TargetMode="External" /><Relationship Type="http://schemas.openxmlformats.org/officeDocument/2006/relationships/hyperlink" Id="rId101" Target="https://www.ncbi.nlm.nih.gov/pubmed/21951486" TargetMode="External" /><Relationship Type="http://schemas.openxmlformats.org/officeDocument/2006/relationships/hyperlink" Id="rId92" Target="https://www.ncbi.nlm.nih.gov/pubmed/26496604" TargetMode="External" /><Relationship Type="http://schemas.openxmlformats.org/officeDocument/2006/relationships/hyperlink" Id="rId131" Target="https://www.ncbi.nlm.nih.gov/pubmed/28348834" TargetMode="External" /><Relationship Type="http://schemas.openxmlformats.org/officeDocument/2006/relationships/hyperlink" Id="rId76" Target="https://www.ncbi.nlm.nih.gov/pubmed/29021541" TargetMode="External" /><Relationship Type="http://schemas.openxmlformats.org/officeDocument/2006/relationships/hyperlink" Id="rId68" Target="https://www.ncbi.nlm.nih.gov/pubmed/29174893" TargetMode="External" /><Relationship Type="http://schemas.openxmlformats.org/officeDocument/2006/relationships/hyperlink" Id="rId72" Target="https://www.ncbi.nlm.nih.gov/pubmed/30528431" TargetMode="External" /><Relationship Type="http://schemas.openxmlformats.org/officeDocument/2006/relationships/hyperlink" Id="rId188" Target="https://www.ncbi.nlm.nih.gov/pubmed/31138696" TargetMode="External" /><Relationship Type="http://schemas.openxmlformats.org/officeDocument/2006/relationships/hyperlink" Id="rId178" Target="https://www.ncbi.nlm.nih.gov/pubmed/31164419" TargetMode="External" /><Relationship Type="http://schemas.openxmlformats.org/officeDocument/2006/relationships/hyperlink" Id="rId115" Target="https://www.ncbi.nlm.nih.gov/pubmed/31809257" TargetMode="External" /><Relationship Type="http://schemas.openxmlformats.org/officeDocument/2006/relationships/hyperlink" Id="rId79" Target="https://www.ncbi.nlm.nih.gov/pubmed/8993858" TargetMode="External" /><Relationship Type="http://schemas.openxmlformats.org/officeDocument/2006/relationships/hyperlink" Id="rId140" Target="https://www.openstreetmap.org" TargetMode="External" /><Relationship Type="http://schemas.openxmlformats.org/officeDocument/2006/relationships/hyperlink" Id="rId186" Target="https://www.pnas.org/content/116/24/11833" TargetMode="External" /><Relationship Type="http://schemas.openxmlformats.org/officeDocument/2006/relationships/hyperlink" Id="rId176" Target="https://www.pnas.org/content/116/25/12363" TargetMode="External" /><Relationship Type="http://schemas.openxmlformats.org/officeDocument/2006/relationships/hyperlink" Id="rId161" Target="https://www.thelancet.com/journals/lanmic/article/PIIS2666-5247(20)30176-2/abstract" TargetMode="External" /><Relationship Type="http://schemas.openxmlformats.org/officeDocument/2006/relationships/hyperlink" Id="rId82"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2021-06-15T03:19:08Z</dcterms:created>
  <dcterms:modified xsi:type="dcterms:W3CDTF">2021-06-15T03:19:08Z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