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3.png" ContentType="image/png"/>
  <Override PartName="/word/media/rId75.png" ContentType="image/png"/>
  <Override PartName="/word/media/rId71.png" ContentType="image/png"/>
  <Override PartName="/word/media/rId61.png" ContentType="image/png"/>
  <Override PartName="/word/media/rId65.png" ContentType="image/png"/>
  <Override PartName="/word/media/rId63.png" ContentType="image/png"/>
  <Override PartName="/word/media/rId83.png" ContentType="image/png"/>
  <Override PartName="/word/media/rId58.png" ContentType="image/png"/>
  <Override PartName="/word/media/rId79.png" ContentType="image/png"/>
  <Override PartName="/word/media/rId50.png" ContentType="image/png"/>
  <Override PartName="/word/media/rId37.png" ContentType="image/png"/>
  <Override PartName="/word/media/rId54.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ktmeaton/obsidian-public@264b9641</w:t>
        </w:r>
      </w:hyperlink>
      <w:r>
        <w:t xml:space="preserve"> </w:t>
      </w:r>
      <w:r>
        <w:t xml:space="preserve">on May 28,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abstract"/>
      <w:r>
        <w:t xml:space="preserve">Abstract</w:t>
      </w:r>
      <w:bookmarkEnd w:id="32"/>
    </w:p>
    <w:p>
      <w:pPr>
        <w:numPr>
          <w:ilvl w:val="0"/>
          <w:numId w:val="1003"/>
        </w:numPr>
        <w:pStyle w:val="Compact"/>
      </w:pPr>
      <w:r>
        <w:rPr>
          <w:i/>
        </w:rPr>
        <w:t xml:space="preserve">Y. pestis</w:t>
      </w:r>
      <w:r>
        <w:t xml:space="preserve"> </w:t>
      </w:r>
      <w:r>
        <w:t xml:space="preserve">exhibits greater temporal signal than previously thought.</w:t>
      </w:r>
    </w:p>
    <w:p>
      <w:pPr>
        <w:numPr>
          <w:ilvl w:val="0"/>
          <w:numId w:val="1003"/>
        </w:numPr>
        <w:pStyle w:val="Compact"/>
      </w:pPr>
      <w:r>
        <w:t xml:space="preserve">Clades associated with pandemics exhibit strict clock-like behavior.</w:t>
      </w:r>
    </w:p>
    <w:p>
      <w:pPr>
        <w:numPr>
          <w:ilvl w:val="0"/>
          <w:numId w:val="1003"/>
        </w:numPr>
        <w:pStyle w:val="Compact"/>
      </w:pPr>
      <w:r>
        <w:t xml:space="preserve">Sampling bias significantly impacts phylogeography reconstructions.</w:t>
      </w:r>
    </w:p>
    <w:p>
      <w:pPr>
        <w:pStyle w:val="Heading2"/>
      </w:pPr>
      <w:bookmarkStart w:id="33" w:name="introduction"/>
      <w:r>
        <w:t xml:space="preserve">Introduction</w:t>
      </w:r>
      <w:bookmarkEnd w:id="33"/>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monomorphic clone of its parent species</w:t>
      </w:r>
      <w:r>
        <w:t xml:space="preserve"> </w:t>
      </w:r>
      <w:r>
        <w:rPr>
          <w:i/>
        </w:rPr>
        <w:t xml:space="preserve">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pPr>
        <w:pStyle w:val="BodyText"/>
      </w:pPr>
      <w:r>
        <w:t xml:space="preserve">Two epidemiological transitions that have been extensively researched are the time to Most Recent Common Ancestor (tMRCA) and the advent of historically documented plague pandemics. Substantial progress on these topics has been made as</w:t>
      </w:r>
      <w:r>
        <w:t xml:space="preserve"> </w:t>
      </w:r>
      <w:r>
        <w:rPr>
          <w:i/>
        </w:rPr>
        <w:t xml:space="preserve">Y. pestis</w:t>
      </w:r>
      <w:r>
        <w:t xml:space="preserve"> </w:t>
      </w:r>
      <w:r>
        <w:t xml:space="preserve">is the most intensively sequenced ancient pathogen, and over 100 ancient genomes are available to serve as fossil calibrations. Furthermore, there are now over 1000 publicly-available modern</w:t>
      </w:r>
      <w:r>
        <w:t xml:space="preserve"> </w:t>
      </w:r>
      <w:r>
        <w:rPr>
          <w:i/>
        </w:rPr>
        <w:t xml:space="preserve">Y. pestis</w:t>
      </w:r>
      <w:r>
        <w:t xml:space="preserve"> </w:t>
      </w:r>
      <w:r>
        <w:t xml:space="preserve">genomes</w:t>
      </w:r>
      <w:r>
        <w:t xml:space="preserve"> </w:t>
      </w:r>
      <w:r>
        <w:t xml:space="preserve">[</w:t>
      </w:r>
      <w:hyperlink w:anchor="ref-E2sCnrTc">
        <w:r>
          <w:rPr>
            <w:rStyle w:val="Hyperlink"/>
          </w:rPr>
          <w:t xml:space="preserve">11</w:t>
        </w:r>
      </w:hyperlink>
      <w:r>
        <w:t xml:space="preserve">]</w:t>
      </w:r>
      <w:r>
        <w:t xml:space="preserve">, offering the potential to model rate variations and dating uncertainty with greater nuance. However, it is unclear whether this additional data will prove useful as it is contentious whether</w:t>
      </w:r>
      <w:r>
        <w:t xml:space="preserve"> </w:t>
      </w:r>
      <w:r>
        <w:rPr>
          <w:i/>
        </w:rPr>
        <w:t xml:space="preserve">Y. pestis</w:t>
      </w:r>
      <w:r>
        <w:t xml:space="preserve"> </w:t>
      </w:r>
      <w:r>
        <w:t xml:space="preserve">demonstrates sufficient temporal signal to robustly estimate a clock model</w:t>
      </w:r>
      <w:r>
        <w:t xml:space="preserve"> </w:t>
      </w:r>
      <w:r>
        <w:t xml:space="preserve">[</w:t>
      </w:r>
      <w:hyperlink w:anchor="ref-ACt53Sow">
        <w:r>
          <w:rPr>
            <w:rStyle w:val="Hyperlink"/>
          </w:rPr>
          <w:t xml:space="preserve">12</w:t>
        </w:r>
      </w:hyperlink>
      <w:r>
        <w:t xml:space="preserve">]</w:t>
      </w:r>
      <w:r>
        <w:t xml:space="preserve">. Different</w:t>
      </w:r>
      <w:r>
        <w:t xml:space="preserve"> </w:t>
      </w:r>
      <w:r>
        <w:rPr>
          <w:i/>
        </w:rPr>
        <w:t xml:space="preserve">Y. pestis</w:t>
      </w:r>
      <w:r>
        <w:t xml:space="preserve"> </w:t>
      </w:r>
      <w:r>
        <w:t xml:space="preserve">have been shown to produce dramatically different patterns of temporal signal from weak support to a complete absence of temporal structure</w:t>
      </w:r>
      <w:r>
        <w:t xml:space="preserve"> </w:t>
      </w:r>
      <w:hyperlink w:anchor="ref-1cTipQcd">
        <w:r>
          <w:rPr>
            <w:rStyle w:val="Hyperlink"/>
          </w:rPr>
          <w:t xml:space="preserve">13</w:t>
        </w:r>
      </w:hyperlink>
      <w:r>
        <w:t xml:space="preserve">. It was thus posited that variations in temporal signal "</w:t>
      </w:r>
      <w:r>
        <w:rPr>
          <w:i/>
        </w:rPr>
        <w:t xml:space="preserve">may be a property of individual data sets rather than a true species effect</w:t>
      </w:r>
      <w:r>
        <w:t xml:space="preserve">.</w:t>
      </w:r>
    </w:p>
    <w:p>
      <w:pPr>
        <w:pStyle w:val="BodyText"/>
      </w:pPr>
      <w:r>
        <w:t xml:space="preserve">While powerful in potential, this recent avalanche of data comes with new challenges inherent to Big Data, with curation of the geospatial metadata proving to be a substantial obstacle.</w:t>
      </w:r>
    </w:p>
    <w:p>
      <w:r>
        <w:pict>
          <v:rect style="width:0;height:1.5pt" o:hralign="center" o:hrstd="t" o:hr="t"/>
        </w:pict>
      </w:r>
    </w:p>
    <w:p>
      <w:pPr>
        <w:pStyle w:val="FirstParagraph"/>
      </w:pPr>
      <w:r>
        <w:rPr>
          <w:b/>
        </w:rPr>
        <w:t xml:space="preserve">TO BE DONE</w:t>
      </w:r>
      <w:r>
        <w:t xml:space="preserve">:</w:t>
      </w:r>
    </w:p>
    <w:p>
      <w:pPr>
        <w:numPr>
          <w:ilvl w:val="0"/>
          <w:numId w:val="1004"/>
        </w:numPr>
        <w:pStyle w:val="Compact"/>
      </w:pPr>
      <w:r>
        <w:t xml:space="preserve">Introduce the debate on whether</w:t>
      </w:r>
      <w:r>
        <w:t xml:space="preserve"> </w:t>
      </w:r>
      <w:r>
        <w:rPr>
          <w:i/>
        </w:rPr>
        <w:t xml:space="preserve">Y. pestis</w:t>
      </w:r>
      <w:r>
        <w:t xml:space="preserve"> </w:t>
      </w:r>
      <w:r>
        <w:t xml:space="preserve">has temporal signal and why incongruent findings have emerged.</w:t>
      </w:r>
    </w:p>
    <w:p>
      <w:pPr>
        <w:numPr>
          <w:ilvl w:val="0"/>
          <w:numId w:val="1004"/>
        </w:numPr>
        <w:pStyle w:val="Compact"/>
      </w:pPr>
      <w:r>
        <w:t xml:space="preserve">Introduce the issue of sampling bias in phylogeography.</w:t>
      </w:r>
    </w:p>
    <w:p>
      <w:pPr>
        <w:pStyle w:val="Heading3"/>
      </w:pPr>
      <w:bookmarkStart w:id="34" w:name="objectives"/>
      <w:r>
        <w:t xml:space="preserve">Objectives</w:t>
      </w:r>
      <w:bookmarkEnd w:id="34"/>
    </w:p>
    <w:p>
      <w:pPr>
        <w:numPr>
          <w:ilvl w:val="0"/>
          <w:numId w:val="1005"/>
        </w:numPr>
        <w:pStyle w:val="Compact"/>
      </w:pPr>
      <w:r>
        <w:t xml:space="preserve">Curate and critique publicly available Y. pestis genomes. Discuss how sampling bias drives our current understanding of plague.</w:t>
      </w:r>
    </w:p>
    <w:p>
      <w:pPr>
        <w:numPr>
          <w:ilvl w:val="0"/>
          <w:numId w:val="1005"/>
        </w:numPr>
        <w:pStyle w:val="Compact"/>
      </w:pPr>
      <w:r>
        <w:t xml:space="preserve">To propose a nuanced phylodynamics model.</w:t>
      </w:r>
    </w:p>
    <w:p>
      <w:pPr>
        <w:numPr>
          <w:ilvl w:val="0"/>
          <w:numId w:val="1005"/>
        </w:numPr>
        <w:pStyle w:val="Compact"/>
      </w:pPr>
      <w:r>
        <w:t xml:space="preserve">To critique interpretations drawn from phylogeographic approaches?</w:t>
      </w:r>
    </w:p>
    <w:p>
      <w:pPr>
        <w:pStyle w:val="Heading2"/>
      </w:pPr>
      <w:bookmarkStart w:id="35" w:name="materials-and-methods"/>
      <w:r>
        <w:t xml:space="preserve">Materials and Methods</w:t>
      </w:r>
      <w:bookmarkEnd w:id="35"/>
    </w:p>
    <w:p>
      <w:pPr>
        <w:pStyle w:val="Heading3"/>
      </w:pPr>
      <w:bookmarkStart w:id="36" w:name="workflow-overview"/>
      <w:r>
        <w:t xml:space="preserve">Workflow Overview</w:t>
      </w:r>
      <w:bookmarkEnd w:id="36"/>
    </w:p>
    <w:bookmarkStart w:id="0" w:name="fig:fig_workflow"/>
    <w:p>
      <w:pPr>
        <w:pStyle w:val="CaptionedFigure"/>
      </w:pPr>
      <w:bookmarkStart w:id="38"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7"/>
                    <a:stretch>
                      <a:fillRect/>
                    </a:stretch>
                  </pic:blipFill>
                  <pic:spPr bwMode="auto">
                    <a:xfrm>
                      <a:off x="0" y="0"/>
                      <a:ext cx="5943600" cy="6148491"/>
                    </a:xfrm>
                    <a:prstGeom prst="rect">
                      <a:avLst/>
                    </a:prstGeom>
                    <a:noFill/>
                    <a:ln w="9525">
                      <a:noFill/>
                      <a:headEnd/>
                      <a:tailEnd/>
                    </a:ln>
                  </pic:spPr>
                </pic:pic>
              </a:graphicData>
            </a:graphic>
          </wp:inline>
        </w:drawing>
      </w:r>
      <w:bookmarkEnd w:id="38"/>
    </w:p>
    <w:p>
      <w:pPr>
        <w:pStyle w:val="ImageCaption"/>
      </w:pPr>
      <w:r>
        <w:t xml:space="preserve">Figure 1: Computational methods workflow.</w:t>
      </w:r>
    </w:p>
    <w:bookmarkEnd w:id="0"/>
    <w:p>
      <w:pPr>
        <w:pStyle w:val="Heading3"/>
      </w:pPr>
      <w:bookmarkStart w:id="39" w:name="data-collection"/>
      <w:r>
        <w:t xml:space="preserve">Data Collection</w:t>
      </w:r>
      <w:bookmarkEnd w:id="3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14</w:t>
        </w:r>
      </w:hyperlink>
      <w:r>
        <w:t xml:space="preserve">]</w:t>
      </w:r>
      <w:r>
        <w:t xml:space="preserve">. 1657 projects were identified and comprised three genomic types:</w:t>
      </w:r>
    </w:p>
    <w:p>
      <w:pPr>
        <w:numPr>
          <w:ilvl w:val="0"/>
          <w:numId w:val="1006"/>
        </w:numPr>
        <w:pStyle w:val="Compact"/>
      </w:pPr>
      <w:r>
        <w:t xml:space="preserve">586 modern assembled</w:t>
      </w:r>
    </w:p>
    <w:p>
      <w:pPr>
        <w:numPr>
          <w:ilvl w:val="0"/>
          <w:numId w:val="1006"/>
        </w:numPr>
        <w:pStyle w:val="Compact"/>
      </w:pPr>
      <w:r>
        <w:t xml:space="preserve">184 ancient unassembled</w:t>
      </w:r>
    </w:p>
    <w:p>
      <w:pPr>
        <w:numPr>
          <w:ilvl w:val="0"/>
          <w:numId w:val="1006"/>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15</w:t>
        </w:r>
      </w:hyperlink>
      <w:r>
        <w:t xml:space="preserve">,</w:t>
      </w:r>
      <w:hyperlink w:anchor="ref-M15a78x5">
        <w:r>
          <w:rPr>
            <w:rStyle w:val="Hyperlink"/>
          </w:rPr>
          <w:t xml:space="preserve">16</w:t>
        </w:r>
      </w:hyperlink>
      <w:r>
        <w:t xml:space="preserve">,</w:t>
      </w:r>
      <w:hyperlink w:anchor="ref-5rCiNisz">
        <w:r>
          <w:rPr>
            <w:rStyle w:val="Hyperlink"/>
          </w:rPr>
          <w:t xml:space="preserve">17</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40" w:name="alignment"/>
      <w:r>
        <w:t xml:space="preserve">Alignment</w:t>
      </w:r>
      <w:bookmarkEnd w:id="4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18</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19</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20</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 (CITE). The threshold chosen here is commonly used, and aims to strike a balance between variant confidence and sample representation (CITE).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18</w:t>
        </w:r>
      </w:hyperlink>
      <w:r>
        <w:t xml:space="preserve">]</w:t>
      </w:r>
      <w:r>
        <w:t xml:space="preserve">. The output alignment was filtered to only include chromosomal variants and to exclude sites that had more than 5% missing data.</w:t>
      </w:r>
    </w:p>
    <w:p>
      <w:pPr>
        <w:pStyle w:val="Heading3"/>
      </w:pPr>
      <w:bookmarkStart w:id="41" w:name="modified-datasets"/>
      <w:r>
        <w:t xml:space="preserve">Modified Datasets</w:t>
      </w:r>
      <w:bookmarkEnd w:id="4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Clade and subclade labeling was derived from the five-branch population structure accompanied by a biovar abbreviation (</w:t>
      </w:r>
      <w:r>
        <w:t xml:space="preserve">[</w:t>
      </w:r>
      <w:hyperlink w:anchor="ref-ONhNS9aO">
        <w:r>
          <w:rPr>
            <w:rStyle w:val="Hyperlink"/>
          </w:rPr>
          <w:t xml:space="preserve">21</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2" w:name="phylogenetics"/>
      <w:r>
        <w:t xml:space="preserve">Phylogenetics</w:t>
      </w:r>
      <w:bookmarkEnd w:id="4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22</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23</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24</w:t>
        </w:r>
      </w:hyperlink>
      <w:r>
        <w:t xml:space="preserve">]</w:t>
      </w:r>
      <w:r>
        <w:t xml:space="preserve">.</w:t>
      </w:r>
    </w:p>
    <w:p>
      <w:pPr>
        <w:pStyle w:val="Heading3"/>
      </w:pPr>
      <w:bookmarkStart w:id="43" w:name="phylodynamics"/>
      <w:r>
        <w:t xml:space="preserve">Phylodynamics</w:t>
      </w:r>
      <w:bookmarkEnd w:id="43"/>
    </w:p>
    <w:p>
      <w:pPr>
        <w:pStyle w:val="Heading4"/>
      </w:pPr>
      <w:bookmarkStart w:id="44" w:name="temporal-signal"/>
      <w:r>
        <w:t xml:space="preserve">Temporal Signal</w:t>
      </w:r>
      <w:bookmarkEnd w:id="44"/>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Heading4"/>
      </w:pPr>
      <w:bookmarkStart w:id="45" w:name="rate-variation"/>
      <w:r>
        <w:t xml:space="preserve">Rate Variation</w:t>
      </w:r>
      <w:bookmarkEnd w:id="45"/>
    </w:p>
    <w:p>
      <w:pPr>
        <w:pStyle w:val="FirstParagraph"/>
      </w:pPr>
      <w:r>
        <w:t xml:space="preserve">A bayesian timetree was estimated using … as implemented in BEAST.</w:t>
      </w:r>
    </w:p>
    <w:p>
      <w:pPr>
        <w:pStyle w:val="Heading4"/>
      </w:pPr>
      <w:bookmarkStart w:id="46" w:name="time-tree"/>
      <w:r>
        <w:t xml:space="preserve">Time Tree</w:t>
      </w:r>
      <w:bookmarkEnd w:id="46"/>
    </w:p>
    <w:p>
      <w:pPr>
        <w:pStyle w:val="FirstParagraph"/>
      </w:pPr>
      <w:r>
        <w:t xml:space="preserve">A maximum-likelihood timetree was estimated using a least-squares approach as implemented in LSD2</w:t>
      </w:r>
      <w:r>
        <w:t xml:space="preserve"> </w:t>
      </w:r>
      <w:r>
        <w:t xml:space="preserve">[</w:t>
      </w:r>
      <w:hyperlink w:anchor="ref-VomZnwKw">
        <w:r>
          <w:rPr>
            <w:rStyle w:val="Hyperlink"/>
          </w:rPr>
          <w:t xml:space="preserve">25</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7" w:name="phylogeography"/>
      <w:r>
        <w:t xml:space="preserve">Phylogeography</w:t>
      </w:r>
      <w:bookmarkEnd w:id="47"/>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26</w:t>
        </w:r>
      </w:hyperlink>
      <w:r>
        <w:t xml:space="preserve">]</w:t>
      </w:r>
      <w:r>
        <w:t xml:space="preserve">.</w:t>
      </w:r>
    </w:p>
    <w:p>
      <w:pPr>
        <w:pStyle w:val="Heading2"/>
      </w:pPr>
      <w:bookmarkStart w:id="48" w:name="results"/>
      <w:r>
        <w:t xml:space="preserve">Results</w:t>
      </w:r>
      <w:bookmarkEnd w:id="48"/>
    </w:p>
    <w:p>
      <w:pPr>
        <w:pStyle w:val="Heading3"/>
      </w:pPr>
      <w:bookmarkStart w:id="49" w:name="population-structure"/>
      <w:r>
        <w:t xml:space="preserve">Population Structure</w:t>
      </w:r>
      <w:bookmarkEnd w:id="49"/>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51"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50"/>
                    <a:stretch>
                      <a:fillRect/>
                    </a:stretch>
                  </pic:blipFill>
                  <pic:spPr bwMode="auto">
                    <a:xfrm>
                      <a:off x="0" y="0"/>
                      <a:ext cx="5943600" cy="4309410"/>
                    </a:xfrm>
                    <a:prstGeom prst="rect">
                      <a:avLst/>
                    </a:prstGeom>
                    <a:noFill/>
                    <a:ln w="9525">
                      <a:noFill/>
                      <a:headEnd/>
                      <a:tailEnd/>
                    </a:ln>
                  </pic:spPr>
                </pic:pic>
              </a:graphicData>
            </a:graphic>
          </wp:inline>
        </w:drawing>
      </w:r>
      <w:bookmarkEnd w:id="51"/>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27</w:t>
        </w:r>
      </w:hyperlink>
      <w:r>
        <w:t xml:space="preserve">,</w:t>
      </w:r>
      <w:hyperlink w:anchor="ref-66GmpEaG">
        <w:r>
          <w:rPr>
            <w:rStyle w:val="Hyperlink"/>
          </w:rPr>
          <w:t xml:space="preserve">28</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29</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52" w:name="pandemics-of-plague"/>
      <w:r>
        <w:t xml:space="preserve">Pandemics of Plague</w:t>
      </w:r>
      <w:bookmarkEnd w:id="52"/>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12</w:t>
        </w:r>
      </w:hyperlink>
      <w:r>
        <w:t xml:space="preserve">,</w:t>
      </w:r>
      <w:hyperlink w:anchor="ref-19LMpiGZs">
        <w:r>
          <w:rPr>
            <w:rStyle w:val="Hyperlink"/>
          </w:rPr>
          <w:t xml:space="preserve">30</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3" w:name="the-three-pandemic-problem"/>
      <w:r>
        <w:t xml:space="preserve">The Three Pandemic Problem</w:t>
      </w:r>
      <w:bookmarkEnd w:id="53"/>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31</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32</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5"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4"/>
                    <a:stretch>
                      <a:fillRect/>
                    </a:stretch>
                  </pic:blipFill>
                  <pic:spPr bwMode="auto">
                    <a:xfrm>
                      <a:off x="0" y="0"/>
                      <a:ext cx="5943600" cy="3499761"/>
                    </a:xfrm>
                    <a:prstGeom prst="rect">
                      <a:avLst/>
                    </a:prstGeom>
                    <a:noFill/>
                    <a:ln w="9525">
                      <a:noFill/>
                      <a:headEnd/>
                      <a:tailEnd/>
                    </a:ln>
                  </pic:spPr>
                </pic:pic>
              </a:graphicData>
            </a:graphic>
          </wp:inline>
        </w:drawing>
      </w:r>
      <w:bookmarkEnd w:id="55"/>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3"/>
      </w:pPr>
      <w:bookmarkStart w:id="56" w:name="phylodynamics-1"/>
      <w:r>
        <w:t xml:space="preserve">Phylodynamics</w:t>
      </w:r>
      <w:bookmarkEnd w:id="56"/>
    </w:p>
    <w:p>
      <w:pPr>
        <w:pStyle w:val="BlockText"/>
      </w:pPr>
      <w:r>
        <w:t xml:space="preserve">How has the known diversity of plague changed over time?</w:t>
      </w:r>
    </w:p>
    <w:p>
      <w:pPr>
        <w:pStyle w:val="Heading4"/>
      </w:pPr>
      <w:bookmarkStart w:id="57" w:name="temporal-distribution"/>
      <w:r>
        <w:t xml:space="preserve">Temporal Distribution</w:t>
      </w:r>
      <w:bookmarkEnd w:id="57"/>
    </w:p>
    <w:p>
      <w:pPr>
        <w:pStyle w:val="FirstParagraph"/>
      </w:pPr>
      <w:r>
        <w:t xml:space="preserve">Historical strains of plague isolated prior to the 20th century cluster into three time periods: the Late Neolithic Bronze Age (LNBA), Roman Period/Late Antiquity(?), and the Medieval Period (</w:t>
      </w:r>
      <w:hyperlink w:anchor="fig:fig_timeline">
        <w:r>
          <w:rPr>
            <w:rStyle w:val="Hyperlink"/>
          </w:rPr>
          <w:t xml:space="preserve">4</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9" w:name="fig:fig_timeline"/>
      <w:r>
        <w:drawing>
          <wp:inline>
            <wp:extent cx="5026902" cy="1281997"/>
            <wp:effectExtent b="0" l="0" r="0" t="0"/>
            <wp:docPr descr="Figure 4: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8"/>
                    <a:stretch>
                      <a:fillRect/>
                    </a:stretch>
                  </pic:blipFill>
                  <pic:spPr bwMode="auto">
                    <a:xfrm>
                      <a:off x="0" y="0"/>
                      <a:ext cx="5026902" cy="1281997"/>
                    </a:xfrm>
                    <a:prstGeom prst="rect">
                      <a:avLst/>
                    </a:prstGeom>
                    <a:noFill/>
                    <a:ln w="9525">
                      <a:noFill/>
                      <a:headEnd/>
                      <a:tailEnd/>
                    </a:ln>
                  </pic:spPr>
                </pic:pic>
              </a:graphicData>
            </a:graphic>
          </wp:inline>
        </w:drawing>
      </w:r>
      <w:bookmarkEnd w:id="59"/>
    </w:p>
    <w:p>
      <w:pPr>
        <w:pStyle w:val="ImageCaption"/>
      </w:pPr>
      <w:r>
        <w:t xml:space="preserve">Figure 4: Temporal distribution of</w:t>
      </w:r>
      <w:r>
        <w:t xml:space="preserve"> </w:t>
      </w:r>
      <w:r>
        <w:rPr>
          <w:i/>
        </w:rPr>
        <w:t xml:space="preserve">Y. pestis</w:t>
      </w:r>
      <w:r>
        <w:t xml:space="preserve"> </w:t>
      </w:r>
      <w:r>
        <w:t xml:space="preserve">genomes.</w:t>
      </w:r>
    </w:p>
    <w:bookmarkEnd w:id="0"/>
    <w:p>
      <w:pPr>
        <w:pStyle w:val="Heading4"/>
      </w:pPr>
      <w:bookmarkStart w:id="60" w:name="sec:temporal_signal"/>
      <w:r>
        <w:t xml:space="preserve">Temporal Signal</w:t>
      </w:r>
      <w:bookmarkEnd w:id="60"/>
    </w:p>
    <w:p>
      <w:pPr>
        <w:pStyle w:val="FirstParagraph"/>
      </w:pPr>
      <w:r>
        <w:rPr>
          <w:i/>
        </w:rPr>
        <w:t xml:space="preserve">Y. pestis</w:t>
      </w:r>
      <w:r>
        <w:t xml:space="preserve"> </w:t>
      </w:r>
      <w:r>
        <w:t xml:space="preserve">has been shown previously to exhibit substantial rate variation both between and within clades</w:t>
      </w:r>
      <w:r>
        <w:t xml:space="preserve"> </w:t>
      </w:r>
      <w:r>
        <w:t xml:space="preserve">[</w:t>
      </w:r>
      <w:hyperlink w:anchor="ref-ONhNS9aO">
        <w:r>
          <w:rPr>
            <w:rStyle w:val="Hyperlink"/>
          </w:rPr>
          <w:t xml:space="preserve">21</w:t>
        </w:r>
      </w:hyperlink>
      <w:r>
        <w:t xml:space="preserve">,</w:t>
      </w:r>
      <w:hyperlink w:anchor="ref-1CPIgshmC">
        <w:r>
          <w:rPr>
            <w:rStyle w:val="Hyperlink"/>
          </w:rPr>
          <w:t xml:space="preserve">33</w:t>
        </w:r>
      </w:hyperlink>
      <w:r>
        <w:t xml:space="preserve">]</w:t>
      </w:r>
      <w:r>
        <w:t xml:space="preserve">. The ability to adequately model the substitution rates in</w:t>
      </w:r>
      <w:r>
        <w:t xml:space="preserve"> </w:t>
      </w:r>
      <w:r>
        <w:rPr>
          <w:i/>
        </w:rPr>
        <w:t xml:space="preserve">Y. pestis</w:t>
      </w:r>
      <w:r>
        <w:t xml:space="preserve"> </w:t>
      </w:r>
      <w:r>
        <w:t xml:space="preserve">is of great interest for estimating the timing of key historic events, such as clade emergence and pandemic origins (Figure</w:t>
      </w:r>
      <w:r>
        <w:t xml:space="preserve"> </w:t>
      </w:r>
      <w:hyperlink w:anchor="fig:fig_tmrca_boxplot_all">
        <w:r>
          <w:rPr>
            <w:rStyle w:val="Hyperlink"/>
          </w:rPr>
          <w:t xml:space="preserve">7</w:t>
        </w:r>
      </w:hyperlink>
      <w:r>
        <w:t xml:space="preserve">). The</w:t>
      </w:r>
    </w:p>
    <w:p>
      <w:pPr>
        <w:numPr>
          <w:ilvl w:val="0"/>
          <w:numId w:val="1007"/>
        </w:numPr>
        <w:pStyle w:val="Compact"/>
      </w:pPr>
      <w:hyperlink w:anchor="ref-1cTipQcd">
        <w:r>
          <w:rPr>
            <w:rStyle w:val="Hyperlink"/>
          </w:rPr>
          <w:t xml:space="preserve">13</w:t>
        </w:r>
      </w:hyperlink>
      <w:r>
        <w:t xml:space="preserve"> </w:t>
      </w:r>
      <w:r>
        <w:t xml:space="preserve">showed that altering the</w:t>
      </w:r>
      <w:r>
        <w:t xml:space="preserve"> </w:t>
      </w:r>
      <w:r>
        <w:rPr>
          <w:i/>
        </w:rPr>
        <w:t xml:space="preserve">Y. pestis</w:t>
      </w:r>
      <w:r>
        <w:t xml:space="preserve"> </w:t>
      </w:r>
      <w:r>
        <w:t xml:space="preserve">dataset composition produced vastly different results in terms of temporal signal. With some alterations producing weak temporal signal, while others a complete lack of signal (negative rates!). They argue that this finding is finding</w:t>
      </w:r>
      <w:r>
        <w:t xml:space="preserve"> </w:t>
      </w:r>
      <w:r>
        <w:t xml:space="preserve">“</w:t>
      </w:r>
      <w:r>
        <w:rPr>
          <w:i/>
        </w:rPr>
        <w:t xml:space="preserve">may be a property of the individual data sets rather than a true species effect</w:t>
      </w:r>
      <w:r>
        <w:t xml:space="preserve">”</w:t>
      </w:r>
      <w:r>
        <w:t xml:space="preserve">.</w:t>
      </w:r>
    </w:p>
    <w:p>
      <w:pPr>
        <w:pStyle w:val="FirstParagraph"/>
      </w:pPr>
      <w:r>
        <w:t xml:space="preserve">It is debated whether this rate variation reflects a complete lack of temporal signal in Y. pestis</w:t>
      </w:r>
      <w:r>
        <w:t xml:space="preserve"> </w:t>
      </w:r>
      <w:r>
        <w:t xml:space="preserve">This has been argued to reflect a lack of temporal signal</w:t>
      </w:r>
      <w:r>
        <w:t xml:space="preserve"> </w:t>
      </w:r>
      <w:r>
        <w:t xml:space="preserve">[</w:t>
      </w:r>
      <w:hyperlink w:anchor="ref-ACt53Sow">
        <w:r>
          <w:rPr>
            <w:rStyle w:val="Hyperlink"/>
          </w:rPr>
          <w:t xml:space="preserve">12</w:t>
        </w:r>
      </w:hyperlink>
      <w:r>
        <w:t xml:space="preserve">,</w:t>
      </w:r>
      <w:hyperlink w:anchor="ref-1cTipQcd">
        <w:r>
          <w:rPr>
            <w:rStyle w:val="Hyperlink"/>
          </w:rPr>
          <w:t xml:space="preserve">13</w:t>
        </w:r>
      </w:hyperlink>
      <w:r>
        <w:t xml:space="preserve">]</w:t>
      </w:r>
      <w:r>
        <w:t xml:space="preserve">.</w:t>
      </w:r>
    </w:p>
    <w:p>
      <w:pPr>
        <w:pStyle w:val="BodyText"/>
      </w:pPr>
      <w:r>
        <w:t xml:space="preserve">Extreme rate variation is also observed in the larger dataset of this study, as the Coefficient of Determination (R</w:t>
      </w:r>
      <w:r>
        <w:t xml:space="preserve">2</w:t>
      </w:r>
      <w:r>
        <w:t xml:space="preserve">) of the linear regression is extremely low at 0.09 (Table</w:t>
      </w:r>
      <w:r>
        <w:t xml:space="preserve"> </w:t>
      </w:r>
      <w:hyperlink w:anchor="tbl:table_temporal_signal">
        <w:r>
          <w:rPr>
            <w:rStyle w:val="Hyperlink"/>
          </w:rPr>
          <w:t xml:space="preserve">1</w:t>
        </w:r>
      </w:hyperlink>
      <w:r>
        <w:t xml:space="preserve">). This suggests that a simple linear model, such as the strict clock model, is overall a poor fit for the data.</w:t>
      </w:r>
    </w:p>
    <w:bookmarkStart w:id="0" w:name="fig:fig_rtt_all"/>
    <w:p>
      <w:pPr>
        <w:pStyle w:val="CaptionedFigure"/>
      </w:pPr>
      <w:bookmarkStart w:id="62" w:name="fig:fig_rtt_all"/>
      <w:r>
        <w:drawing>
          <wp:inline>
            <wp:extent cx="5943600" cy="4109331"/>
            <wp:effectExtent b="0" l="0" r="0" t="0"/>
            <wp:docPr descr="Figure 5: Root to Tip Regression of Y. pestis on sampling date, colored by clade. (PLACEHOLDER)" title="" id="1" name="Picture"/>
            <a:graphic>
              <a:graphicData uri="http://schemas.openxmlformats.org/drawingml/2006/picture">
                <pic:pic>
                  <pic:nvPicPr>
                    <pic:cNvPr descr="https://raw.githubusercontent.com/ktmeaton/plague-phylogeography-projects/1a46ac0/main/auspice/all/chromosome/full/filter5/rtt_all.png" id="0" name="Picture"/>
                    <pic:cNvPicPr>
                      <a:picLocks noChangeArrowheads="1" noChangeAspect="1"/>
                    </pic:cNvPicPr>
                  </pic:nvPicPr>
                  <pic:blipFill>
                    <a:blip r:embed="rId61"/>
                    <a:stretch>
                      <a:fillRect/>
                    </a:stretch>
                  </pic:blipFill>
                  <pic:spPr bwMode="auto">
                    <a:xfrm>
                      <a:off x="0" y="0"/>
                      <a:ext cx="5943600" cy="4109331"/>
                    </a:xfrm>
                    <a:prstGeom prst="rect">
                      <a:avLst/>
                    </a:prstGeom>
                    <a:noFill/>
                    <a:ln w="9525">
                      <a:noFill/>
                      <a:headEnd/>
                      <a:tailEnd/>
                    </a:ln>
                  </pic:spPr>
                </pic:pic>
              </a:graphicData>
            </a:graphic>
          </wp:inline>
        </w:drawing>
      </w:r>
      <w:bookmarkEnd w:id="62"/>
    </w:p>
    <w:p>
      <w:pPr>
        <w:pStyle w:val="ImageCaption"/>
      </w:pPr>
      <w:r>
        <w:t xml:space="preserve">Figure 5: Root to Tip Regression of Y. pestis on sampling date, colored by clade. (PLACEHOLDER)</w:t>
      </w:r>
    </w:p>
    <w:bookmarkEnd w:id="0"/>
    <w:p>
      <w:pPr>
        <w:pStyle w:val="BodyText"/>
      </w:pPr>
      <w:r>
        <w:t xml:space="preserve">To some extent this variation can be explained by examining the clades in isolation. Several clades show strong support for strict clock-like behavior according to both the Root to Tip Regression and the BETS Bayes factors (Table</w:t>
      </w:r>
      <w:r>
        <w:t xml:space="preserve"> </w:t>
      </w:r>
      <w:hyperlink w:anchor="tbl:table_temporal_signal">
        <w:r>
          <w:rPr>
            <w:rStyle w:val="Hyperlink"/>
          </w:rPr>
          <w:t xml:space="preserve">1</w:t>
        </w:r>
      </w:hyperlink>
      <w:r>
        <w:t xml:space="preserve">, Figure</w:t>
      </w:r>
      <w:r>
        <w:t xml:space="preserve"> </w:t>
      </w:r>
      <w:hyperlink w:anchor="fig:fig_rate_boxplot_all">
        <w:r>
          <w:rPr>
            <w:rStyle w:val="Hyperlink"/>
          </w:rPr>
          <w:t xml:space="preserve">6</w:t>
        </w:r>
      </w:hyperlink>
      <w:r>
        <w:t xml:space="preserve">). Intriguingly, clades that have been associated with historically documented pandemics are well-modeled by a strict clock including the First Pandemic clade</w:t>
      </w:r>
      <w:r>
        <w:t xml:space="preserve"> </w:t>
      </w:r>
      <w:r>
        <w:rPr>
          <w:rStyle w:val="VerbatimChar"/>
        </w:rPr>
        <w:t xml:space="preserve">0.ANT4</w:t>
      </w:r>
      <w:r>
        <w:t xml:space="preserve">, the Second Pandemic clade</w:t>
      </w:r>
      <w:r>
        <w:t xml:space="preserve"> </w:t>
      </w:r>
      <w:r>
        <w:rPr>
          <w:rStyle w:val="VerbatimChar"/>
        </w:rPr>
        <w:t xml:space="preserve">1.PRE</w:t>
      </w:r>
      <w:r>
        <w:t xml:space="preserve"> </w:t>
      </w:r>
      <w:r>
        <w:t xml:space="preserve">and the Third Pandemic clade</w:t>
      </w:r>
      <w:r>
        <w:t xml:space="preserve"> </w:t>
      </w:r>
      <w:r>
        <w:rPr>
          <w:rStyle w:val="VerbatimChar"/>
        </w:rPr>
        <w:t xml:space="preserve">1.OR1</w:t>
      </w:r>
      <w:r>
        <w:t xml:space="preserve">. The final clade which demonstrates strict clock behavior is the Late Neolithic Bronze Age group</w:t>
      </w:r>
      <w:r>
        <w:t xml:space="preserve"> </w:t>
      </w:r>
      <w:r>
        <w:rPr>
          <w:rStyle w:val="VerbatimChar"/>
        </w:rPr>
        <w:t xml:space="preserve">0.PRE</w:t>
      </w:r>
      <w:r>
        <w:t xml:space="preserve">. As this time period pre-dates historical records, there is little opportunity to estimate mortality rates. However, this similarity may lend support to the hypothesis that an early pandemic of plague was occurring at that time</w:t>
      </w:r>
      <w:r>
        <w:t xml:space="preserve"> </w:t>
      </w:r>
      <w:hyperlink w:anchor="ref-AQa9Tn4j">
        <w:r>
          <w:rPr>
            <w:rStyle w:val="Hyperlink"/>
          </w:rPr>
          <w:t xml:space="preserve">2</w:t>
        </w:r>
      </w:hyperlink>
      <w:r>
        <w:t xml:space="preserve">.</w:t>
      </w:r>
    </w:p>
    <w:p>
      <w:pPr>
        <w:pStyle w:val="BlockText"/>
      </w:pPr>
      <w:r>
        <w:t xml:space="preserve">Unknown to what extent rate variation is a useful predictor for</w:t>
      </w:r>
      <w:r>
        <w:t xml:space="preserve"> </w:t>
      </w:r>
      <w:r>
        <w:t xml:space="preserve">‘</w:t>
      </w:r>
      <w:r>
        <w:t xml:space="preserve">pandemic potential</w:t>
      </w:r>
      <w:r>
        <w:t xml:space="preserve">’</w:t>
      </w:r>
      <w:r>
        <w:t xml:space="preserve">.</w:t>
      </w:r>
      <w:r>
        <w:t xml:space="preserve"> </w:t>
      </w:r>
      <w:r>
        <w:t xml:space="preserve">So what about Branch 2, since I was so adamant that it could be an undocumented historical pandemic?</w:t>
      </w:r>
      <w:r>
        <w:t xml:space="preserve"> </w:t>
      </w:r>
      <w:r>
        <w:t xml:space="preserve">In all cases, the relaxed clock is a better fit to the data even if strict clock-like behavior is exhibited.</w:t>
      </w:r>
    </w:p>
    <w:bookmarkStart w:id="0" w:name="tbl:table_temporal_signal"/>
    <w:p>
      <w:pPr>
        <w:pStyle w:val="TableCaption"/>
      </w:pPr>
      <w:r>
        <w:t xml:space="preserve">Table 1: Temporal signal statistics by clade based on a root-to-tip linear regression. A * indicates a significant p-value or bayes factor.</w:t>
      </w:r>
      <w:r>
        <w:t xml:space="preserve"> </w:t>
      </w:r>
    </w:p>
    <w:tbl>
      <w:tblPr>
        <w:tblStyle w:val="Table"/>
        <w:tblW w:type="pct" w:w="0.0"/>
        <w:tblLook w:firstRow="1"/>
        <w:tblCaption w:val="Table 1: Temporal signal statistics by clade based on a root-to-tip linear regression. A * indicates a significant p-value or bayes factor. "/>
      </w:tblPr>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r>
    </w:tbl>
    <w:bookmarkEnd w:id="0"/>
    <w:p>
      <w:pPr>
        <w:pStyle w:val="BlockText"/>
      </w:pPr>
      <w:r>
        <w:t xml:space="preserve">When unconstrained, the regression bootstrap can produce rate estimates that are negative. Is it also useful to do a constrained bootstrap?</w:t>
      </w:r>
    </w:p>
    <w:bookmarkStart w:id="0" w:name="fig:fig_rate_boxplot_all"/>
    <w:p>
      <w:pPr>
        <w:pStyle w:val="CaptionedFigure"/>
      </w:pPr>
      <w:bookmarkStart w:id="64" w:name="fig:fig_rate_boxplot_all"/>
      <w:r>
        <w:drawing>
          <wp:inline>
            <wp:extent cx="4850295" cy="1584144"/>
            <wp:effectExtent b="0" l="0" r="0" t="0"/>
            <wp:docPr descr="Figure 6: Substitition rate uncertainty by clade based on a non-parametric bootstrap of the root-to-tip linear regression. Highlighted clades show statistical support for a strict clock."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63"/>
                    <a:stretch>
                      <a:fillRect/>
                    </a:stretch>
                  </pic:blipFill>
                  <pic:spPr bwMode="auto">
                    <a:xfrm>
                      <a:off x="0" y="0"/>
                      <a:ext cx="4850295" cy="1584144"/>
                    </a:xfrm>
                    <a:prstGeom prst="rect">
                      <a:avLst/>
                    </a:prstGeom>
                    <a:noFill/>
                    <a:ln w="9525">
                      <a:noFill/>
                      <a:headEnd/>
                      <a:tailEnd/>
                    </a:ln>
                  </pic:spPr>
                </pic:pic>
              </a:graphicData>
            </a:graphic>
          </wp:inline>
        </w:drawing>
      </w:r>
      <w:bookmarkEnd w:id="64"/>
    </w:p>
    <w:p>
      <w:pPr>
        <w:pStyle w:val="ImageCaption"/>
      </w:pPr>
      <w:r>
        <w:t xml:space="preserve">Figure 6: Substitition rate uncertainty by clade based on a non-parametric bootstrap of the root-to-tip linear regression. Highlighted clades show statistical support for a strict clock.</w:t>
      </w:r>
    </w:p>
    <w:bookmarkEnd w:id="0"/>
    <w:bookmarkStart w:id="0" w:name="fig:fig_tmrca_boxplot_all"/>
    <w:p>
      <w:pPr>
        <w:pStyle w:val="CaptionedFigure"/>
      </w:pPr>
      <w:bookmarkStart w:id="66" w:name="fig:fig_tmrca_boxplot_all"/>
      <w:r>
        <w:drawing>
          <wp:inline>
            <wp:extent cx="5201511" cy="1713925"/>
            <wp:effectExtent b="0" l="0" r="0" t="0"/>
            <wp:docPr descr="Figure 7: tMRCA uncertainty by clade based on a non-parametric bootstrap of the root-to-tip linear regression." title="" id="1" name="Picture"/>
            <a:graphic>
              <a:graphicData uri="http://schemas.openxmlformats.org/drawingml/2006/picture">
                <pic:pic>
                  <pic:nvPicPr>
                    <pic:cNvPr descr="https://raw.githubusercontent.com/ktmeaton/plague-phylogeography-projects/d53c63b/main/iqtree/all/chromosome/full/filter5/filter-taxa/tmrca_boxplot_all.png" id="0" name="Picture"/>
                    <pic:cNvPicPr>
                      <a:picLocks noChangeArrowheads="1" noChangeAspect="1"/>
                    </pic:cNvPicPr>
                  </pic:nvPicPr>
                  <pic:blipFill>
                    <a:blip r:embed="rId65"/>
                    <a:stretch>
                      <a:fillRect/>
                    </a:stretch>
                  </pic:blipFill>
                  <pic:spPr bwMode="auto">
                    <a:xfrm>
                      <a:off x="0" y="0"/>
                      <a:ext cx="5201511" cy="1713925"/>
                    </a:xfrm>
                    <a:prstGeom prst="rect">
                      <a:avLst/>
                    </a:prstGeom>
                    <a:noFill/>
                    <a:ln w="9525">
                      <a:noFill/>
                      <a:headEnd/>
                      <a:tailEnd/>
                    </a:ln>
                  </pic:spPr>
                </pic:pic>
              </a:graphicData>
            </a:graphic>
          </wp:inline>
        </w:drawing>
      </w:r>
      <w:bookmarkEnd w:id="66"/>
    </w:p>
    <w:p>
      <w:pPr>
        <w:pStyle w:val="ImageCaption"/>
      </w:pPr>
      <w:r>
        <w:t xml:space="preserve">Figure 7: tMRCA uncertainty by clade based on a non-parametric bootstrap of the root-to-tip linear regression.</w:t>
      </w:r>
    </w:p>
    <w:bookmarkEnd w:id="0"/>
    <w:p>
      <w:pPr>
        <w:pStyle w:val="Heading3"/>
      </w:pPr>
      <w:bookmarkStart w:id="67" w:name="mean-substitution-rate"/>
      <w:r>
        <w:t xml:space="preserve">Mean Substitution Rate</w:t>
      </w:r>
      <w:bookmarkEnd w:id="67"/>
    </w:p>
    <w:p>
      <w:pPr>
        <w:pStyle w:val="BlockText"/>
      </w:pPr>
      <w:r>
        <w:rPr>
          <w:b/>
        </w:rPr>
        <w:t xml:space="preserve">TLDR;</w:t>
      </w:r>
    </w:p>
    <w:p>
      <w:pPr>
        <w:numPr>
          <w:ilvl w:val="0"/>
          <w:numId w:val="1008"/>
        </w:numPr>
        <w:pStyle w:val="Compact"/>
      </w:pPr>
      <w:r>
        <w:t xml:space="preserve">The mean substitution rate of</w:t>
      </w:r>
      <w:r>
        <w:t xml:space="preserve"> </w:t>
      </w:r>
      <w:r>
        <w:rPr>
          <w:i/>
        </w:rPr>
        <w:t xml:space="preserve">Y. pestis</w:t>
      </w:r>
      <w:r>
        <w:t xml:space="preserve"> </w:t>
      </w:r>
      <w:r>
        <w:t xml:space="preserve">is of little interpretive value given substantial rate variation and the time-dependency on sampling date.</w:t>
      </w:r>
    </w:p>
    <w:p>
      <w:pPr>
        <w:pStyle w:val="FirstParagraph"/>
      </w:pPr>
      <w:r>
        <w:rPr>
          <w:i/>
        </w:rPr>
        <w:t xml:space="preserve">Y. pestis</w:t>
      </w:r>
      <w:r>
        <w:t xml:space="preserve"> </w:t>
      </w:r>
      <w:r>
        <w:t xml:space="preserve">has one of the slowest substitution rates observed in a bacterial pathogen (Table</w:t>
      </w:r>
      <w:r>
        <w:t xml:space="preserve"> </w:t>
      </w:r>
      <w:hyperlink w:anchor="tbl:table_bacterial_rate_comparison">
        <w:r>
          <w:rPr>
            <w:rStyle w:val="Hyperlink"/>
          </w:rPr>
          <w:t xml:space="preserve">2</w:t>
        </w:r>
      </w:hyperlink>
      <w:r>
        <w:t xml:space="preserve">). Given the tremendous variation observed in modern plague ecology, it is surprising that the evolutionary rate does not reflect this need to rapidly adapt to changing environments.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 Given this time-dependency and the substantial rate variation characterized in Section</w:t>
      </w:r>
      <w:r>
        <w:t xml:space="preserve"> </w:t>
      </w:r>
      <w:r>
        <w:t xml:space="preserve">[</w:t>
      </w:r>
      <w:r>
        <w:rPr>
          <w:b/>
        </w:rPr>
        <w:t xml:space="preserve">???</w:t>
      </w:r>
      <w:r>
        <w:t xml:space="preserve">]</w:t>
      </w:r>
      <w:r>
        <w:t xml:space="preserve">, the mean substitution rate is of little interpretive value here. Beyond that it falls within the range of substitution rates previously observed (1E-8, 2.85E-8)</w:t>
      </w:r>
      <w:r>
        <w:t xml:space="preserve"> </w:t>
      </w:r>
      <w:r>
        <w:t xml:space="preserve">[</w:t>
      </w:r>
      <w:hyperlink w:anchor="ref-ONhNS9aO">
        <w:r>
          <w:rPr>
            <w:rStyle w:val="Hyperlink"/>
          </w:rPr>
          <w:t xml:space="preserve">21</w:t>
        </w:r>
      </w:hyperlink>
      <w:r>
        <w:t xml:space="preserve">,</w:t>
      </w:r>
      <w:hyperlink w:anchor="ref-1CPIgshmC">
        <w:r>
          <w:rPr>
            <w:rStyle w:val="Hyperlink"/>
          </w:rPr>
          <w:t xml:space="preserve">33</w:t>
        </w:r>
      </w:hyperlink>
      <w:r>
        <w:t xml:space="preserve">]</w:t>
      </w:r>
      <w:r>
        <w:t xml:space="preserve">.</w:t>
      </w:r>
    </w:p>
    <w:bookmarkStart w:id="0" w:name="tbl:table_bacterial_rate_comparison"/>
    <w:p>
      <w:pPr>
        <w:pStyle w:val="TableCaption"/>
      </w:pPr>
      <w:r>
        <w:t xml:space="preserve">Table 2: Substitution rates of bacterial pathogens.</w:t>
      </w:r>
      <w:r>
        <w:t xml:space="preserve"> </w:t>
      </w:r>
    </w:p>
    <w:tbl>
      <w:tblPr>
        <w:tblStyle w:val="Table"/>
        <w:tblW w:type="pct" w:w="4999.999999999999"/>
        <w:tblLook w:firstRow="1"/>
        <w:tblCaption w:val="Table 2: Substitution rates of bacterial pathogens. "/>
      </w:tblPr>
      <w:tblGrid>
        <w:gridCol w:w="2184"/>
        <w:gridCol w:w="819"/>
        <w:gridCol w:w="3208"/>
        <w:gridCol w:w="1433"/>
        <w:gridCol w:w="273"/>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1.42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13</w:t>
              </w:r>
            </w:hyperlink>
            <w:r>
              <w:t xml:space="preserve">]</w:t>
            </w:r>
          </w:p>
        </w:tc>
      </w:tr>
    </w:tbl>
    <w:bookmarkEnd w:id="0"/>
    <w:p>
      <w:pPr>
        <w:numPr>
          <w:ilvl w:val="0"/>
          <w:numId w:val="1009"/>
        </w:numPr>
        <w:pStyle w:val="Compact"/>
      </w:pPr>
      <w:r>
        <w:t xml:space="preserve">Lack of temporal signal in Wagner et al. (2014)</w:t>
      </w:r>
    </w:p>
    <w:p>
      <w:pPr>
        <w:numPr>
          <w:ilvl w:val="0"/>
          <w:numId w:val="1010"/>
        </w:numPr>
        <w:pStyle w:val="Compact"/>
      </w:pPr>
      <w:r>
        <w:rPr>
          <w:i/>
        </w:rPr>
        <w:t xml:space="preserve">Y. pestis</w:t>
      </w:r>
      <w:r>
        <w:t xml:space="preserve"> </w:t>
      </w:r>
      <w:r>
        <w:t xml:space="preserve">has substantial rate variation, and estimates in the literature have ranged from 1E-8 to 2.85E-8</w:t>
      </w:r>
    </w:p>
    <w:p>
      <w:pPr>
        <w:numPr>
          <w:ilvl w:val="0"/>
          <w:numId w:val="1011"/>
        </w:numPr>
        <w:pStyle w:val="Compact"/>
      </w:pPr>
      <w:r>
        <w:t xml:space="preserve">A root-to-tip regression is a poor measure of temporal signal in</w:t>
      </w:r>
      <w:r>
        <w:t xml:space="preserve"> </w:t>
      </w:r>
      <w:r>
        <w:rPr>
          <w:i/>
        </w:rPr>
        <w:t xml:space="preserve">Y. pestis</w:t>
      </w:r>
      <w:r>
        <w:t xml:space="preserve">.</w:t>
      </w:r>
    </w:p>
    <w:p>
      <w:pPr>
        <w:pStyle w:val="FirstParagraph"/>
      </w:pPr>
      <w:r>
        <w:t xml:space="preserve">This is due to several known limitations, namely the underlying assumption of strict clock-behavior and the non-independence of data points</w:t>
      </w:r>
      <w:r>
        <w:t xml:space="preserve"> </w:t>
      </w:r>
      <w:r>
        <w:t xml:space="preserve">[</w:t>
      </w:r>
      <w:hyperlink w:anchor="ref-zikRADit">
        <w:r>
          <w:rPr>
            <w:rStyle w:val="Hyperlink"/>
          </w:rPr>
          <w:t xml:space="preserve">34</w:t>
        </w:r>
      </w:hyperlink>
      <w:r>
        <w:t xml:space="preserve">]</w:t>
      </w:r>
      <w:r>
        <w:t xml:space="preserve">.</w:t>
      </w:r>
    </w:p>
    <w:p>
      <w:pPr>
        <w:pStyle w:val="BlockText"/>
      </w:pPr>
      <w:r>
        <w:t xml:space="preserve">BETS can detect temporal signal when the RTT R</w:t>
      </w:r>
      <w:r>
        <w:t xml:space="preserve">2</w:t>
      </w:r>
      <w:r>
        <w:t xml:space="preserve">.</w:t>
      </w:r>
      <w:r>
        <w:t xml:space="preserve"> </w:t>
      </w:r>
      <w:r>
        <w:t xml:space="preserve">- Using a strict clock model for all of</w:t>
      </w:r>
      <w:r>
        <w:t xml:space="preserve"> </w:t>
      </w:r>
      <w:r>
        <w:rPr>
          <w:i/>
        </w:rPr>
        <w:t xml:space="preserve">Y. pestis</w:t>
      </w:r>
      <w:r>
        <w:t xml:space="preserve"> </w:t>
      </w:r>
      <w:r>
        <w:t xml:space="preserve">underestimates the mean substitution rate.</w:t>
      </w:r>
      <w:r>
        <w:t xml:space="preserve"> </w:t>
      </w:r>
      <w:r>
        <w:t xml:space="preserve">- Several clades of</w:t>
      </w:r>
      <w:r>
        <w:t xml:space="preserve"> </w:t>
      </w:r>
      <w:r>
        <w:rPr>
          <w:i/>
        </w:rPr>
        <w:t xml:space="preserve">Y. pestis</w:t>
      </w:r>
      <w:r>
        <w:t xml:space="preserve"> </w:t>
      </w:r>
      <w:r>
        <w:t xml:space="preserve">demonstrate strong evidence of temporal signal.</w:t>
      </w:r>
      <w:r>
        <w:t xml:space="preserve"> </w:t>
      </w:r>
      <w:r>
        <w:t xml:space="preserve">- All pandemic clades have temporal signal and the least rate variation.</w:t>
      </w:r>
      <w:r>
        <w:t xml:space="preserve"> </w:t>
      </w: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21</w:t>
        </w:r>
      </w:hyperlink>
      <w:r>
        <w:t xml:space="preserve">]</w:t>
      </w:r>
      <w:r>
        <w:t xml:space="preserve"> </w:t>
      </w:r>
      <w:r>
        <w:t xml:space="preserve">show some of the most dramatic rate acceleration to accomodate.</w:t>
      </w:r>
    </w:p>
    <w:p>
      <w:pPr>
        <w:pStyle w:val="Heading4"/>
      </w:pPr>
      <w:bookmarkStart w:id="68" w:name="clock-model"/>
      <w:r>
        <w:t xml:space="preserve">Clock Model</w:t>
      </w:r>
      <w:bookmarkEnd w:id="68"/>
    </w:p>
    <w:p>
      <w:pPr>
        <w:numPr>
          <w:ilvl w:val="0"/>
          <w:numId w:val="1012"/>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8</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70" w:name="fig:fig_coefficient_variation"/>
      <w:r>
        <w:drawing>
          <wp:inline>
            <wp:extent cx="5943600" cy="3097258"/>
            <wp:effectExtent b="0" l="0" r="0" t="0"/>
            <wp:docPr descr="Figure 8: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9"/>
                    <a:stretch>
                      <a:fillRect/>
                    </a:stretch>
                  </pic:blipFill>
                  <pic:spPr bwMode="auto">
                    <a:xfrm>
                      <a:off x="0" y="0"/>
                      <a:ext cx="5943600" cy="3097258"/>
                    </a:xfrm>
                    <a:prstGeom prst="rect">
                      <a:avLst/>
                    </a:prstGeom>
                    <a:noFill/>
                    <a:ln w="9525">
                      <a:noFill/>
                      <a:headEnd/>
                      <a:tailEnd/>
                    </a:ln>
                  </pic:spPr>
                </pic:pic>
              </a:graphicData>
            </a:graphic>
          </wp:inline>
        </w:drawing>
      </w:r>
      <w:bookmarkEnd w:id="70"/>
    </w:p>
    <w:p>
      <w:pPr>
        <w:pStyle w:val="ImageCaption"/>
      </w:pPr>
      <w:r>
        <w:t xml:space="preserve">Figure 8: Coefficient of variation.</w:t>
      </w:r>
    </w:p>
    <w:bookmarkEnd w:id="0"/>
    <w:p>
      <w:pPr>
        <w:numPr>
          <w:ilvl w:val="0"/>
          <w:numId w:val="1013"/>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9</w:t>
        </w:r>
      </w:hyperlink>
      <w:r>
        <w:t xml:space="preserve">).</w:t>
      </w:r>
    </w:p>
    <w:bookmarkStart w:id="0" w:name="fig:fig_tree_height_compare"/>
    <w:p>
      <w:pPr>
        <w:pStyle w:val="CaptionedFigure"/>
      </w:pPr>
      <w:bookmarkStart w:id="72" w:name="fig:fig_tree_height_compare"/>
      <w:r>
        <w:drawing>
          <wp:inline>
            <wp:extent cx="5943600" cy="4754880"/>
            <wp:effectExtent b="0" l="0" r="0" t="0"/>
            <wp:docPr descr="Figure 9: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bookmarkEnd w:id="72"/>
    </w:p>
    <w:p>
      <w:pPr>
        <w:pStyle w:val="ImageCaption"/>
      </w:pPr>
      <w:r>
        <w:t xml:space="preserve">Figure 9: Tree height comparison.</w:t>
      </w:r>
    </w:p>
    <w:bookmarkEnd w:id="0"/>
    <w:p>
      <w:pPr>
        <w:numPr>
          <w:ilvl w:val="0"/>
          <w:numId w:val="1014"/>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10</w:t>
        </w:r>
      </w:hyperlink>
      <w:r>
        <w:t xml:space="preserve">).</w:t>
      </w:r>
    </w:p>
    <w:bookmarkStart w:id="0" w:name="fig:fig_sub_rate_compare"/>
    <w:p>
      <w:pPr>
        <w:pStyle w:val="CaptionedFigure"/>
      </w:pPr>
      <w:bookmarkStart w:id="74" w:name="fig:fig_sub_rate_compare"/>
      <w:r>
        <w:drawing>
          <wp:inline>
            <wp:extent cx="5943600" cy="4842083"/>
            <wp:effectExtent b="0" l="0" r="0" t="0"/>
            <wp:docPr descr="Figure 10: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73"/>
                    <a:stretch>
                      <a:fillRect/>
                    </a:stretch>
                  </pic:blipFill>
                  <pic:spPr bwMode="auto">
                    <a:xfrm>
                      <a:off x="0" y="0"/>
                      <a:ext cx="5943600" cy="4842083"/>
                    </a:xfrm>
                    <a:prstGeom prst="rect">
                      <a:avLst/>
                    </a:prstGeom>
                    <a:noFill/>
                    <a:ln w="9525">
                      <a:noFill/>
                      <a:headEnd/>
                      <a:tailEnd/>
                    </a:ln>
                  </pic:spPr>
                </pic:pic>
              </a:graphicData>
            </a:graphic>
          </wp:inline>
        </w:drawing>
      </w:r>
      <w:bookmarkEnd w:id="74"/>
    </w:p>
    <w:p>
      <w:pPr>
        <w:pStyle w:val="ImageCaption"/>
      </w:pPr>
      <w:r>
        <w:t xml:space="preserve">Figure 10: Substitution rate comparison.</w:t>
      </w:r>
    </w:p>
    <w:bookmarkEnd w:id="0"/>
    <w:p>
      <w:pPr>
        <w:numPr>
          <w:ilvl w:val="0"/>
          <w:numId w:val="1015"/>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11</w:t>
        </w:r>
      </w:hyperlink>
      <w:r>
        <w:t xml:space="preserve">).</w:t>
      </w:r>
    </w:p>
    <w:bookmarkStart w:id="0" w:name="fig:fig_timetree_color_rate"/>
    <w:p>
      <w:pPr>
        <w:pStyle w:val="CaptionedFigure"/>
      </w:pPr>
      <w:bookmarkStart w:id="76" w:name="fig:fig_timetree_color_rate"/>
      <w:r>
        <w:drawing>
          <wp:inline>
            <wp:extent cx="5943600" cy="3041862"/>
            <wp:effectExtent b="0" l="0" r="0" t="0"/>
            <wp:docPr descr="Figure 11: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75"/>
                    <a:stretch>
                      <a:fillRect/>
                    </a:stretch>
                  </pic:blipFill>
                  <pic:spPr bwMode="auto">
                    <a:xfrm>
                      <a:off x="0" y="0"/>
                      <a:ext cx="5943600" cy="3041862"/>
                    </a:xfrm>
                    <a:prstGeom prst="rect">
                      <a:avLst/>
                    </a:prstGeom>
                    <a:noFill/>
                    <a:ln w="9525">
                      <a:noFill/>
                      <a:headEnd/>
                      <a:tailEnd/>
                    </a:ln>
                  </pic:spPr>
                </pic:pic>
              </a:graphicData>
            </a:graphic>
          </wp:inline>
        </w:drawing>
      </w:r>
      <w:bookmarkEnd w:id="76"/>
    </w:p>
    <w:p>
      <w:pPr>
        <w:pStyle w:val="ImageCaption"/>
      </w:pPr>
      <w:r>
        <w:t xml:space="preserve">Figure 11: Time tree colored by rate.</w:t>
      </w:r>
    </w:p>
    <w:bookmarkEnd w:id="0"/>
    <w:p>
      <w:pPr>
        <w:pStyle w:val="Heading3"/>
      </w:pPr>
      <w:bookmarkStart w:id="77" w:name="phylogeography-1"/>
      <w:r>
        <w:t xml:space="preserve">Phylogeography</w:t>
      </w:r>
      <w:bookmarkEnd w:id="77"/>
    </w:p>
    <w:p>
      <w:pPr>
        <w:pStyle w:val="Heading4"/>
      </w:pPr>
      <w:bookmarkStart w:id="78" w:name="geographic-distribution"/>
      <w:r>
        <w:t xml:space="preserve">Geographic Distribution</w:t>
      </w:r>
      <w:bookmarkEnd w:id="78"/>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12</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12</w:t>
        </w:r>
      </w:hyperlink>
      <w:r>
        <w:t xml:space="preserve"> </w:t>
      </w:r>
      <w:r>
        <w:t xml:space="preserve">.A) does not reflect the known distribution of modern plague</w:t>
      </w:r>
      <w:r>
        <w:t xml:space="preserve"> </w:t>
      </w:r>
      <w:r>
        <w:t xml:space="preserve">[</w:t>
      </w:r>
      <w:hyperlink w:anchor="ref-pjjiQi2H">
        <w:r>
          <w:rPr>
            <w:rStyle w:val="Hyperlink"/>
          </w:rPr>
          <w:t xml:space="preserve">32</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35</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21</w:t>
        </w:r>
      </w:hyperlink>
      <w:r>
        <w:t xml:space="preserve">,</w:t>
      </w:r>
      <w:hyperlink w:anchor="ref-Y4CIJOZW">
        <w:r>
          <w:rPr>
            <w:rStyle w:val="Hyperlink"/>
          </w:rPr>
          <w:t xml:space="preserve">36</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80" w:name="fig:fig_map_ibd_timeline"/>
      <w:r>
        <w:drawing>
          <wp:inline>
            <wp:extent cx="5943600" cy="4895663"/>
            <wp:effectExtent b="0" l="0" r="0" t="0"/>
            <wp:docPr descr="Figure 12: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79"/>
                    <a:stretch>
                      <a:fillRect/>
                    </a:stretch>
                  </pic:blipFill>
                  <pic:spPr bwMode="auto">
                    <a:xfrm>
                      <a:off x="0" y="0"/>
                      <a:ext cx="5943600" cy="4895663"/>
                    </a:xfrm>
                    <a:prstGeom prst="rect">
                      <a:avLst/>
                    </a:prstGeom>
                    <a:noFill/>
                    <a:ln w="9525">
                      <a:noFill/>
                      <a:headEnd/>
                      <a:tailEnd/>
                    </a:ln>
                  </pic:spPr>
                </pic:pic>
              </a:graphicData>
            </a:graphic>
          </wp:inline>
        </w:drawing>
      </w:r>
      <w:bookmarkEnd w:id="80"/>
    </w:p>
    <w:p>
      <w:pPr>
        <w:pStyle w:val="ImageCaption"/>
      </w:pPr>
      <w:r>
        <w:t xml:space="preserve">Figure 12: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3"/>
      </w:pPr>
      <w:bookmarkStart w:id="81" w:name="phylogeography-2"/>
      <w:r>
        <w:t xml:space="preserve">Phylogeography</w:t>
      </w:r>
      <w:bookmarkEnd w:id="81"/>
    </w:p>
    <w:p>
      <w:pPr>
        <w:pStyle w:val="Heading3"/>
      </w:pPr>
      <w:bookmarkStart w:id="82" w:name="hosts"/>
      <w:r>
        <w:t xml:space="preserve">Hosts</w:t>
      </w:r>
      <w:bookmarkEnd w:id="82"/>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84" w:name="fig:fig_divtree_map_host"/>
      <w:r>
        <w:drawing>
          <wp:inline>
            <wp:extent cx="5943600" cy="2213829"/>
            <wp:effectExtent b="0" l="0" r="0" t="0"/>
            <wp:docPr descr="Figure 13: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83"/>
                    <a:stretch>
                      <a:fillRect/>
                    </a:stretch>
                  </pic:blipFill>
                  <pic:spPr bwMode="auto">
                    <a:xfrm>
                      <a:off x="0" y="0"/>
                      <a:ext cx="5943600" cy="2213829"/>
                    </a:xfrm>
                    <a:prstGeom prst="rect">
                      <a:avLst/>
                    </a:prstGeom>
                    <a:noFill/>
                    <a:ln w="9525">
                      <a:noFill/>
                      <a:headEnd/>
                      <a:tailEnd/>
                    </a:ln>
                  </pic:spPr>
                </pic:pic>
              </a:graphicData>
            </a:graphic>
          </wp:inline>
        </w:drawing>
      </w:r>
      <w:bookmarkEnd w:id="84"/>
    </w:p>
    <w:p>
      <w:pPr>
        <w:pStyle w:val="ImageCaption"/>
      </w:pPr>
      <w:r>
        <w:t xml:space="preserve">Figure 13: Distribution of human vs. non-human samples.</w:t>
      </w:r>
    </w:p>
    <w:bookmarkEnd w:id="0"/>
    <w:p>
      <w:pPr>
        <w:pStyle w:val="Heading2"/>
      </w:pPr>
      <w:bookmarkStart w:id="85" w:name="conclusion"/>
      <w:r>
        <w:t xml:space="preserve">Conclusion</w:t>
      </w:r>
      <w:bookmarkEnd w:id="85"/>
    </w:p>
    <w:p>
      <w:pPr>
        <w:pStyle w:val="Heading2"/>
      </w:pPr>
      <w:bookmarkStart w:id="86" w:name="appendix"/>
      <w:r>
        <w:t xml:space="preserve">Appendix</w:t>
      </w:r>
      <w:bookmarkEnd w:id="86"/>
    </w:p>
    <w:p>
      <w:pPr>
        <w:pStyle w:val="Heading2"/>
      </w:pPr>
      <w:bookmarkStart w:id="87" w:name="references"/>
      <w:r>
        <w:t xml:space="preserve">References</w:t>
      </w:r>
      <w:bookmarkEnd w:id="87"/>
    </w:p>
    <w:bookmarkStart w:id="200" w:name="refs"/>
    <w:bookmarkStart w:id="90"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88">
        <w:r>
          <w:rPr>
            <w:rStyle w:val="Hyperlink"/>
          </w:rPr>
          <w:t xml:space="preserve">10.1016/j.cub.2017.10.025</w:t>
        </w:r>
      </w:hyperlink>
      <w:r>
        <w:t xml:space="preserve"> </w:t>
      </w:r>
      <w:r>
        <w:t xml:space="preserve">· PMID:</w:t>
      </w:r>
      <w:r>
        <w:t xml:space="preserve"> </w:t>
      </w:r>
      <w:hyperlink r:id="rId89">
        <w:r>
          <w:rPr>
            <w:rStyle w:val="Hyperlink"/>
          </w:rPr>
          <w:t xml:space="preserve">29174893</w:t>
        </w:r>
      </w:hyperlink>
    </w:p>
    <w:bookmarkEnd w:id="90"/>
    <w:bookmarkStart w:id="94"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91">
        <w:r>
          <w:rPr>
            <w:rStyle w:val="Hyperlink"/>
          </w:rPr>
          <w:t xml:space="preserve">https://www.cell.com/cell/abstract/S0092-8674(18)31464-8</w:t>
        </w:r>
      </w:hyperlink>
      <w:r>
        <w:t xml:space="preserve"> </w:t>
      </w:r>
      <w:r>
        <w:br/>
      </w:r>
      <w:r>
        <w:t xml:space="preserve">DOI:</w:t>
      </w:r>
      <w:r>
        <w:t xml:space="preserve"> </w:t>
      </w:r>
      <w:hyperlink r:id="rId92">
        <w:r>
          <w:rPr>
            <w:rStyle w:val="Hyperlink"/>
          </w:rPr>
          <w:t xml:space="preserve">10.1016/j.cell.2018.11.005</w:t>
        </w:r>
      </w:hyperlink>
      <w:r>
        <w:t xml:space="preserve"> </w:t>
      </w:r>
      <w:r>
        <w:t xml:space="preserve">· PMID:</w:t>
      </w:r>
      <w:r>
        <w:t xml:space="preserve"> </w:t>
      </w:r>
      <w:hyperlink r:id="rId93">
        <w:r>
          <w:rPr>
            <w:rStyle w:val="Hyperlink"/>
          </w:rPr>
          <w:t xml:space="preserve">30528431</w:t>
        </w:r>
      </w:hyperlink>
    </w:p>
    <w:bookmarkEnd w:id="94"/>
    <w:bookmarkStart w:id="99"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95">
        <w:r>
          <w:rPr>
            <w:rStyle w:val="Hyperlink"/>
          </w:rPr>
          <w:t xml:space="preserve">https://www.ncbi.nlm.nih.gov/pmc/articles/PMC5636801/</w:t>
        </w:r>
      </w:hyperlink>
      <w:r>
        <w:t xml:space="preserve"> </w:t>
      </w:r>
      <w:r>
        <w:br/>
      </w:r>
      <w:r>
        <w:t xml:space="preserve">DOI:</w:t>
      </w:r>
      <w:r>
        <w:t xml:space="preserve"> </w:t>
      </w:r>
      <w:hyperlink r:id="rId96">
        <w:r>
          <w:rPr>
            <w:rStyle w:val="Hyperlink"/>
          </w:rPr>
          <w:t xml:space="preserve">10.1038/s41598-017-13481-2</w:t>
        </w:r>
      </w:hyperlink>
      <w:r>
        <w:t xml:space="preserve"> </w:t>
      </w:r>
      <w:r>
        <w:t xml:space="preserve">· PMID:</w:t>
      </w:r>
      <w:r>
        <w:t xml:space="preserve"> </w:t>
      </w:r>
      <w:hyperlink r:id="rId97">
        <w:r>
          <w:rPr>
            <w:rStyle w:val="Hyperlink"/>
          </w:rPr>
          <w:t xml:space="preserve">29021541</w:t>
        </w:r>
      </w:hyperlink>
      <w:r>
        <w:t xml:space="preserve"> </w:t>
      </w:r>
      <w:r>
        <w:t xml:space="preserve">· PMCID:</w:t>
      </w:r>
      <w:r>
        <w:t xml:space="preserve"> </w:t>
      </w:r>
      <w:hyperlink r:id="rId98">
        <w:r>
          <w:rPr>
            <w:rStyle w:val="Hyperlink"/>
          </w:rPr>
          <w:t xml:space="preserve">PMC5636801</w:t>
        </w:r>
      </w:hyperlink>
    </w:p>
    <w:bookmarkEnd w:id="99"/>
    <w:bookmarkStart w:id="102"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100">
        <w:r>
          <w:rPr>
            <w:rStyle w:val="Hyperlink"/>
          </w:rPr>
          <w:t xml:space="preserve">8993858</w:t>
        </w:r>
      </w:hyperlink>
      <w:r>
        <w:t xml:space="preserve"> </w:t>
      </w:r>
      <w:r>
        <w:t xml:space="preserve">· PMCID:</w:t>
      </w:r>
      <w:r>
        <w:t xml:space="preserve"> </w:t>
      </w:r>
      <w:hyperlink r:id="rId101">
        <w:r>
          <w:rPr>
            <w:rStyle w:val="Hyperlink"/>
          </w:rPr>
          <w:t xml:space="preserve">PMC172914</w:t>
        </w:r>
      </w:hyperlink>
    </w:p>
    <w:bookmarkEnd w:id="102"/>
    <w:bookmarkStart w:id="104"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103">
        <w:r>
          <w:rPr>
            <w:rStyle w:val="Hyperlink"/>
          </w:rPr>
          <w:t xml:space="preserve">https://www.who.int/news-room/fact-sheets/detail/plague</w:t>
        </w:r>
      </w:hyperlink>
    </w:p>
    <w:bookmarkEnd w:id="104"/>
    <w:bookmarkStart w:id="106"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105">
        <w:r>
          <w:rPr>
            <w:rStyle w:val="Hyperlink"/>
          </w:rPr>
          <w:t xml:space="preserve">0-85115-943-5</w:t>
        </w:r>
      </w:hyperlink>
    </w:p>
    <w:bookmarkEnd w:id="106"/>
    <w:bookmarkStart w:id="108"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07">
        <w:r>
          <w:rPr>
            <w:rStyle w:val="Hyperlink"/>
          </w:rPr>
          <w:t xml:space="preserve">https://apps.who.int/iris/bitstream/handle/10665/325481/WER9425-en-fr.pdf</w:t>
        </w:r>
      </w:hyperlink>
    </w:p>
    <w:bookmarkEnd w:id="108"/>
    <w:bookmarkStart w:id="110"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09">
        <w:r>
          <w:rPr>
            <w:rStyle w:val="Hyperlink"/>
          </w:rPr>
          <w:t xml:space="preserve">http://reviverestore.org/wp-content/uploads/2015/02/Gage-and-Kosoy_USGS-Blk-footed-ferret-symp_2006-copy.pdf</w:t>
        </w:r>
      </w:hyperlink>
    </w:p>
    <w:bookmarkEnd w:id="110"/>
    <w:bookmarkStart w:id="114"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11">
        <w:r>
          <w:rPr>
            <w:rStyle w:val="Hyperlink"/>
          </w:rPr>
          <w:t xml:space="preserve">10.1073/pnas.96.24.14043</w:t>
        </w:r>
      </w:hyperlink>
      <w:r>
        <w:t xml:space="preserve"> </w:t>
      </w:r>
      <w:r>
        <w:t xml:space="preserve">· PMID:</w:t>
      </w:r>
      <w:r>
        <w:t xml:space="preserve"> </w:t>
      </w:r>
      <w:hyperlink r:id="rId112">
        <w:r>
          <w:rPr>
            <w:rStyle w:val="Hyperlink"/>
          </w:rPr>
          <w:t xml:space="preserve">10570195</w:t>
        </w:r>
      </w:hyperlink>
      <w:r>
        <w:t xml:space="preserve"> </w:t>
      </w:r>
      <w:r>
        <w:t xml:space="preserve">· PMCID:</w:t>
      </w:r>
      <w:r>
        <w:t xml:space="preserve"> </w:t>
      </w:r>
      <w:hyperlink r:id="rId113">
        <w:r>
          <w:rPr>
            <w:rStyle w:val="Hyperlink"/>
          </w:rPr>
          <w:t xml:space="preserve">PMC24187</w:t>
        </w:r>
      </w:hyperlink>
    </w:p>
    <w:bookmarkEnd w:id="114"/>
    <w:bookmarkStart w:id="117"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15">
        <w:r>
          <w:rPr>
            <w:rStyle w:val="Hyperlink"/>
          </w:rPr>
          <w:t xml:space="preserve">http://www.pnas.org/cgi/doi/10.1073/pnas.0404012101</w:t>
        </w:r>
      </w:hyperlink>
      <w:r>
        <w:t xml:space="preserve"> </w:t>
      </w:r>
      <w:r>
        <w:br/>
      </w:r>
      <w:r>
        <w:t xml:space="preserve">DOI:</w:t>
      </w:r>
      <w:r>
        <w:t xml:space="preserve"> </w:t>
      </w:r>
      <w:hyperlink r:id="rId116">
        <w:r>
          <w:rPr>
            <w:rStyle w:val="Hyperlink"/>
          </w:rPr>
          <w:t xml:space="preserve">10.1073/pnas.0404012101</w:t>
        </w:r>
      </w:hyperlink>
    </w:p>
    <w:bookmarkEnd w:id="117"/>
    <w:bookmarkStart w:id="122" w:name="ref-E2sCnrTc"/>
    <w:p>
      <w:pPr>
        <w:pStyle w:val="Bibliography"/>
      </w:pPr>
      <w:r>
        <w:t xml:space="preserve">11.</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18">
        <w:r>
          <w:rPr>
            <w:rStyle w:val="Hyperlink"/>
          </w:rPr>
          <w:t xml:space="preserve">https://www.ncbi.nlm.nih.gov/pmc/articles/PMC6961584/</w:t>
        </w:r>
      </w:hyperlink>
      <w:r>
        <w:t xml:space="preserve"> </w:t>
      </w:r>
      <w:r>
        <w:br/>
      </w:r>
      <w:r>
        <w:t xml:space="preserve">DOI:</w:t>
      </w:r>
      <w:r>
        <w:t xml:space="preserve"> </w:t>
      </w:r>
      <w:hyperlink r:id="rId119">
        <w:r>
          <w:rPr>
            <w:rStyle w:val="Hyperlink"/>
          </w:rPr>
          <w:t xml:space="preserve">10.1101/gr.251678.119</w:t>
        </w:r>
      </w:hyperlink>
      <w:r>
        <w:t xml:space="preserve"> </w:t>
      </w:r>
      <w:r>
        <w:t xml:space="preserve">· PMID:</w:t>
      </w:r>
      <w:r>
        <w:t xml:space="preserve"> </w:t>
      </w:r>
      <w:hyperlink r:id="rId120">
        <w:r>
          <w:rPr>
            <w:rStyle w:val="Hyperlink"/>
          </w:rPr>
          <w:t xml:space="preserve">31809257</w:t>
        </w:r>
      </w:hyperlink>
      <w:r>
        <w:t xml:space="preserve"> </w:t>
      </w:r>
      <w:r>
        <w:t xml:space="preserve">· PMCID:</w:t>
      </w:r>
      <w:r>
        <w:t xml:space="preserve"> </w:t>
      </w:r>
      <w:hyperlink r:id="rId121">
        <w:r>
          <w:rPr>
            <w:rStyle w:val="Hyperlink"/>
          </w:rPr>
          <w:t xml:space="preserve">PMC6961584</w:t>
        </w:r>
      </w:hyperlink>
    </w:p>
    <w:bookmarkEnd w:id="122"/>
    <w:bookmarkStart w:id="125"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3">
        <w:r>
          <w:rPr>
            <w:rStyle w:val="Hyperlink"/>
          </w:rPr>
          <w:t xml:space="preserve">https://linkinghub.elsevier.com/retrieve/pii/S1473309913703232</w:t>
        </w:r>
      </w:hyperlink>
      <w:r>
        <w:t xml:space="preserve"> </w:t>
      </w:r>
      <w:r>
        <w:br/>
      </w:r>
      <w:r>
        <w:t xml:space="preserve">DOI:</w:t>
      </w:r>
      <w:r>
        <w:t xml:space="preserve"> </w:t>
      </w:r>
      <w:hyperlink r:id="rId124">
        <w:r>
          <w:rPr>
            <w:rStyle w:val="Hyperlink"/>
          </w:rPr>
          <w:t xml:space="preserve">10.1016/s1473-3099(13)70323-2</w:t>
        </w:r>
      </w:hyperlink>
    </w:p>
    <w:bookmarkEnd w:id="125"/>
    <w:bookmarkStart w:id="130" w:name="ref-1cTipQcd"/>
    <w:p>
      <w:pPr>
        <w:pStyle w:val="Bibliography"/>
      </w:pPr>
      <w:r>
        <w:t xml:space="preserve">13.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6">
        <w:r>
          <w:rPr>
            <w:rStyle w:val="Hyperlink"/>
          </w:rPr>
          <w:t xml:space="preserve">https://www.ncbi.nlm.nih.gov/pmc/articles/PMC5320706/</w:t>
        </w:r>
      </w:hyperlink>
      <w:r>
        <w:t xml:space="preserve"> </w:t>
      </w:r>
      <w:r>
        <w:br/>
      </w:r>
      <w:r>
        <w:t xml:space="preserve">DOI:</w:t>
      </w:r>
      <w:r>
        <w:t xml:space="preserve"> </w:t>
      </w:r>
      <w:hyperlink r:id="rId127">
        <w:r>
          <w:rPr>
            <w:rStyle w:val="Hyperlink"/>
          </w:rPr>
          <w:t xml:space="preserve">10.1099/mgen.0.000094</w:t>
        </w:r>
      </w:hyperlink>
      <w:r>
        <w:t xml:space="preserve"> </w:t>
      </w:r>
      <w:r>
        <w:t xml:space="preserve">· PMID:</w:t>
      </w:r>
      <w:r>
        <w:t xml:space="preserve"> </w:t>
      </w:r>
      <w:hyperlink r:id="rId128">
        <w:r>
          <w:rPr>
            <w:rStyle w:val="Hyperlink"/>
          </w:rPr>
          <w:t xml:space="preserve">28348834</w:t>
        </w:r>
      </w:hyperlink>
      <w:r>
        <w:t xml:space="preserve"> </w:t>
      </w:r>
      <w:r>
        <w:t xml:space="preserve">· PMCID:</w:t>
      </w:r>
      <w:r>
        <w:t xml:space="preserve"> </w:t>
      </w:r>
      <w:hyperlink r:id="rId129">
        <w:r>
          <w:rPr>
            <w:rStyle w:val="Hyperlink"/>
          </w:rPr>
          <w:t xml:space="preserve">PMC5320706</w:t>
        </w:r>
      </w:hyperlink>
    </w:p>
    <w:bookmarkEnd w:id="130"/>
    <w:bookmarkStart w:id="132" w:name="ref-131fQLiJt"/>
    <w:p>
      <w:pPr>
        <w:pStyle w:val="Bibliography"/>
      </w:pPr>
      <w:r>
        <w:t xml:space="preserve">14.</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31">
        <w:r>
          <w:rPr>
            <w:rStyle w:val="Hyperlink"/>
          </w:rPr>
          <w:t xml:space="preserve">https://github.com/ktmeaton/NCBImeta</w:t>
        </w:r>
      </w:hyperlink>
    </w:p>
    <w:bookmarkEnd w:id="132"/>
    <w:bookmarkStart w:id="134" w:name="ref-hxWSqZgm"/>
    <w:p>
      <w:pPr>
        <w:pStyle w:val="Bibliography"/>
      </w:pPr>
      <w:r>
        <w:t xml:space="preserve">15.</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33">
        <w:r>
          <w:rPr>
            <w:rStyle w:val="Hyperlink"/>
          </w:rPr>
          <w:t xml:space="preserve">https://github.com/geopy/geopy</w:t>
        </w:r>
      </w:hyperlink>
    </w:p>
    <w:bookmarkEnd w:id="134"/>
    <w:bookmarkStart w:id="136" w:name="ref-M15a78x5"/>
    <w:p>
      <w:pPr>
        <w:pStyle w:val="Bibliography"/>
      </w:pPr>
      <w:r>
        <w:t xml:space="preserve">16.</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35">
        <w:r>
          <w:rPr>
            <w:rStyle w:val="Hyperlink"/>
          </w:rPr>
          <w:t xml:space="preserve">https://github.com/osm-search/Nominatim</w:t>
        </w:r>
      </w:hyperlink>
    </w:p>
    <w:bookmarkEnd w:id="136"/>
    <w:bookmarkStart w:id="138" w:name="ref-5rCiNisz"/>
    <w:p>
      <w:pPr>
        <w:pStyle w:val="Bibliography"/>
      </w:pPr>
      <w:r>
        <w:t xml:space="preserve">17.</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37">
        <w:r>
          <w:rPr>
            <w:rStyle w:val="Hyperlink"/>
          </w:rPr>
          <w:t xml:space="preserve">https://www.openstreetmap.org</w:t>
        </w:r>
      </w:hyperlink>
    </w:p>
    <w:bookmarkEnd w:id="138"/>
    <w:bookmarkStart w:id="140" w:name="ref-1DR126iIZ"/>
    <w:p>
      <w:pPr>
        <w:pStyle w:val="Bibliography"/>
      </w:pPr>
      <w:r>
        <w:t xml:space="preserve">18.</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39">
        <w:r>
          <w:rPr>
            <w:rStyle w:val="Hyperlink"/>
          </w:rPr>
          <w:t xml:space="preserve">https://github.com/tseemann/snippy</w:t>
        </w:r>
      </w:hyperlink>
    </w:p>
    <w:bookmarkEnd w:id="140"/>
    <w:bookmarkStart w:id="142" w:name="ref-puYDXtJ9"/>
    <w:p>
      <w:pPr>
        <w:pStyle w:val="Bibliography"/>
      </w:pPr>
      <w:r>
        <w:t xml:space="preserve">19.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41">
        <w:r>
          <w:rPr>
            <w:rStyle w:val="Hyperlink"/>
          </w:rPr>
          <w:t xml:space="preserve">https://github.com/ncbi/sra-tools</w:t>
        </w:r>
      </w:hyperlink>
    </w:p>
    <w:bookmarkEnd w:id="142"/>
    <w:bookmarkStart w:id="145" w:name="ref-17yD9OrGW"/>
    <w:p>
      <w:pPr>
        <w:pStyle w:val="Bibliography"/>
      </w:pPr>
      <w:r>
        <w:t xml:space="preserve">20.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43">
        <w:r>
          <w:rPr>
            <w:rStyle w:val="Hyperlink"/>
          </w:rPr>
          <w:t xml:space="preserve">https://peerj.com/articles/10947</w:t>
        </w:r>
      </w:hyperlink>
      <w:r>
        <w:t xml:space="preserve"> </w:t>
      </w:r>
      <w:r>
        <w:br/>
      </w:r>
      <w:r>
        <w:t xml:space="preserve">DOI:</w:t>
      </w:r>
      <w:r>
        <w:t xml:space="preserve"> </w:t>
      </w:r>
      <w:hyperlink r:id="rId144">
        <w:r>
          <w:rPr>
            <w:rStyle w:val="Hyperlink"/>
          </w:rPr>
          <w:t xml:space="preserve">10.7717/peerj.10947</w:t>
        </w:r>
      </w:hyperlink>
    </w:p>
    <w:bookmarkEnd w:id="145"/>
    <w:bookmarkStart w:id="148" w:name="ref-ONhNS9aO"/>
    <w:p>
      <w:pPr>
        <w:pStyle w:val="Bibliography"/>
      </w:pPr>
      <w:r>
        <w:t xml:space="preserve">21.</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46">
        <w:r>
          <w:rPr>
            <w:rStyle w:val="Hyperlink"/>
          </w:rPr>
          <w:t xml:space="preserve">http://www.pnas.org/cgi/doi/10.1073/pnas.1205750110</w:t>
        </w:r>
      </w:hyperlink>
      <w:r>
        <w:t xml:space="preserve"> </w:t>
      </w:r>
      <w:r>
        <w:br/>
      </w:r>
      <w:r>
        <w:t xml:space="preserve">DOI:</w:t>
      </w:r>
      <w:r>
        <w:t xml:space="preserve"> </w:t>
      </w:r>
      <w:hyperlink r:id="rId147">
        <w:r>
          <w:rPr>
            <w:rStyle w:val="Hyperlink"/>
          </w:rPr>
          <w:t xml:space="preserve">10.1073/pnas.1205750110</w:t>
        </w:r>
      </w:hyperlink>
    </w:p>
    <w:bookmarkEnd w:id="148"/>
    <w:bookmarkStart w:id="151" w:name="ref-QZIPWLUx"/>
    <w:p>
      <w:pPr>
        <w:pStyle w:val="Bibliography"/>
      </w:pPr>
      <w:r>
        <w:t xml:space="preserve">22.</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9">
        <w:r>
          <w:rPr>
            <w:rStyle w:val="Hyperlink"/>
          </w:rPr>
          <w:t xml:space="preserve">http://www.nature.com/articles/nmeth.4285</w:t>
        </w:r>
      </w:hyperlink>
      <w:r>
        <w:t xml:space="preserve"> </w:t>
      </w:r>
      <w:r>
        <w:br/>
      </w:r>
      <w:r>
        <w:t xml:space="preserve">DOI:</w:t>
      </w:r>
      <w:r>
        <w:t xml:space="preserve"> </w:t>
      </w:r>
      <w:hyperlink r:id="rId150">
        <w:r>
          <w:rPr>
            <w:rStyle w:val="Hyperlink"/>
          </w:rPr>
          <w:t xml:space="preserve">10.1038/nmeth.4285</w:t>
        </w:r>
      </w:hyperlink>
    </w:p>
    <w:bookmarkEnd w:id="151"/>
    <w:bookmarkStart w:id="154" w:name="ref-mkkgRhHT"/>
    <w:p>
      <w:pPr>
        <w:pStyle w:val="Bibliography"/>
      </w:pPr>
      <w:r>
        <w:t xml:space="preserve">23.</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52">
        <w:r>
          <w:rPr>
            <w:rStyle w:val="Hyperlink"/>
          </w:rPr>
          <w:t xml:space="preserve">https://academic.oup.com/mbe/article/37/5/1530/5721363</w:t>
        </w:r>
      </w:hyperlink>
      <w:r>
        <w:t xml:space="preserve"> </w:t>
      </w:r>
      <w:r>
        <w:br/>
      </w:r>
      <w:r>
        <w:t xml:space="preserve">DOI:</w:t>
      </w:r>
      <w:r>
        <w:t xml:space="preserve"> </w:t>
      </w:r>
      <w:hyperlink r:id="rId153">
        <w:r>
          <w:rPr>
            <w:rStyle w:val="Hyperlink"/>
          </w:rPr>
          <w:t xml:space="preserve">10.1093/molbev/msaa015</w:t>
        </w:r>
      </w:hyperlink>
    </w:p>
    <w:bookmarkEnd w:id="154"/>
    <w:bookmarkStart w:id="157" w:name="ref-12SvE6y3A"/>
    <w:p>
      <w:pPr>
        <w:pStyle w:val="Bibliography"/>
      </w:pPr>
      <w:r>
        <w:t xml:space="preserve">24.</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55">
        <w:r>
          <w:rPr>
            <w:rStyle w:val="Hyperlink"/>
          </w:rPr>
          <w:t xml:space="preserve">https://academic.oup.com/mbe/article/35/2/518/4565479</w:t>
        </w:r>
      </w:hyperlink>
      <w:r>
        <w:t xml:space="preserve"> </w:t>
      </w:r>
      <w:r>
        <w:br/>
      </w:r>
      <w:r>
        <w:t xml:space="preserve">DOI:</w:t>
      </w:r>
      <w:r>
        <w:t xml:space="preserve"> </w:t>
      </w:r>
      <w:hyperlink r:id="rId156">
        <w:r>
          <w:rPr>
            <w:rStyle w:val="Hyperlink"/>
          </w:rPr>
          <w:t xml:space="preserve">10.1093/molbev/msx281</w:t>
        </w:r>
      </w:hyperlink>
    </w:p>
    <w:bookmarkEnd w:id="157"/>
    <w:bookmarkStart w:id="160" w:name="ref-VomZnwKw"/>
    <w:p>
      <w:pPr>
        <w:pStyle w:val="Bibliography"/>
      </w:pPr>
      <w:r>
        <w:t xml:space="preserve">25.</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58">
        <w:r>
          <w:rPr>
            <w:rStyle w:val="Hyperlink"/>
          </w:rPr>
          <w:t xml:space="preserve">https://academic.oup.com/sysbio/article-lookup/doi/10.1093/sysbio/syv068</w:t>
        </w:r>
      </w:hyperlink>
      <w:r>
        <w:t xml:space="preserve"> </w:t>
      </w:r>
      <w:r>
        <w:br/>
      </w:r>
      <w:r>
        <w:t xml:space="preserve">DOI:</w:t>
      </w:r>
      <w:r>
        <w:t xml:space="preserve"> </w:t>
      </w:r>
      <w:hyperlink r:id="rId159">
        <w:r>
          <w:rPr>
            <w:rStyle w:val="Hyperlink"/>
          </w:rPr>
          <w:t xml:space="preserve">10.1093/sysbio/syv068</w:t>
        </w:r>
      </w:hyperlink>
    </w:p>
    <w:bookmarkEnd w:id="160"/>
    <w:bookmarkStart w:id="165" w:name="ref-11JaQggrG"/>
    <w:p>
      <w:pPr>
        <w:pStyle w:val="Bibliography"/>
      </w:pPr>
      <w:r>
        <w:t xml:space="preserve">26.</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61">
        <w:r>
          <w:rPr>
            <w:rStyle w:val="Hyperlink"/>
          </w:rPr>
          <w:t xml:space="preserve">https://www.ncbi.nlm.nih.gov/pmc/articles/PMC5758920/</w:t>
        </w:r>
      </w:hyperlink>
      <w:r>
        <w:t xml:space="preserve"> </w:t>
      </w:r>
      <w:r>
        <w:br/>
      </w:r>
      <w:r>
        <w:t xml:space="preserve">DOI:</w:t>
      </w:r>
      <w:r>
        <w:t xml:space="preserve"> </w:t>
      </w:r>
      <w:hyperlink r:id="rId162">
        <w:r>
          <w:rPr>
            <w:rStyle w:val="Hyperlink"/>
          </w:rPr>
          <w:t xml:space="preserve">10.1093/ve/vex042</w:t>
        </w:r>
      </w:hyperlink>
      <w:r>
        <w:t xml:space="preserve"> </w:t>
      </w:r>
      <w:r>
        <w:t xml:space="preserve">· PMID:</w:t>
      </w:r>
      <w:r>
        <w:t xml:space="preserve"> </w:t>
      </w:r>
      <w:hyperlink r:id="rId163">
        <w:r>
          <w:rPr>
            <w:rStyle w:val="Hyperlink"/>
          </w:rPr>
          <w:t xml:space="preserve">29340210</w:t>
        </w:r>
      </w:hyperlink>
      <w:r>
        <w:t xml:space="preserve"> </w:t>
      </w:r>
      <w:r>
        <w:t xml:space="preserve">· PMCID:</w:t>
      </w:r>
      <w:r>
        <w:t xml:space="preserve"> </w:t>
      </w:r>
      <w:hyperlink r:id="rId164">
        <w:r>
          <w:rPr>
            <w:rStyle w:val="Hyperlink"/>
          </w:rPr>
          <w:t xml:space="preserve">PMC5758920</w:t>
        </w:r>
      </w:hyperlink>
    </w:p>
    <w:bookmarkEnd w:id="165"/>
    <w:bookmarkStart w:id="168" w:name="ref-cIuFxbEY"/>
    <w:p>
      <w:pPr>
        <w:pStyle w:val="Bibliography"/>
      </w:pPr>
      <w:r>
        <w:t xml:space="preserve">27.</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66">
        <w:r>
          <w:rPr>
            <w:rStyle w:val="Hyperlink"/>
          </w:rPr>
          <w:t xml:space="preserve">http://www.sciencedirect.com/science/article/pii/S1286457904002357</w:t>
        </w:r>
      </w:hyperlink>
      <w:r>
        <w:t xml:space="preserve"> </w:t>
      </w:r>
      <w:r>
        <w:br/>
      </w:r>
      <w:r>
        <w:t xml:space="preserve">DOI:</w:t>
      </w:r>
      <w:r>
        <w:t xml:space="preserve"> </w:t>
      </w:r>
      <w:hyperlink r:id="rId167">
        <w:r>
          <w:rPr>
            <w:rStyle w:val="Hyperlink"/>
          </w:rPr>
          <w:t xml:space="preserve">10.1016/j.micinf.2004.08.002</w:t>
        </w:r>
      </w:hyperlink>
    </w:p>
    <w:bookmarkEnd w:id="168"/>
    <w:bookmarkStart w:id="171" w:name="ref-66GmpEaG"/>
    <w:p>
      <w:pPr>
        <w:pStyle w:val="Bibliography"/>
      </w:pPr>
      <w:r>
        <w:t xml:space="preserve">28.</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69">
        <w:r>
          <w:rPr>
            <w:rStyle w:val="Hyperlink"/>
          </w:rPr>
          <w:t xml:space="preserve">https://journals.plos.org/plosone/article?id=10.1371/journal.pone.0006000</w:t>
        </w:r>
      </w:hyperlink>
      <w:r>
        <w:t xml:space="preserve"> </w:t>
      </w:r>
      <w:r>
        <w:br/>
      </w:r>
      <w:r>
        <w:t xml:space="preserve">DOI:</w:t>
      </w:r>
      <w:r>
        <w:t xml:space="preserve"> </w:t>
      </w:r>
      <w:hyperlink r:id="rId170">
        <w:r>
          <w:rPr>
            <w:rStyle w:val="Hyperlink"/>
          </w:rPr>
          <w:t xml:space="preserve">10.1371/journal.pone.0006000</w:t>
        </w:r>
      </w:hyperlink>
    </w:p>
    <w:bookmarkEnd w:id="171"/>
    <w:bookmarkStart w:id="176" w:name="ref-ZvyYZ3sx"/>
    <w:p>
      <w:pPr>
        <w:pStyle w:val="Bibliography"/>
      </w:pPr>
      <w:r>
        <w:t xml:space="preserve">29.</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72">
        <w:r>
          <w:rPr>
            <w:rStyle w:val="Hyperlink"/>
          </w:rPr>
          <w:t xml:space="preserve">https://www.ncbi.nlm.nih.gov/pmc/articles/PMC4644222/</w:t>
        </w:r>
      </w:hyperlink>
      <w:r>
        <w:t xml:space="preserve"> </w:t>
      </w:r>
      <w:r>
        <w:br/>
      </w:r>
      <w:r>
        <w:t xml:space="preserve">DOI:</w:t>
      </w:r>
      <w:r>
        <w:t xml:space="preserve"> </w:t>
      </w:r>
      <w:hyperlink r:id="rId173">
        <w:r>
          <w:rPr>
            <w:rStyle w:val="Hyperlink"/>
          </w:rPr>
          <w:t xml:space="preserve">10.1016/j.cell.2015.10.009</w:t>
        </w:r>
      </w:hyperlink>
      <w:r>
        <w:t xml:space="preserve"> </w:t>
      </w:r>
      <w:r>
        <w:t xml:space="preserve">· PMID:</w:t>
      </w:r>
      <w:r>
        <w:t xml:space="preserve"> </w:t>
      </w:r>
      <w:hyperlink r:id="rId174">
        <w:r>
          <w:rPr>
            <w:rStyle w:val="Hyperlink"/>
          </w:rPr>
          <w:t xml:space="preserve">26496604</w:t>
        </w:r>
      </w:hyperlink>
      <w:r>
        <w:t xml:space="preserve"> </w:t>
      </w:r>
      <w:r>
        <w:t xml:space="preserve">· PMCID:</w:t>
      </w:r>
      <w:r>
        <w:t xml:space="preserve"> </w:t>
      </w:r>
      <w:hyperlink r:id="rId175">
        <w:r>
          <w:rPr>
            <w:rStyle w:val="Hyperlink"/>
          </w:rPr>
          <w:t xml:space="preserve">PMC4644222</w:t>
        </w:r>
      </w:hyperlink>
    </w:p>
    <w:bookmarkEnd w:id="176"/>
    <w:bookmarkStart w:id="180" w:name="ref-19LMpiGZs"/>
    <w:p>
      <w:pPr>
        <w:pStyle w:val="Bibliography"/>
      </w:pPr>
      <w:r>
        <w:t xml:space="preserve">30.</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77">
        <w:r>
          <w:rPr>
            <w:rStyle w:val="Hyperlink"/>
          </w:rPr>
          <w:t xml:space="preserve">https://www.pnas.org/content/116/25/12363</w:t>
        </w:r>
      </w:hyperlink>
      <w:r>
        <w:t xml:space="preserve"> </w:t>
      </w:r>
      <w:r>
        <w:br/>
      </w:r>
      <w:r>
        <w:t xml:space="preserve">DOI:</w:t>
      </w:r>
      <w:r>
        <w:t xml:space="preserve"> </w:t>
      </w:r>
      <w:hyperlink r:id="rId178">
        <w:r>
          <w:rPr>
            <w:rStyle w:val="Hyperlink"/>
          </w:rPr>
          <w:t xml:space="preserve">10.1073/pnas.1820447116</w:t>
        </w:r>
      </w:hyperlink>
      <w:r>
        <w:t xml:space="preserve"> </w:t>
      </w:r>
      <w:r>
        <w:t xml:space="preserve">· PMID:</w:t>
      </w:r>
      <w:r>
        <w:t xml:space="preserve"> </w:t>
      </w:r>
      <w:hyperlink r:id="rId179">
        <w:r>
          <w:rPr>
            <w:rStyle w:val="Hyperlink"/>
          </w:rPr>
          <w:t xml:space="preserve">31164419</w:t>
        </w:r>
      </w:hyperlink>
    </w:p>
    <w:bookmarkEnd w:id="180"/>
    <w:bookmarkStart w:id="183" w:name="ref-RWkOSyzX"/>
    <w:p>
      <w:pPr>
        <w:pStyle w:val="Bibliography"/>
      </w:pPr>
      <w:r>
        <w:t xml:space="preserve">31.</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81">
        <w:r>
          <w:rPr>
            <w:rStyle w:val="Hyperlink"/>
          </w:rPr>
          <w:t xml:space="preserve">https://royalsocietypublishing.org/doi/10.1098/rspb.2013.3159</w:t>
        </w:r>
      </w:hyperlink>
      <w:r>
        <w:t xml:space="preserve"> </w:t>
      </w:r>
      <w:r>
        <w:br/>
      </w:r>
      <w:r>
        <w:t xml:space="preserve">DOI:</w:t>
      </w:r>
      <w:r>
        <w:t xml:space="preserve"> </w:t>
      </w:r>
      <w:hyperlink r:id="rId182">
        <w:r>
          <w:rPr>
            <w:rStyle w:val="Hyperlink"/>
          </w:rPr>
          <w:t xml:space="preserve">10.1098/rspb.2013.3159</w:t>
        </w:r>
      </w:hyperlink>
    </w:p>
    <w:bookmarkEnd w:id="183"/>
    <w:bookmarkStart w:id="187" w:name="ref-pjjiQi2H"/>
    <w:p>
      <w:pPr>
        <w:pStyle w:val="Bibliography"/>
      </w:pPr>
      <w:r>
        <w:t xml:space="preserve">32.</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84">
        <w:r>
          <w:rPr>
            <w:rStyle w:val="Hyperlink"/>
          </w:rPr>
          <w:t xml:space="preserve">https://www.pnas.org/content/116/24/11833</w:t>
        </w:r>
      </w:hyperlink>
      <w:r>
        <w:t xml:space="preserve"> </w:t>
      </w:r>
      <w:r>
        <w:br/>
      </w:r>
      <w:r>
        <w:t xml:space="preserve">DOI:</w:t>
      </w:r>
      <w:r>
        <w:t xml:space="preserve"> </w:t>
      </w:r>
      <w:hyperlink r:id="rId185">
        <w:r>
          <w:rPr>
            <w:rStyle w:val="Hyperlink"/>
          </w:rPr>
          <w:t xml:space="preserve">10.1073/pnas.1901366116</w:t>
        </w:r>
      </w:hyperlink>
      <w:r>
        <w:t xml:space="preserve"> </w:t>
      </w:r>
      <w:r>
        <w:t xml:space="preserve">· PMID:</w:t>
      </w:r>
      <w:r>
        <w:t xml:space="preserve"> </w:t>
      </w:r>
      <w:hyperlink r:id="rId186">
        <w:r>
          <w:rPr>
            <w:rStyle w:val="Hyperlink"/>
          </w:rPr>
          <w:t xml:space="preserve">31138696</w:t>
        </w:r>
      </w:hyperlink>
    </w:p>
    <w:bookmarkEnd w:id="187"/>
    <w:bookmarkStart w:id="190" w:name="ref-1CPIgshmC"/>
    <w:p>
      <w:pPr>
        <w:pStyle w:val="Bibliography"/>
      </w:pPr>
      <w:r>
        <w:t xml:space="preserve">33.</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88">
        <w:r>
          <w:rPr>
            <w:rStyle w:val="Hyperlink"/>
          </w:rPr>
          <w:t xml:space="preserve">https://www.nature.com/articles/s41467-019-12154-0</w:t>
        </w:r>
      </w:hyperlink>
      <w:r>
        <w:t xml:space="preserve"> </w:t>
      </w:r>
      <w:r>
        <w:br/>
      </w:r>
      <w:r>
        <w:t xml:space="preserve">DOI:</w:t>
      </w:r>
      <w:r>
        <w:t xml:space="preserve"> </w:t>
      </w:r>
      <w:hyperlink r:id="rId189">
        <w:r>
          <w:rPr>
            <w:rStyle w:val="Hyperlink"/>
          </w:rPr>
          <w:t xml:space="preserve">10.1038/s41467-019-12154-0</w:t>
        </w:r>
      </w:hyperlink>
    </w:p>
    <w:bookmarkEnd w:id="190"/>
    <w:bookmarkStart w:id="192" w:name="ref-zikRADit"/>
    <w:p>
      <w:pPr>
        <w:pStyle w:val="Bibliography"/>
      </w:pPr>
      <w:r>
        <w:t xml:space="preserve">34.</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91">
        <w:r>
          <w:rPr>
            <w:rStyle w:val="Hyperlink"/>
          </w:rPr>
          <w:t xml:space="preserve">https://doi.org/10.1093/molbev/msaa163</w:t>
        </w:r>
      </w:hyperlink>
      <w:r>
        <w:t xml:space="preserve"> </w:t>
      </w:r>
      <w:r>
        <w:br/>
      </w:r>
      <w:r>
        <w:t xml:space="preserve">DOI:</w:t>
      </w:r>
      <w:r>
        <w:t xml:space="preserve"> </w:t>
      </w:r>
      <w:hyperlink r:id="rId191">
        <w:r>
          <w:rPr>
            <w:rStyle w:val="Hyperlink"/>
          </w:rPr>
          <w:t xml:space="preserve">10.1093/molbev/msaa163</w:t>
        </w:r>
      </w:hyperlink>
    </w:p>
    <w:bookmarkEnd w:id="192"/>
    <w:bookmarkStart w:id="195" w:name="ref-39QXTupk"/>
    <w:p>
      <w:pPr>
        <w:pStyle w:val="Bibliography"/>
      </w:pPr>
      <w:r>
        <w:t xml:space="preserve">35.</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93">
        <w:r>
          <w:rPr>
            <w:rStyle w:val="Hyperlink"/>
          </w:rPr>
          <w:t xml:space="preserve">http://linkinghub.elsevier.com/retrieve/pii/S1931312816302086</w:t>
        </w:r>
      </w:hyperlink>
      <w:r>
        <w:t xml:space="preserve"> </w:t>
      </w:r>
      <w:r>
        <w:br/>
      </w:r>
      <w:r>
        <w:t xml:space="preserve">DOI:</w:t>
      </w:r>
      <w:r>
        <w:t xml:space="preserve"> </w:t>
      </w:r>
      <w:hyperlink r:id="rId194">
        <w:r>
          <w:rPr>
            <w:rStyle w:val="Hyperlink"/>
          </w:rPr>
          <w:t xml:space="preserve">10.1016/j.chom.2016.05.012</w:t>
        </w:r>
      </w:hyperlink>
    </w:p>
    <w:bookmarkEnd w:id="195"/>
    <w:bookmarkStart w:id="199" w:name="ref-Y4CIJOZW"/>
    <w:p>
      <w:pPr>
        <w:pStyle w:val="Bibliography"/>
      </w:pPr>
      <w:r>
        <w:t xml:space="preserve">36.</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96">
        <w:r>
          <w:rPr>
            <w:rStyle w:val="Hyperlink"/>
          </w:rPr>
          <w:t xml:space="preserve">10.1038/ng.705</w:t>
        </w:r>
      </w:hyperlink>
      <w:r>
        <w:t xml:space="preserve"> </w:t>
      </w:r>
      <w:r>
        <w:t xml:space="preserve">· PMID:</w:t>
      </w:r>
      <w:r>
        <w:t xml:space="preserve"> </w:t>
      </w:r>
      <w:hyperlink r:id="rId197">
        <w:r>
          <w:rPr>
            <w:rStyle w:val="Hyperlink"/>
          </w:rPr>
          <w:t xml:space="preserve">21037571</w:t>
        </w:r>
      </w:hyperlink>
      <w:r>
        <w:t xml:space="preserve"> </w:t>
      </w:r>
      <w:r>
        <w:t xml:space="preserve">· PMCID:</w:t>
      </w:r>
      <w:r>
        <w:t xml:space="preserve"> </w:t>
      </w:r>
      <w:hyperlink r:id="rId198">
        <w:r>
          <w:rPr>
            <w:rStyle w:val="Hyperlink"/>
          </w:rPr>
          <w:t xml:space="preserve">PMC2999892</w:t>
        </w:r>
      </w:hyperlink>
    </w:p>
    <w:bookmarkEnd w:id="199"/>
    <w:bookmarkEnd w:id="20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83" Target="media/rId83.png" /><Relationship Type="http://schemas.openxmlformats.org/officeDocument/2006/relationships/image" Id="rId58" Target="media/rId58.png" /><Relationship Type="http://schemas.openxmlformats.org/officeDocument/2006/relationships/image" Id="rId79" Target="media/rId79.png" /><Relationship Type="http://schemas.openxmlformats.org/officeDocument/2006/relationships/image" Id="rId50" Target="media/rId50.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93" Target="http://linkinghub.elsevier.com/retrieve/pii/S1931312816302086" TargetMode="External" /><Relationship Type="http://schemas.openxmlformats.org/officeDocument/2006/relationships/hyperlink" Id="rId109" Target="http://reviverestore.org/wp-content/uploads/2015/02/Gage-and-Kosoy_USGS-Blk-footed-ferret-symp_2006-copy.pdf" TargetMode="External" /><Relationship Type="http://schemas.openxmlformats.org/officeDocument/2006/relationships/hyperlink" Id="rId149" Target="http://www.nature.com/articles/nmeth.4285" TargetMode="External" /><Relationship Type="http://schemas.openxmlformats.org/officeDocument/2006/relationships/hyperlink" Id="rId115" Target="http://www.pnas.org/cgi/doi/10.1073/pnas.0404012101" TargetMode="External" /><Relationship Type="http://schemas.openxmlformats.org/officeDocument/2006/relationships/hyperlink" Id="rId146" Target="http://www.pnas.org/cgi/doi/10.1073/pnas.1205750110" TargetMode="External" /><Relationship Type="http://schemas.openxmlformats.org/officeDocument/2006/relationships/hyperlink" Id="rId166" Target="http://www.sciencedirect.com/science/article/pii/S1286457904002357" TargetMode="External" /><Relationship Type="http://schemas.openxmlformats.org/officeDocument/2006/relationships/hyperlink" Id="rId155" Target="https://academic.oup.com/mbe/article/35/2/518/4565479" TargetMode="External" /><Relationship Type="http://schemas.openxmlformats.org/officeDocument/2006/relationships/hyperlink" Id="rId152" Target="https://academic.oup.com/mbe/article/37/5/1530/5721363" TargetMode="External" /><Relationship Type="http://schemas.openxmlformats.org/officeDocument/2006/relationships/hyperlink" Id="rId158" Target="https://academic.oup.com/sysbio/article-lookup/doi/10.1093/sysbio/syv068" TargetMode="External" /><Relationship Type="http://schemas.openxmlformats.org/officeDocument/2006/relationships/hyperlink" Id="rId107" Target="https://apps.who.int/iris/bitstream/handle/10665/325481/WER9425-en-fr.pdf" TargetMode="External" /><Relationship Type="http://schemas.openxmlformats.org/officeDocument/2006/relationships/hyperlink" Id="rId124" Target="https://doi.org/10.1016/S1473-3099(13)70323-2" TargetMode="External" /><Relationship Type="http://schemas.openxmlformats.org/officeDocument/2006/relationships/hyperlink" Id="rId173" Target="https://doi.org/10.1016/j.cell.2015.10.009" TargetMode="External" /><Relationship Type="http://schemas.openxmlformats.org/officeDocument/2006/relationships/hyperlink" Id="rId92" Target="https://doi.org/10.1016/j.cell.2018.11.005" TargetMode="External" /><Relationship Type="http://schemas.openxmlformats.org/officeDocument/2006/relationships/hyperlink" Id="rId194" Target="https://doi.org/10.1016/j.chom.2016.05.012" TargetMode="External" /><Relationship Type="http://schemas.openxmlformats.org/officeDocument/2006/relationships/hyperlink" Id="rId88" Target="https://doi.org/10.1016/j.cub.2017.10.025" TargetMode="External" /><Relationship Type="http://schemas.openxmlformats.org/officeDocument/2006/relationships/hyperlink" Id="rId167" Target="https://doi.org/10.1016/j.micinf.2004.08.002" TargetMode="External" /><Relationship Type="http://schemas.openxmlformats.org/officeDocument/2006/relationships/hyperlink" Id="rId196" Target="https://doi.org/10.1038/ng.705" TargetMode="External" /><Relationship Type="http://schemas.openxmlformats.org/officeDocument/2006/relationships/hyperlink" Id="rId150" Target="https://doi.org/10.1038/nmeth.4285" TargetMode="External" /><Relationship Type="http://schemas.openxmlformats.org/officeDocument/2006/relationships/hyperlink" Id="rId189" Target="https://doi.org/10.1038/s41467-019-12154-0" TargetMode="External" /><Relationship Type="http://schemas.openxmlformats.org/officeDocument/2006/relationships/hyperlink" Id="rId96" Target="https://doi.org/10.1038/s41598-017-13481-2" TargetMode="External" /><Relationship Type="http://schemas.openxmlformats.org/officeDocument/2006/relationships/hyperlink" Id="rId116" Target="https://doi.org/10.1073/pnas.0404012101" TargetMode="External" /><Relationship Type="http://schemas.openxmlformats.org/officeDocument/2006/relationships/hyperlink" Id="rId147" Target="https://doi.org/10.1073/pnas.1205750110" TargetMode="External" /><Relationship Type="http://schemas.openxmlformats.org/officeDocument/2006/relationships/hyperlink" Id="rId178" Target="https://doi.org/10.1073/pnas.1820447116" TargetMode="External" /><Relationship Type="http://schemas.openxmlformats.org/officeDocument/2006/relationships/hyperlink" Id="rId185" Target="https://doi.org/10.1073/pnas.1901366116" TargetMode="External" /><Relationship Type="http://schemas.openxmlformats.org/officeDocument/2006/relationships/hyperlink" Id="rId111" Target="https://doi.org/10.1073/pnas.96.24.14043" TargetMode="External" /><Relationship Type="http://schemas.openxmlformats.org/officeDocument/2006/relationships/hyperlink" Id="rId153" Target="https://doi.org/10.1093/molbev/msaa015" TargetMode="External" /><Relationship Type="http://schemas.openxmlformats.org/officeDocument/2006/relationships/hyperlink" Id="rId191" Target="https://doi.org/10.1093/molbev/msaa163" TargetMode="External" /><Relationship Type="http://schemas.openxmlformats.org/officeDocument/2006/relationships/hyperlink" Id="rId156" Target="https://doi.org/10.1093/molbev/msx281" TargetMode="External" /><Relationship Type="http://schemas.openxmlformats.org/officeDocument/2006/relationships/hyperlink" Id="rId159" Target="https://doi.org/10.1093/sysbio/syv068" TargetMode="External" /><Relationship Type="http://schemas.openxmlformats.org/officeDocument/2006/relationships/hyperlink" Id="rId162" Target="https://doi.org/10.1093/ve/vex042" TargetMode="External" /><Relationship Type="http://schemas.openxmlformats.org/officeDocument/2006/relationships/hyperlink" Id="rId182" Target="https://doi.org/10.1098/rspb.2013.3159" TargetMode="External" /><Relationship Type="http://schemas.openxmlformats.org/officeDocument/2006/relationships/hyperlink" Id="rId127" Target="https://doi.org/10.1099/mgen.0.000094" TargetMode="External" /><Relationship Type="http://schemas.openxmlformats.org/officeDocument/2006/relationships/hyperlink" Id="rId119" Target="https://doi.org/10.1101/gr.251678.119" TargetMode="External" /><Relationship Type="http://schemas.openxmlformats.org/officeDocument/2006/relationships/hyperlink" Id="rId170" Target="https://doi.org/10.1371/journal.pone.0006000" TargetMode="External" /><Relationship Type="http://schemas.openxmlformats.org/officeDocument/2006/relationships/hyperlink" Id="rId144" Target="https://doi.org/10.7717/peerj.10947" TargetMode="External" /><Relationship Type="http://schemas.openxmlformats.org/officeDocument/2006/relationships/hyperlink" Id="rId133"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1" Target="https://github.com/ktmeaton/NCBImeta" TargetMode="External" /><Relationship Type="http://schemas.openxmlformats.org/officeDocument/2006/relationships/hyperlink" Id="rId21" Target="https://github.com/ktmeaton/obsidian-public/tree/264b9641" TargetMode="External" /><Relationship Type="http://schemas.openxmlformats.org/officeDocument/2006/relationships/hyperlink" Id="rId141" Target="https://github.com/ncbi/sra-tools" TargetMode="External" /><Relationship Type="http://schemas.openxmlformats.org/officeDocument/2006/relationships/hyperlink" Id="rId135"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39" Target="https://github.com/tseemann/snippy" TargetMode="External" /><Relationship Type="http://schemas.openxmlformats.org/officeDocument/2006/relationships/hyperlink" Id="rId169" Target="https://journals.plos.org/plosone/article?id=10.1371/journal.pone.0006000" TargetMode="External" /><Relationship Type="http://schemas.openxmlformats.org/officeDocument/2006/relationships/hyperlink" Id="rId12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3" Target="https://peerj.com/articles/10947" TargetMode="External" /><Relationship Type="http://schemas.openxmlformats.org/officeDocument/2006/relationships/hyperlink" Id="rId20" Target="https://rawcdn.githack.com/ktmeaton/obsidian-public/264b9641/academic/Plague%20Phylodynamics%20and%20Phylogeography%20Paper.html" TargetMode="External" /><Relationship Type="http://schemas.openxmlformats.org/officeDocument/2006/relationships/hyperlink" Id="rId181" Target="https://royalsocietypublishing.org/doi/10.1098/rspb.2013.3159" TargetMode="External" /><Relationship Type="http://schemas.openxmlformats.org/officeDocument/2006/relationships/hyperlink" Id="rId105" Target="https://worldcat.org/isbn/0-85115-943-5" TargetMode="External" /><Relationship Type="http://schemas.openxmlformats.org/officeDocument/2006/relationships/hyperlink" Id="rId91" Target="https://www.cell.com/cell/abstract/S0092-8674(18)31464-8" TargetMode="External" /><Relationship Type="http://schemas.openxmlformats.org/officeDocument/2006/relationships/hyperlink" Id="rId188" Target="https://www.nature.com/articles/s41467-019-12154-0" TargetMode="External" /><Relationship Type="http://schemas.openxmlformats.org/officeDocument/2006/relationships/hyperlink" Id="rId101" Target="https://www.ncbi.nlm.nih.gov/pmc/articles/PMC172914" TargetMode="External" /><Relationship Type="http://schemas.openxmlformats.org/officeDocument/2006/relationships/hyperlink" Id="rId113" Target="https://www.ncbi.nlm.nih.gov/pmc/articles/PMC24187" TargetMode="External" /><Relationship Type="http://schemas.openxmlformats.org/officeDocument/2006/relationships/hyperlink" Id="rId198" Target="https://www.ncbi.nlm.nih.gov/pmc/articles/PMC2999892" TargetMode="External" /><Relationship Type="http://schemas.openxmlformats.org/officeDocument/2006/relationships/hyperlink" Id="rId175" Target="https://www.ncbi.nlm.nih.gov/pmc/articles/PMC4644222" TargetMode="External" /><Relationship Type="http://schemas.openxmlformats.org/officeDocument/2006/relationships/hyperlink" Id="rId172" Target="https://www.ncbi.nlm.nih.gov/pmc/articles/PMC4644222/" TargetMode="External" /><Relationship Type="http://schemas.openxmlformats.org/officeDocument/2006/relationships/hyperlink" Id="rId129" Target="https://www.ncbi.nlm.nih.gov/pmc/articles/PMC5320706" TargetMode="External" /><Relationship Type="http://schemas.openxmlformats.org/officeDocument/2006/relationships/hyperlink" Id="rId126" Target="https://www.ncbi.nlm.nih.gov/pmc/articles/PMC5320706/" TargetMode="External" /><Relationship Type="http://schemas.openxmlformats.org/officeDocument/2006/relationships/hyperlink" Id="rId98" Target="https://www.ncbi.nlm.nih.gov/pmc/articles/PMC5636801" TargetMode="External" /><Relationship Type="http://schemas.openxmlformats.org/officeDocument/2006/relationships/hyperlink" Id="rId95" Target="https://www.ncbi.nlm.nih.gov/pmc/articles/PMC5636801/" TargetMode="External" /><Relationship Type="http://schemas.openxmlformats.org/officeDocument/2006/relationships/hyperlink" Id="rId164" Target="https://www.ncbi.nlm.nih.gov/pmc/articles/PMC5758920" TargetMode="External" /><Relationship Type="http://schemas.openxmlformats.org/officeDocument/2006/relationships/hyperlink" Id="rId161" Target="https://www.ncbi.nlm.nih.gov/pmc/articles/PMC5758920/" TargetMode="External" /><Relationship Type="http://schemas.openxmlformats.org/officeDocument/2006/relationships/hyperlink" Id="rId121" Target="https://www.ncbi.nlm.nih.gov/pmc/articles/PMC6961584" TargetMode="External" /><Relationship Type="http://schemas.openxmlformats.org/officeDocument/2006/relationships/hyperlink" Id="rId118" Target="https://www.ncbi.nlm.nih.gov/pmc/articles/PMC6961584/" TargetMode="External" /><Relationship Type="http://schemas.openxmlformats.org/officeDocument/2006/relationships/hyperlink" Id="rId112" Target="https://www.ncbi.nlm.nih.gov/pubmed/10570195" TargetMode="External" /><Relationship Type="http://schemas.openxmlformats.org/officeDocument/2006/relationships/hyperlink" Id="rId197" Target="https://www.ncbi.nlm.nih.gov/pubmed/21037571" TargetMode="External" /><Relationship Type="http://schemas.openxmlformats.org/officeDocument/2006/relationships/hyperlink" Id="rId174" Target="https://www.ncbi.nlm.nih.gov/pubmed/26496604" TargetMode="External" /><Relationship Type="http://schemas.openxmlformats.org/officeDocument/2006/relationships/hyperlink" Id="rId128" Target="https://www.ncbi.nlm.nih.gov/pubmed/28348834" TargetMode="External" /><Relationship Type="http://schemas.openxmlformats.org/officeDocument/2006/relationships/hyperlink" Id="rId97" Target="https://www.ncbi.nlm.nih.gov/pubmed/29021541" TargetMode="External" /><Relationship Type="http://schemas.openxmlformats.org/officeDocument/2006/relationships/hyperlink" Id="rId89" Target="https://www.ncbi.nlm.nih.gov/pubmed/29174893" TargetMode="External" /><Relationship Type="http://schemas.openxmlformats.org/officeDocument/2006/relationships/hyperlink" Id="rId163" Target="https://www.ncbi.nlm.nih.gov/pubmed/29340210" TargetMode="External" /><Relationship Type="http://schemas.openxmlformats.org/officeDocument/2006/relationships/hyperlink" Id="rId93" Target="https://www.ncbi.nlm.nih.gov/pubmed/30528431" TargetMode="External" /><Relationship Type="http://schemas.openxmlformats.org/officeDocument/2006/relationships/hyperlink" Id="rId186" Target="https://www.ncbi.nlm.nih.gov/pubmed/31138696" TargetMode="External" /><Relationship Type="http://schemas.openxmlformats.org/officeDocument/2006/relationships/hyperlink" Id="rId179" Target="https://www.ncbi.nlm.nih.gov/pubmed/31164419" TargetMode="External" /><Relationship Type="http://schemas.openxmlformats.org/officeDocument/2006/relationships/hyperlink" Id="rId120" Target="https://www.ncbi.nlm.nih.gov/pubmed/31809257" TargetMode="External" /><Relationship Type="http://schemas.openxmlformats.org/officeDocument/2006/relationships/hyperlink" Id="rId100" Target="https://www.ncbi.nlm.nih.gov/pubmed/8993858" TargetMode="External" /><Relationship Type="http://schemas.openxmlformats.org/officeDocument/2006/relationships/hyperlink" Id="rId137" Target="https://www.openstreetmap.org" TargetMode="External" /><Relationship Type="http://schemas.openxmlformats.org/officeDocument/2006/relationships/hyperlink" Id="rId184" Target="https://www.pnas.org/content/116/24/11833" TargetMode="External" /><Relationship Type="http://schemas.openxmlformats.org/officeDocument/2006/relationships/hyperlink" Id="rId177" Target="https://www.pnas.org/content/116/25/12363" TargetMode="External" /><Relationship Type="http://schemas.openxmlformats.org/officeDocument/2006/relationships/hyperlink" Id="rId103"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93" Target="http://linkinghub.elsevier.com/retrieve/pii/S1931312816302086" TargetMode="External" /><Relationship Type="http://schemas.openxmlformats.org/officeDocument/2006/relationships/hyperlink" Id="rId109" Target="http://reviverestore.org/wp-content/uploads/2015/02/Gage-and-Kosoy_USGS-Blk-footed-ferret-symp_2006-copy.pdf" TargetMode="External" /><Relationship Type="http://schemas.openxmlformats.org/officeDocument/2006/relationships/hyperlink" Id="rId149" Target="http://www.nature.com/articles/nmeth.4285" TargetMode="External" /><Relationship Type="http://schemas.openxmlformats.org/officeDocument/2006/relationships/hyperlink" Id="rId115" Target="http://www.pnas.org/cgi/doi/10.1073/pnas.0404012101" TargetMode="External" /><Relationship Type="http://schemas.openxmlformats.org/officeDocument/2006/relationships/hyperlink" Id="rId146" Target="http://www.pnas.org/cgi/doi/10.1073/pnas.1205750110" TargetMode="External" /><Relationship Type="http://schemas.openxmlformats.org/officeDocument/2006/relationships/hyperlink" Id="rId166" Target="http://www.sciencedirect.com/science/article/pii/S1286457904002357" TargetMode="External" /><Relationship Type="http://schemas.openxmlformats.org/officeDocument/2006/relationships/hyperlink" Id="rId155" Target="https://academic.oup.com/mbe/article/35/2/518/4565479" TargetMode="External" /><Relationship Type="http://schemas.openxmlformats.org/officeDocument/2006/relationships/hyperlink" Id="rId152" Target="https://academic.oup.com/mbe/article/37/5/1530/5721363" TargetMode="External" /><Relationship Type="http://schemas.openxmlformats.org/officeDocument/2006/relationships/hyperlink" Id="rId158" Target="https://academic.oup.com/sysbio/article-lookup/doi/10.1093/sysbio/syv068" TargetMode="External" /><Relationship Type="http://schemas.openxmlformats.org/officeDocument/2006/relationships/hyperlink" Id="rId107" Target="https://apps.who.int/iris/bitstream/handle/10665/325481/WER9425-en-fr.pdf" TargetMode="External" /><Relationship Type="http://schemas.openxmlformats.org/officeDocument/2006/relationships/hyperlink" Id="rId124" Target="https://doi.org/10.1016/S1473-3099(13)70323-2" TargetMode="External" /><Relationship Type="http://schemas.openxmlformats.org/officeDocument/2006/relationships/hyperlink" Id="rId173" Target="https://doi.org/10.1016/j.cell.2015.10.009" TargetMode="External" /><Relationship Type="http://schemas.openxmlformats.org/officeDocument/2006/relationships/hyperlink" Id="rId92" Target="https://doi.org/10.1016/j.cell.2018.11.005" TargetMode="External" /><Relationship Type="http://schemas.openxmlformats.org/officeDocument/2006/relationships/hyperlink" Id="rId194" Target="https://doi.org/10.1016/j.chom.2016.05.012" TargetMode="External" /><Relationship Type="http://schemas.openxmlformats.org/officeDocument/2006/relationships/hyperlink" Id="rId88" Target="https://doi.org/10.1016/j.cub.2017.10.025" TargetMode="External" /><Relationship Type="http://schemas.openxmlformats.org/officeDocument/2006/relationships/hyperlink" Id="rId167" Target="https://doi.org/10.1016/j.micinf.2004.08.002" TargetMode="External" /><Relationship Type="http://schemas.openxmlformats.org/officeDocument/2006/relationships/hyperlink" Id="rId196" Target="https://doi.org/10.1038/ng.705" TargetMode="External" /><Relationship Type="http://schemas.openxmlformats.org/officeDocument/2006/relationships/hyperlink" Id="rId150" Target="https://doi.org/10.1038/nmeth.4285" TargetMode="External" /><Relationship Type="http://schemas.openxmlformats.org/officeDocument/2006/relationships/hyperlink" Id="rId189" Target="https://doi.org/10.1038/s41467-019-12154-0" TargetMode="External" /><Relationship Type="http://schemas.openxmlformats.org/officeDocument/2006/relationships/hyperlink" Id="rId96" Target="https://doi.org/10.1038/s41598-017-13481-2" TargetMode="External" /><Relationship Type="http://schemas.openxmlformats.org/officeDocument/2006/relationships/hyperlink" Id="rId116" Target="https://doi.org/10.1073/pnas.0404012101" TargetMode="External" /><Relationship Type="http://schemas.openxmlformats.org/officeDocument/2006/relationships/hyperlink" Id="rId147" Target="https://doi.org/10.1073/pnas.1205750110" TargetMode="External" /><Relationship Type="http://schemas.openxmlformats.org/officeDocument/2006/relationships/hyperlink" Id="rId178" Target="https://doi.org/10.1073/pnas.1820447116" TargetMode="External" /><Relationship Type="http://schemas.openxmlformats.org/officeDocument/2006/relationships/hyperlink" Id="rId185" Target="https://doi.org/10.1073/pnas.1901366116" TargetMode="External" /><Relationship Type="http://schemas.openxmlformats.org/officeDocument/2006/relationships/hyperlink" Id="rId111" Target="https://doi.org/10.1073/pnas.96.24.14043" TargetMode="External" /><Relationship Type="http://schemas.openxmlformats.org/officeDocument/2006/relationships/hyperlink" Id="rId153" Target="https://doi.org/10.1093/molbev/msaa015" TargetMode="External" /><Relationship Type="http://schemas.openxmlformats.org/officeDocument/2006/relationships/hyperlink" Id="rId191" Target="https://doi.org/10.1093/molbev/msaa163" TargetMode="External" /><Relationship Type="http://schemas.openxmlformats.org/officeDocument/2006/relationships/hyperlink" Id="rId156" Target="https://doi.org/10.1093/molbev/msx281" TargetMode="External" /><Relationship Type="http://schemas.openxmlformats.org/officeDocument/2006/relationships/hyperlink" Id="rId159" Target="https://doi.org/10.1093/sysbio/syv068" TargetMode="External" /><Relationship Type="http://schemas.openxmlformats.org/officeDocument/2006/relationships/hyperlink" Id="rId162" Target="https://doi.org/10.1093/ve/vex042" TargetMode="External" /><Relationship Type="http://schemas.openxmlformats.org/officeDocument/2006/relationships/hyperlink" Id="rId182" Target="https://doi.org/10.1098/rspb.2013.3159" TargetMode="External" /><Relationship Type="http://schemas.openxmlformats.org/officeDocument/2006/relationships/hyperlink" Id="rId127" Target="https://doi.org/10.1099/mgen.0.000094" TargetMode="External" /><Relationship Type="http://schemas.openxmlformats.org/officeDocument/2006/relationships/hyperlink" Id="rId119" Target="https://doi.org/10.1101/gr.251678.119" TargetMode="External" /><Relationship Type="http://schemas.openxmlformats.org/officeDocument/2006/relationships/hyperlink" Id="rId170" Target="https://doi.org/10.1371/journal.pone.0006000" TargetMode="External" /><Relationship Type="http://schemas.openxmlformats.org/officeDocument/2006/relationships/hyperlink" Id="rId144" Target="https://doi.org/10.7717/peerj.10947" TargetMode="External" /><Relationship Type="http://schemas.openxmlformats.org/officeDocument/2006/relationships/hyperlink" Id="rId133"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1" Target="https://github.com/ktmeaton/NCBImeta" TargetMode="External" /><Relationship Type="http://schemas.openxmlformats.org/officeDocument/2006/relationships/hyperlink" Id="rId21" Target="https://github.com/ktmeaton/obsidian-public/tree/264b9641" TargetMode="External" /><Relationship Type="http://schemas.openxmlformats.org/officeDocument/2006/relationships/hyperlink" Id="rId141" Target="https://github.com/ncbi/sra-tools" TargetMode="External" /><Relationship Type="http://schemas.openxmlformats.org/officeDocument/2006/relationships/hyperlink" Id="rId135"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39" Target="https://github.com/tseemann/snippy" TargetMode="External" /><Relationship Type="http://schemas.openxmlformats.org/officeDocument/2006/relationships/hyperlink" Id="rId169" Target="https://journals.plos.org/plosone/article?id=10.1371/journal.pone.0006000" TargetMode="External" /><Relationship Type="http://schemas.openxmlformats.org/officeDocument/2006/relationships/hyperlink" Id="rId12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3" Target="https://peerj.com/articles/10947" TargetMode="External" /><Relationship Type="http://schemas.openxmlformats.org/officeDocument/2006/relationships/hyperlink" Id="rId20" Target="https://rawcdn.githack.com/ktmeaton/obsidian-public/264b9641/academic/Plague%20Phylodynamics%20and%20Phylogeography%20Paper.html" TargetMode="External" /><Relationship Type="http://schemas.openxmlformats.org/officeDocument/2006/relationships/hyperlink" Id="rId181" Target="https://royalsocietypublishing.org/doi/10.1098/rspb.2013.3159" TargetMode="External" /><Relationship Type="http://schemas.openxmlformats.org/officeDocument/2006/relationships/hyperlink" Id="rId105" Target="https://worldcat.org/isbn/0-85115-943-5" TargetMode="External" /><Relationship Type="http://schemas.openxmlformats.org/officeDocument/2006/relationships/hyperlink" Id="rId91" Target="https://www.cell.com/cell/abstract/S0092-8674(18)31464-8" TargetMode="External" /><Relationship Type="http://schemas.openxmlformats.org/officeDocument/2006/relationships/hyperlink" Id="rId188" Target="https://www.nature.com/articles/s41467-019-12154-0" TargetMode="External" /><Relationship Type="http://schemas.openxmlformats.org/officeDocument/2006/relationships/hyperlink" Id="rId101" Target="https://www.ncbi.nlm.nih.gov/pmc/articles/PMC172914" TargetMode="External" /><Relationship Type="http://schemas.openxmlformats.org/officeDocument/2006/relationships/hyperlink" Id="rId113" Target="https://www.ncbi.nlm.nih.gov/pmc/articles/PMC24187" TargetMode="External" /><Relationship Type="http://schemas.openxmlformats.org/officeDocument/2006/relationships/hyperlink" Id="rId198" Target="https://www.ncbi.nlm.nih.gov/pmc/articles/PMC2999892" TargetMode="External" /><Relationship Type="http://schemas.openxmlformats.org/officeDocument/2006/relationships/hyperlink" Id="rId175" Target="https://www.ncbi.nlm.nih.gov/pmc/articles/PMC4644222" TargetMode="External" /><Relationship Type="http://schemas.openxmlformats.org/officeDocument/2006/relationships/hyperlink" Id="rId172" Target="https://www.ncbi.nlm.nih.gov/pmc/articles/PMC4644222/" TargetMode="External" /><Relationship Type="http://schemas.openxmlformats.org/officeDocument/2006/relationships/hyperlink" Id="rId129" Target="https://www.ncbi.nlm.nih.gov/pmc/articles/PMC5320706" TargetMode="External" /><Relationship Type="http://schemas.openxmlformats.org/officeDocument/2006/relationships/hyperlink" Id="rId126" Target="https://www.ncbi.nlm.nih.gov/pmc/articles/PMC5320706/" TargetMode="External" /><Relationship Type="http://schemas.openxmlformats.org/officeDocument/2006/relationships/hyperlink" Id="rId98" Target="https://www.ncbi.nlm.nih.gov/pmc/articles/PMC5636801" TargetMode="External" /><Relationship Type="http://schemas.openxmlformats.org/officeDocument/2006/relationships/hyperlink" Id="rId95" Target="https://www.ncbi.nlm.nih.gov/pmc/articles/PMC5636801/" TargetMode="External" /><Relationship Type="http://schemas.openxmlformats.org/officeDocument/2006/relationships/hyperlink" Id="rId164" Target="https://www.ncbi.nlm.nih.gov/pmc/articles/PMC5758920" TargetMode="External" /><Relationship Type="http://schemas.openxmlformats.org/officeDocument/2006/relationships/hyperlink" Id="rId161" Target="https://www.ncbi.nlm.nih.gov/pmc/articles/PMC5758920/" TargetMode="External" /><Relationship Type="http://schemas.openxmlformats.org/officeDocument/2006/relationships/hyperlink" Id="rId121" Target="https://www.ncbi.nlm.nih.gov/pmc/articles/PMC6961584" TargetMode="External" /><Relationship Type="http://schemas.openxmlformats.org/officeDocument/2006/relationships/hyperlink" Id="rId118" Target="https://www.ncbi.nlm.nih.gov/pmc/articles/PMC6961584/" TargetMode="External" /><Relationship Type="http://schemas.openxmlformats.org/officeDocument/2006/relationships/hyperlink" Id="rId112" Target="https://www.ncbi.nlm.nih.gov/pubmed/10570195" TargetMode="External" /><Relationship Type="http://schemas.openxmlformats.org/officeDocument/2006/relationships/hyperlink" Id="rId197" Target="https://www.ncbi.nlm.nih.gov/pubmed/21037571" TargetMode="External" /><Relationship Type="http://schemas.openxmlformats.org/officeDocument/2006/relationships/hyperlink" Id="rId174" Target="https://www.ncbi.nlm.nih.gov/pubmed/26496604" TargetMode="External" /><Relationship Type="http://schemas.openxmlformats.org/officeDocument/2006/relationships/hyperlink" Id="rId128" Target="https://www.ncbi.nlm.nih.gov/pubmed/28348834" TargetMode="External" /><Relationship Type="http://schemas.openxmlformats.org/officeDocument/2006/relationships/hyperlink" Id="rId97" Target="https://www.ncbi.nlm.nih.gov/pubmed/29021541" TargetMode="External" /><Relationship Type="http://schemas.openxmlformats.org/officeDocument/2006/relationships/hyperlink" Id="rId89" Target="https://www.ncbi.nlm.nih.gov/pubmed/29174893" TargetMode="External" /><Relationship Type="http://schemas.openxmlformats.org/officeDocument/2006/relationships/hyperlink" Id="rId163" Target="https://www.ncbi.nlm.nih.gov/pubmed/29340210" TargetMode="External" /><Relationship Type="http://schemas.openxmlformats.org/officeDocument/2006/relationships/hyperlink" Id="rId93" Target="https://www.ncbi.nlm.nih.gov/pubmed/30528431" TargetMode="External" /><Relationship Type="http://schemas.openxmlformats.org/officeDocument/2006/relationships/hyperlink" Id="rId186" Target="https://www.ncbi.nlm.nih.gov/pubmed/31138696" TargetMode="External" /><Relationship Type="http://schemas.openxmlformats.org/officeDocument/2006/relationships/hyperlink" Id="rId179" Target="https://www.ncbi.nlm.nih.gov/pubmed/31164419" TargetMode="External" /><Relationship Type="http://schemas.openxmlformats.org/officeDocument/2006/relationships/hyperlink" Id="rId120" Target="https://www.ncbi.nlm.nih.gov/pubmed/31809257" TargetMode="External" /><Relationship Type="http://schemas.openxmlformats.org/officeDocument/2006/relationships/hyperlink" Id="rId100" Target="https://www.ncbi.nlm.nih.gov/pubmed/8993858" TargetMode="External" /><Relationship Type="http://schemas.openxmlformats.org/officeDocument/2006/relationships/hyperlink" Id="rId137" Target="https://www.openstreetmap.org" TargetMode="External" /><Relationship Type="http://schemas.openxmlformats.org/officeDocument/2006/relationships/hyperlink" Id="rId184" Target="https://www.pnas.org/content/116/24/11833" TargetMode="External" /><Relationship Type="http://schemas.openxmlformats.org/officeDocument/2006/relationships/hyperlink" Id="rId177" Target="https://www.pnas.org/content/116/25/12363" TargetMode="External" /><Relationship Type="http://schemas.openxmlformats.org/officeDocument/2006/relationships/hyperlink" Id="rId103"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2021-05-28T15:55:26Z</dcterms:created>
  <dcterms:modified xsi:type="dcterms:W3CDTF">2021-05-28T15:55:26Z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