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59.png" ContentType="image/png"/>
  <Override PartName="/word/media/rId55.png" ContentType="image/png"/>
  <Override PartName="/word/media/rId48.png" ContentType="image/png"/>
  <Override PartName="/word/media/rId50.png" ContentType="image/png"/>
  <Override PartName="/word/media/rId44.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Plague</w:t>
      </w:r>
      <w:r>
        <w:t xml:space="preserve"> </w:t>
      </w:r>
      <w:r>
        <w:t xml:space="preserve">Phylodynamics</w:t>
      </w:r>
      <w:r>
        <w:t xml:space="preserve"> </w:t>
      </w:r>
      <w:r>
        <w:t xml:space="preserve">and</w:t>
      </w:r>
      <w:r>
        <w:t xml:space="preserve"> </w:t>
      </w:r>
      <w:r>
        <w:t xml:space="preserve">Phylogeography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ktmeaton/obsidian-public@bd0cba1c</w:t>
        </w:r>
      </w:hyperlink>
      <w:r>
        <w:t xml:space="preserve"> </w:t>
      </w:r>
      <w:r>
        <w:t xml:space="preserve">on May 18, 2021.</w:t>
      </w:r>
      <w:r>
        <w:t xml:space="preserve"> </w:t>
      </w:r>
    </w:p>
    <w:p>
      <w:pPr>
        <w:pStyle w:val="Heading2"/>
      </w:pPr>
      <w:bookmarkStart w:id="22" w:name="authors"/>
      <w:r>
        <w:t xml:space="preserve">Authors</w:t>
      </w:r>
      <w:bookmarkEnd w:id="22"/>
    </w:p>
    <w:p>
      <w:pPr>
        <w:numPr>
          <w:ilvl w:val="0"/>
          <w:numId w:val="1001"/>
        </w:numPr>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Department of Anthropology, McMaster University</w:t>
      </w:r>
      <w:r>
        <w:t xml:space="preserve"> </w:t>
      </w:r>
    </w:p>
    <w:p>
      <w:pPr>
        <w:numPr>
          <w:ilvl w:val="0"/>
          <w:numId w:val="1001"/>
        </w:numPr>
      </w:pPr>
      <w:r>
        <w:rPr>
          <w:b/>
        </w:rPr>
        <w:t xml:space="preserve">Leo Featherstone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0000-0002-8878-1758</w:t>
        </w:r>
      </w:hyperlink>
      <w:r>
        <w:t xml:space="preserve"> </w:t>
      </w:r>
      <w:r>
        <w:t xml:space="preserve"> </w:t>
      </w:r>
      <w:r>
        <w:t xml:space="preserve">The Peter Doherty Institute For Infection and Immunity , University of Melbourne</w:t>
      </w:r>
      <w:r>
        <w:t xml:space="preserve"> </w:t>
      </w:r>
    </w:p>
    <w:p>
      <w:pPr>
        <w:numPr>
          <w:ilvl w:val="0"/>
          <w:numId w:val="1001"/>
        </w:numPr>
      </w:pPr>
      <w:r>
        <w:rPr>
          <w:b/>
        </w:rPr>
        <w:t xml:space="preserve">Sebastian Duchene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0000-0002-2863-0907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sebastianduchene</w:t>
        </w:r>
      </w:hyperlink>
      <w:r>
        <w:t xml:space="preserve"> </w:t>
      </w:r>
      <w:r>
        <w:t xml:space="preserve"> </w:t>
      </w:r>
      <w:r>
        <w:t xml:space="preserve">The Peter Doherty Institute For Infection and Immunity , University of Melbourne</w:t>
      </w:r>
      <w:r>
        <w:t xml:space="preserve"> </w:t>
      </w:r>
    </w:p>
    <w:p>
      <w:pPr>
        <w:numPr>
          <w:ilvl w:val="0"/>
          <w:numId w:val="1001"/>
        </w:numPr>
      </w:pPr>
      <w:r>
        <w:rPr>
          <w:b/>
        </w:rPr>
        <w:t xml:space="preserve">Hendrik Poinar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0000-0002-0314-4160</w:t>
        </w:r>
      </w:hyperlink>
      <w:r>
        <w:t xml:space="preserve"> </w:t>
      </w:r>
      <w:r>
        <w:t xml:space="preserve"> </w:t>
      </w:r>
      <w:r>
        <w:t xml:space="preserve">McMaster Ancient DNA Center; Department of Anthropology, McMaster University</w:t>
      </w:r>
      <w:r>
        <w:t xml:space="preserve"> </w:t>
      </w:r>
    </w:p>
    <w:p>
      <w:pPr>
        <w:pStyle w:val="Heading2"/>
      </w:pPr>
      <w:bookmarkStart w:id="31" w:name="keywords"/>
      <w:r>
        <w:t xml:space="preserve">Keywords</w:t>
      </w:r>
      <w:bookmarkEnd w:id="31"/>
    </w:p>
    <w:p>
      <w:pPr>
        <w:numPr>
          <w:ilvl w:val="0"/>
          <w:numId w:val="1002"/>
        </w:numPr>
        <w:pStyle w:val="Compact"/>
      </w:pPr>
      <w:r>
        <w:t xml:space="preserve">Plague</w:t>
      </w:r>
    </w:p>
    <w:p>
      <w:pPr>
        <w:numPr>
          <w:ilvl w:val="0"/>
          <w:numId w:val="1002"/>
        </w:numPr>
        <w:pStyle w:val="Compact"/>
      </w:pPr>
      <w:r>
        <w:t xml:space="preserve">Yersinia pestis</w:t>
      </w:r>
    </w:p>
    <w:p>
      <w:pPr>
        <w:numPr>
          <w:ilvl w:val="0"/>
          <w:numId w:val="1002"/>
        </w:numPr>
        <w:pStyle w:val="Compact"/>
      </w:pPr>
      <w:r>
        <w:t xml:space="preserve">Phylodynamics</w:t>
      </w:r>
    </w:p>
    <w:p>
      <w:pPr>
        <w:numPr>
          <w:ilvl w:val="0"/>
          <w:numId w:val="1002"/>
        </w:numPr>
        <w:pStyle w:val="Compact"/>
      </w:pPr>
      <w:r>
        <w:t xml:space="preserve">Phylogeography</w:t>
      </w:r>
    </w:p>
    <w:p>
      <w:pPr>
        <w:pStyle w:val="Heading2"/>
      </w:pPr>
      <w:bookmarkStart w:id="32" w:name="introduction"/>
      <w:r>
        <w:t xml:space="preserve">Introduction</w:t>
      </w:r>
      <w:bookmarkEnd w:id="32"/>
    </w:p>
    <w:p>
      <w:pPr>
        <w:pStyle w:val="FirstParagraph"/>
      </w:pPr>
      <w:r>
        <w:t xml:space="preserve">Plague has an impressively long and expansive history as a human pathogen. The earliest evidence of the plague bacterium Yersinia pestis comes from ancient DNA studies dating its emergence to at least the Neolithic</w:t>
      </w:r>
      <w:r>
        <w:t xml:space="preserve"> </w:t>
      </w:r>
      <w:r>
        <w:t xml:space="preserve">[</w:t>
      </w:r>
      <w:hyperlink w:anchor="ref-Vo6ReJPm">
        <w:r>
          <w:rPr>
            <w:rStyle w:val="Hyperlink"/>
          </w:rPr>
          <w:t xml:space="preserve">1</w:t>
        </w:r>
      </w:hyperlink>
      <w:r>
        <w:t xml:space="preserve">,</w:t>
      </w:r>
      <w:hyperlink w:anchor="ref-AQa9Tn4j">
        <w:r>
          <w:rPr>
            <w:rStyle w:val="Hyperlink"/>
          </w:rPr>
          <w:t xml:space="preserve">2</w:t>
        </w:r>
      </w:hyperlink>
      <w:r>
        <w:t xml:space="preserve">]</w:t>
      </w:r>
      <w:r>
        <w:t xml:space="preserve">. Since then, Y. pestis has traveled extensively due to ever-expanding global trade networks</w:t>
      </w:r>
      <w:r>
        <w:t xml:space="preserve"> </w:t>
      </w:r>
      <w:r>
        <w:t xml:space="preserve">[</w:t>
      </w:r>
      <w:hyperlink w:anchor="ref-1093vihdz">
        <w:r>
          <w:rPr>
            <w:rStyle w:val="Hyperlink"/>
          </w:rPr>
          <w:t xml:space="preserve">3</w:t>
        </w:r>
      </w:hyperlink>
      <w:r>
        <w:t xml:space="preserve">]</w:t>
      </w:r>
      <w:r>
        <w:t xml:space="preserve"> </w:t>
      </w:r>
      <w:r>
        <w:t xml:space="preserve">and the ability to infect a diverse array of mammalian hosts</w:t>
      </w:r>
      <w:r>
        <w:t xml:space="preserve"> </w:t>
      </w:r>
      <w:r>
        <w:t xml:space="preserve">[</w:t>
      </w:r>
      <w:hyperlink w:anchor="ref-uM6Rh5Fu">
        <w:r>
          <w:rPr>
            <w:rStyle w:val="Hyperlink"/>
          </w:rPr>
          <w:t xml:space="preserve">4</w:t>
        </w:r>
      </w:hyperlink>
      <w:r>
        <w:t xml:space="preserve">]</w:t>
      </w:r>
      <w:r>
        <w:t xml:space="preserve">. Few regions of the ancient and modern world remain untouched by this disease, as plague has an established presence on every continent except Oceania</w:t>
      </w:r>
      <w:r>
        <w:t xml:space="preserve"> </w:t>
      </w:r>
      <w:r>
        <w:t xml:space="preserve">[</w:t>
      </w:r>
      <w:hyperlink w:anchor="ref-h4WAqbKy">
        <w:r>
          <w:rPr>
            <w:rStyle w:val="Hyperlink"/>
          </w:rPr>
          <w:t xml:space="preserve">5</w:t>
        </w:r>
      </w:hyperlink>
      <w:r>
        <w:t xml:space="preserve">]</w:t>
      </w:r>
      <w:r>
        <w:t xml:space="preserve">.</w:t>
      </w:r>
    </w:p>
    <w:p>
      <w:pPr>
        <w:pStyle w:val="BodyText"/>
      </w:pPr>
      <w:r>
        <w:t xml:space="preserve">Accompanying this prolific global presence is unnervingly high mortality. The infamous medieval Black Death is estimated to have killed more than half of Europe’s population</w:t>
      </w:r>
      <w:r>
        <w:t xml:space="preserve"> </w:t>
      </w:r>
      <w:r>
        <w:t xml:space="preserve">[</w:t>
      </w:r>
      <w:r>
        <w:rPr>
          <w:b/>
        </w:rPr>
        <w:t xml:space="preserve">???</w:t>
      </w:r>
      <w:r>
        <w:t xml:space="preserve">]</w:t>
      </w:r>
      <w:r>
        <w:t xml:space="preserve">. This virulence can still be observed in the post-antibiotic era, where case fatality rates range from 22-71%</w:t>
      </w:r>
      <w:r>
        <w:t xml:space="preserve"> </w:t>
      </w:r>
      <w:r>
        <w:t xml:space="preserve">[</w:t>
      </w:r>
      <w:hyperlink w:anchor="ref-S5fFaZrD">
        <w:r>
          <w:rPr>
            <w:rStyle w:val="Hyperlink"/>
          </w:rPr>
          <w:t xml:space="preserve">6</w:t>
        </w:r>
      </w:hyperlink>
      <w:r>
        <w:t xml:space="preserve">]</w:t>
      </w:r>
      <w:r>
        <w:t xml:space="preserve">. As a result, plague maintains its status as a disease that is of vital importance to current public health initiatives.</w:t>
      </w:r>
    </w:p>
    <w:p>
      <w:pPr>
        <w:pStyle w:val="BodyText"/>
      </w:pPr>
      <w:r>
        <w:t xml:space="preserve">The intriguingly high mortality that is repeatedly seen throughout history brings together diverse researchers with interests spanning the modern period, history, and even prehistory. This intersection has brought about novel insight to render what was once invisible, visible. For example, investigating the ecology of ancient rats</w:t>
      </w:r>
      <w:r>
        <w:t xml:space="preserve"> </w:t>
      </w:r>
      <w:r>
        <w:t xml:space="preserve">[</w:t>
      </w:r>
      <w:hyperlink w:anchor="ref-126DH3OOt">
        <w:r>
          <w:rPr>
            <w:rStyle w:val="Hyperlink"/>
          </w:rPr>
          <w:t xml:space="preserve">7</w:t>
        </w:r>
      </w:hyperlink>
      <w:r>
        <w:t xml:space="preserve">]</w:t>
      </w:r>
      <w:r>
        <w:t xml:space="preserve"> </w:t>
      </w:r>
      <w:r>
        <w:t xml:space="preserve">and reconstructing the genome of Black Death-era Y. pestis</w:t>
      </w:r>
      <w:r>
        <w:t xml:space="preserve"> </w:t>
      </w:r>
      <w:r>
        <w:t xml:space="preserve">[</w:t>
      </w:r>
      <w:r>
        <w:rPr>
          <w:b/>
        </w:rPr>
        <w:t xml:space="preserve">???</w:t>
      </w:r>
      <w:r>
        <w:t xml:space="preserve">]</w:t>
      </w:r>
      <w:r>
        <w:t xml:space="preserve">. However, this breadth of research also reflects the observation that plague has traveled through immensely diverse populations, cultures, and landscapes. Thus it is unsurprising that any consensus on</w:t>
      </w:r>
      <w:r>
        <w:t xml:space="preserve"> </w:t>
      </w:r>
      <w:r>
        <w:t xml:space="preserve">‘</w:t>
      </w:r>
      <w:r>
        <w:t xml:space="preserve">universal</w:t>
      </w:r>
      <w:r>
        <w:t xml:space="preserve">’</w:t>
      </w:r>
      <w:r>
        <w:t xml:space="preserve"> </w:t>
      </w:r>
      <w:r>
        <w:t xml:space="preserve">disease dynamics or experiences are rare to uncover. For example, within China alone there are 11 natural plague foci, each characterized by distinct environmental factors, bacteriological properties, and host-vector interactions</w:t>
      </w:r>
      <w:r>
        <w:t xml:space="preserve"> </w:t>
      </w:r>
      <w:r>
        <w:t xml:space="preserve">[</w:t>
      </w:r>
      <w:hyperlink w:anchor="ref-bny5raHY">
        <w:r>
          <w:rPr>
            <w:rStyle w:val="Hyperlink"/>
          </w:rPr>
          <w:t xml:space="preserve">8</w:t>
        </w:r>
      </w:hyperlink>
      <w:r>
        <w:t xml:space="preserve">]</w:t>
      </w:r>
      <w:r>
        <w:t xml:space="preserve">. As a result, significant debate has emerged on topics such as the severity of past pandemics</w:t>
      </w:r>
      <w:r>
        <w:t xml:space="preserve"> </w:t>
      </w:r>
      <w:r>
        <w:t xml:space="preserve">[</w:t>
      </w:r>
      <w:hyperlink w:anchor="ref-198RHww4t">
        <w:r>
          <w:rPr>
            <w:rStyle w:val="Hyperlink"/>
          </w:rPr>
          <w:t xml:space="preserve">9</w:t>
        </w:r>
      </w:hyperlink>
      <w:r>
        <w:t xml:space="preserve">]</w:t>
      </w:r>
      <w:r>
        <w:t xml:space="preserve">, their geographic origins</w:t>
      </w:r>
      <w:r>
        <w:t xml:space="preserve"> </w:t>
      </w:r>
      <w:r>
        <w:t xml:space="preserve">[</w:t>
      </w:r>
      <w:r>
        <w:rPr>
          <w:b/>
        </w:rPr>
        <w:t xml:space="preserve">???</w:t>
      </w:r>
      <w:r>
        <w:t xml:space="preserve">]</w:t>
      </w:r>
      <w:r>
        <w:t xml:space="preserve">, and the mechanisms of spread</w:t>
      </w:r>
      <w:r>
        <w:t xml:space="preserve"> </w:t>
      </w:r>
      <w:r>
        <w:t xml:space="preserve">[</w:t>
      </w:r>
      <w:r>
        <w:rPr>
          <w:b/>
        </w:rPr>
        <w:t xml:space="preserve">???</w:t>
      </w:r>
      <w:r>
        <w:t xml:space="preserve">]</w:t>
      </w:r>
      <w:r>
        <w:t xml:space="preserve">.</w:t>
      </w:r>
    </w:p>
    <w:p>
      <w:pPr>
        <w:pStyle w:val="BodyText"/>
      </w:pPr>
      <w:r>
        <w:rPr>
          <w:b/>
        </w:rPr>
        <w:t xml:space="preserve">TO BE DONE</w:t>
      </w:r>
      <w:r>
        <w:t xml:space="preserve">:</w:t>
      </w:r>
    </w:p>
    <w:p>
      <w:pPr>
        <w:numPr>
          <w:ilvl w:val="0"/>
          <w:numId w:val="1003"/>
        </w:numPr>
        <w:pStyle w:val="Compact"/>
      </w:pPr>
      <w:r>
        <w:t xml:space="preserve">Introduce the genomic composition of Y. pestis and mechanism of evolution.</w:t>
      </w:r>
    </w:p>
    <w:p>
      <w:pPr>
        <w:numPr>
          <w:ilvl w:val="0"/>
          <w:numId w:val="1003"/>
        </w:numPr>
        <w:pStyle w:val="Compact"/>
      </w:pPr>
      <w:r>
        <w:t xml:space="preserve">Introduce the topics phylodynamics and phylogeography and what is known so far.</w:t>
      </w:r>
    </w:p>
    <w:p>
      <w:pPr>
        <w:numPr>
          <w:ilvl w:val="0"/>
          <w:numId w:val="1003"/>
        </w:numPr>
        <w:pStyle w:val="Compact"/>
      </w:pPr>
      <w:r>
        <w:t xml:space="preserve">Introduce the problem(s) and our objective(s).</w:t>
      </w:r>
    </w:p>
    <w:p>
      <w:pPr>
        <w:pStyle w:val="Heading2"/>
      </w:pPr>
      <w:bookmarkStart w:id="33" w:name="materials-and-methods"/>
      <w:r>
        <w:t xml:space="preserve">Materials and Methods</w:t>
      </w:r>
      <w:bookmarkEnd w:id="33"/>
    </w:p>
    <w:p>
      <w:pPr>
        <w:pStyle w:val="Heading3"/>
      </w:pPr>
      <w:bookmarkStart w:id="34" w:name="data-collection"/>
      <w:r>
        <w:t xml:space="preserve">Data Collection</w:t>
      </w:r>
      <w:bookmarkEnd w:id="34"/>
    </w:p>
    <w:p>
      <w:pPr>
        <w:pStyle w:val="FirstParagraph"/>
      </w:pPr>
      <w:r>
        <w:rPr>
          <w:i/>
        </w:rPr>
        <w:t xml:space="preserve">Y. pestis</w:t>
      </w:r>
      <w:r>
        <w:t xml:space="preserve"> </w:t>
      </w:r>
      <w:r>
        <w:t xml:space="preserve">genome sequencing projects were retrieved from the NCBI databases using NCBImeta</w:t>
      </w:r>
      <w:r>
        <w:t xml:space="preserve"> </w:t>
      </w:r>
      <w:r>
        <w:t xml:space="preserve">[</w:t>
      </w:r>
      <w:hyperlink w:anchor="ref-131fQLiJt">
        <w:r>
          <w:rPr>
            <w:rStyle w:val="Hyperlink"/>
          </w:rPr>
          <w:t xml:space="preserve">10</w:t>
        </w:r>
      </w:hyperlink>
      <w:r>
        <w:t xml:space="preserve">]</w:t>
      </w:r>
      <w:r>
        <w:t xml:space="preserve">. 1657 projects were identified and comprised three genomic types: 586 modern assembled, 184 ancient unassembled, and 887 modern unassembled genomes. The 887 modern unassembled genomes were excluded from this project, as the wide variety of laboratory methods and sequencing strategies precluded a standardized workflow. Future work will investigate computationally efficient methods for integrating this data.</w:t>
      </w:r>
    </w:p>
    <w:p>
      <w:pPr>
        <w:pStyle w:val="BodyText"/>
      </w:pPr>
      <w:r>
        <w:t xml:space="preserve">Collection location, collection date, and collection host metadata were curated by cross-referencing the original publications. Collection location was transformed to latitude and longitude coordinates using GeoPy and the Nominatim API for OpenStreetMap</w:t>
      </w:r>
      <w:r>
        <w:t xml:space="preserve"> </w:t>
      </w:r>
      <w:r>
        <w:t xml:space="preserve">[</w:t>
      </w:r>
      <w:hyperlink w:anchor="ref-hxWSqZgm">
        <w:r>
          <w:rPr>
            <w:rStyle w:val="Hyperlink"/>
          </w:rPr>
          <w:t xml:space="preserve">11</w:t>
        </w:r>
      </w:hyperlink>
      <w:r>
        <w:t xml:space="preserve">,</w:t>
      </w:r>
      <w:hyperlink w:anchor="ref-M15a78x5">
        <w:r>
          <w:rPr>
            <w:rStyle w:val="Hyperlink"/>
          </w:rPr>
          <w:t xml:space="preserve">12</w:t>
        </w:r>
      </w:hyperlink>
      <w:r>
        <w:t xml:space="preserve">,</w:t>
      </w:r>
      <w:hyperlink w:anchor="ref-5rCiNisz">
        <w:r>
          <w:rPr>
            <w:rStyle w:val="Hyperlink"/>
          </w:rPr>
          <w:t xml:space="preserve">13</w:t>
        </w:r>
      </w:hyperlink>
      <w:r>
        <w:t xml:space="preserve">]</w:t>
      </w:r>
      <w:r>
        <w:t xml:space="preserve">. Coordinates were standardized at a sub-country resolution, taking the centroid of the parent province/state. Collection dates were standardized according to their year, and recording uncertainty arising from missing data and radiocarbon estimates. Collection host was the most diverse field with regards to precision, ranging from colloquial nomenclature (</w:t>
      </w:r>
      <w:r>
        <w:rPr>
          <w:i/>
        </w:rPr>
        <w:t xml:space="preserve">“</w:t>
      </w:r>
      <w:r>
        <w:rPr>
          <w:i/>
        </w:rPr>
        <w:t xml:space="preserve">rat</w:t>
      </w:r>
      <w:r>
        <w:rPr>
          <w:i/>
        </w:rPr>
        <w:t xml:space="preserve">”</w:t>
      </w:r>
      <w:r>
        <w:t xml:space="preserve">) to a genus species taxonomy (</w:t>
      </w:r>
      <w:r>
        <w:rPr>
          <w:i/>
        </w:rPr>
        <w:t xml:space="preserve">“</w:t>
      </w:r>
      <w:r>
        <w:rPr>
          <w:i/>
        </w:rPr>
        <w:t xml:space="preserve">Meriones libycus</w:t>
      </w:r>
      <w:r>
        <w:rPr>
          <w:i/>
        </w:rPr>
        <w:t xml:space="preserve">”</w:t>
      </w:r>
      <w:r>
        <w:t xml:space="preserve">). For the purposes of this study, collection host was recorded as</w:t>
      </w:r>
      <w:r>
        <w:t xml:space="preserve"> </w:t>
      </w:r>
      <w:r>
        <w:rPr>
          <w:i/>
        </w:rPr>
        <w:t xml:space="preserve">Human</w:t>
      </w:r>
      <w:r>
        <w:t xml:space="preserve">,</w:t>
      </w:r>
      <w:r>
        <w:t xml:space="preserve"> </w:t>
      </w:r>
      <w:r>
        <w:rPr>
          <w:i/>
        </w:rPr>
        <w:t xml:space="preserve">Non-Human</w:t>
      </w:r>
      <w:r>
        <w:t xml:space="preserve">, or</w:t>
      </w:r>
      <w:r>
        <w:t xml:space="preserve"> </w:t>
      </w:r>
      <w:r>
        <w:rPr>
          <w:i/>
        </w:rPr>
        <w:t xml:space="preserve">Not Available</w:t>
      </w:r>
      <w:r>
        <w:t xml:space="preserve">, given the inability to differentiate non-human mammalian hosts.</w:t>
      </w:r>
    </w:p>
    <w:p>
      <w:pPr>
        <w:pStyle w:val="BodyText"/>
      </w:pPr>
      <w:r>
        <w:t xml:space="preserve">Genomes were removed if no associated date or location information could be identified in the literature, or if there was documented evidence of laboratory manipulation. After curation, 600 genomes remained, with 539 (90%) being modern in origin and 61 (10%) being ancient.</w:t>
      </w:r>
    </w:p>
    <w:p>
      <w:pPr>
        <w:pStyle w:val="BodyText"/>
      </w:pPr>
      <w:r>
        <w:t xml:space="preserve">Two additional datasets were required for downstream analyses. First,</w:t>
      </w:r>
      <w:r>
        <w:t xml:space="preserve"> </w:t>
      </w:r>
      <w:r>
        <w:rPr>
          <w:i/>
        </w:rPr>
        <w:t xml:space="preserve">Y. pestis</w:t>
      </w:r>
      <w:r>
        <w:t xml:space="preserve"> </w:t>
      </w:r>
      <w:r>
        <w:t xml:space="preserve">strain CO92 (GCA_000009065.1) was used as the reference genome for sequence alignment and variant annotation. Second,</w:t>
      </w:r>
      <w:r>
        <w:t xml:space="preserve"> </w:t>
      </w:r>
      <w:r>
        <w:rPr>
          <w:i/>
        </w:rPr>
        <w:t xml:space="preserve">Yersinia pseudotuberculosis</w:t>
      </w:r>
      <w:r>
        <w:t xml:space="preserve"> </w:t>
      </w:r>
      <w:r>
        <w:t xml:space="preserve">strains NCTC10275 (GCA_900637475.1) and IP32953 (GCA_000834295.1) served as an outgroup to root the maximum likelihood phylogeny.</w:t>
      </w:r>
    </w:p>
    <w:p>
      <w:pPr>
        <w:pStyle w:val="Heading3"/>
      </w:pPr>
      <w:bookmarkStart w:id="35" w:name="sequence-quality-criteria"/>
      <w:r>
        <w:t xml:space="preserve">Sequence Quality Criteria</w:t>
      </w:r>
      <w:bookmarkEnd w:id="35"/>
    </w:p>
    <w:p>
      <w:pPr>
        <w:pStyle w:val="Heading4"/>
      </w:pPr>
      <w:bookmarkStart w:id="36" w:name="alignment"/>
      <w:r>
        <w:t xml:space="preserve">Alignment</w:t>
      </w:r>
      <w:bookmarkEnd w:id="36"/>
    </w:p>
    <w:p>
      <w:pPr>
        <w:pStyle w:val="FirstParagraph"/>
      </w:pPr>
      <w:r>
        <w:t xml:space="preserve">Ancient unassembled genomes were downloaded from the SRA databases in FASTQ format using the SRA Toolkit</w:t>
      </w:r>
      <w:r>
        <w:t xml:space="preserve"> </w:t>
      </w:r>
      <w:r>
        <w:t xml:space="preserve">[</w:t>
      </w:r>
      <w:hyperlink w:anchor="ref-puYDXtJ9">
        <w:r>
          <w:rPr>
            <w:rStyle w:val="Hyperlink"/>
          </w:rPr>
          <w:t xml:space="preserve">14</w:t>
        </w:r>
      </w:hyperlink>
      <w:r>
        <w:t xml:space="preserve">]</w:t>
      </w:r>
      <w:r>
        <w:t xml:space="preserve">. Pre-processing and alignment to the reference genome was performed using the nf-core/eager pipeline, a reproducible workflow for ancient genome reconstruction</w:t>
      </w:r>
      <w:r>
        <w:t xml:space="preserve"> </w:t>
      </w:r>
      <w:r>
        <w:t xml:space="preserve">[</w:t>
      </w:r>
      <w:hyperlink w:anchor="ref-17yD9OrGW">
        <w:r>
          <w:rPr>
            <w:rStyle w:val="Hyperlink"/>
          </w:rPr>
          <w:t xml:space="preserve">15</w:t>
        </w:r>
      </w:hyperlink>
      <w:r>
        <w:t xml:space="preserve">]</w:t>
      </w:r>
      <w:r>
        <w:t xml:space="preserve">. Ancient genomes were removed if the number of sites covered at a minimum depth of 3X was less than 70% of the reference genome.</w:t>
      </w:r>
    </w:p>
    <w:p>
      <w:pPr>
        <w:pStyle w:val="BodyText"/>
      </w:pPr>
      <w:r>
        <w:t xml:space="preserve">Modern assembled genomes were aligned to the reference genome using Snippy, a pipeline for core genome alignments</w:t>
      </w:r>
      <w:r>
        <w:t xml:space="preserve"> </w:t>
      </w:r>
      <w:r>
        <w:t xml:space="preserve">[</w:t>
      </w:r>
      <w:hyperlink w:anchor="ref-1DR126iIZ">
        <w:r>
          <w:rPr>
            <w:rStyle w:val="Hyperlink"/>
          </w:rPr>
          <w:t xml:space="preserve">16</w:t>
        </w:r>
      </w:hyperlink>
      <w:r>
        <w:t xml:space="preserve">]</w:t>
      </w:r>
      <w:r>
        <w:t xml:space="preserve">. Modern genomes were removed if the number of sites covered at a minimum depth of 10X was less than 70% of the reference genome.</w:t>
      </w:r>
    </w:p>
    <w:p>
      <w:pPr>
        <w:pStyle w:val="BodyText"/>
      </w:pPr>
      <w:r>
        <w:t xml:space="preserve">A multiple sequence alignment was constructed using the Snippy Core module of the Snippy pipeline. The output alignment was filtered to only include chromosomal variants and to exclude sites that had more than 5% missing data.</w:t>
      </w:r>
    </w:p>
    <w:p>
      <w:pPr>
        <w:pStyle w:val="Heading3"/>
      </w:pPr>
      <w:bookmarkStart w:id="37" w:name="phylogenetic-reconstruction"/>
      <w:r>
        <w:t xml:space="preserve">Phylogenetic Reconstruction</w:t>
      </w:r>
      <w:bookmarkEnd w:id="37"/>
    </w:p>
    <w:p>
      <w:pPr>
        <w:pStyle w:val="FirstParagraph"/>
      </w:pPr>
      <w:r>
        <w:t xml:space="preserve">Model selection was performed using Modelfinder which identified the K3Pu+F+I model as the optimal choice based on the Bayesian Information Criterion (BIC)</w:t>
      </w:r>
      <w:r>
        <w:t xml:space="preserve"> </w:t>
      </w:r>
      <w:r>
        <w:t xml:space="preserve">[</w:t>
      </w:r>
      <w:hyperlink w:anchor="ref-QZIPWLUx">
        <w:r>
          <w:rPr>
            <w:rStyle w:val="Hyperlink"/>
          </w:rPr>
          <w:t xml:space="preserve">17</w:t>
        </w:r>
      </w:hyperlink>
      <w:r>
        <w:t xml:space="preserve">]</w:t>
      </w:r>
      <w:r>
        <w:t xml:space="preserve">. A maximum-likelihood phylogeny was then estimated across 10 independent runs of IQTREE</w:t>
      </w:r>
      <w:r>
        <w:t xml:space="preserve"> </w:t>
      </w:r>
      <w:r>
        <w:t xml:space="preserve">[</w:t>
      </w:r>
      <w:hyperlink w:anchor="ref-mkkgRhHT">
        <w:r>
          <w:rPr>
            <w:rStyle w:val="Hyperlink"/>
          </w:rPr>
          <w:t xml:space="preserve">18</w:t>
        </w:r>
      </w:hyperlink>
      <w:r>
        <w:t xml:space="preserve">]</w:t>
      </w:r>
      <w:r>
        <w:t xml:space="preserve">. Branch support was evaluated using 1000 iterations of the ultrafast bootstrap approximation, with a threshold of 95% required for strong support</w:t>
      </w:r>
      <w:r>
        <w:t xml:space="preserve"> </w:t>
      </w:r>
      <w:r>
        <w:t xml:space="preserve">[</w:t>
      </w:r>
      <w:r>
        <w:rPr>
          <w:b/>
        </w:rPr>
        <w:t xml:space="preserve">???</w:t>
      </w:r>
      <w:r>
        <w:t xml:space="preserve"> </w:t>
      </w:r>
      <w:r>
        <w:t xml:space="preserve">Improving Ultrafast]</w:t>
      </w:r>
      <w:r>
        <w:t xml:space="preserve">.</w:t>
      </w:r>
    </w:p>
    <w:p>
      <w:pPr>
        <w:pStyle w:val="Heading3"/>
      </w:pPr>
      <w:bookmarkStart w:id="38" w:name="subsampled-datasets"/>
      <w:r>
        <w:t xml:space="preserve">Subsampled Datasets</w:t>
      </w:r>
      <w:bookmarkEnd w:id="38"/>
    </w:p>
    <w:p>
      <w:pPr>
        <w:pStyle w:val="FirstParagraph"/>
      </w:pPr>
      <w:r>
        <w:t xml:space="preserve">To improve the performance of Bayesian analysis, three datasets were constructed.</w:t>
      </w:r>
    </w:p>
    <w:tbl>
      <w:tblPr>
        <w:tblStyle w:val="Table"/>
        <w:tblW w:type="pct" w:w="5000.0"/>
        <w:tblLook w:firstRow="1"/>
      </w:tblPr>
      <w:tblGrid>
        <w:gridCol w:w="565"/>
        <w:gridCol w:w="808"/>
        <w:gridCol w:w="2586"/>
        <w:gridCol w:w="396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Total Size</w:t>
            </w:r>
          </w:p>
        </w:tc>
        <w:tc>
          <w:tcPr>
            <w:tcBorders>
              <w:bottom w:val="single"/>
            </w:tcBorders>
            <w:vAlign w:val="bottom"/>
          </w:tcPr>
          <w:p>
            <w:pPr>
              <w:pStyle w:val="Compact"/>
              <w:jc w:val="left"/>
            </w:pPr>
            <w:r>
              <w:t xml:space="preserve">Composition</w:t>
            </w:r>
          </w:p>
        </w:tc>
        <w:tc>
          <w:tcPr>
            <w:tcBorders>
              <w:bottom w:val="single"/>
            </w:tcBorders>
            <w:vAlign w:val="bottom"/>
          </w:tcPr>
          <w:p>
            <w:pPr>
              <w:pStyle w:val="Compact"/>
              <w:jc w:val="left"/>
            </w:pPr>
            <w:r>
              <w:t xml:space="preserve">Purpose</w:t>
            </w:r>
          </w:p>
        </w:tc>
      </w:tr>
      <w:tr>
        <w:tc>
          <w:p>
            <w:pPr>
              <w:pStyle w:val="Compact"/>
              <w:jc w:val="left"/>
            </w:pPr>
            <w:r>
              <w:t xml:space="preserve">Full</w:t>
            </w:r>
          </w:p>
        </w:tc>
        <w:tc>
          <w:p>
            <w:pPr>
              <w:pStyle w:val="Compact"/>
              <w:jc w:val="left"/>
            </w:pPr>
            <w:r>
              <w:t xml:space="preserve">N=600</w:t>
            </w:r>
          </w:p>
        </w:tc>
        <w:tc>
          <w:p>
            <w:pPr>
              <w:pStyle w:val="Compact"/>
              <w:jc w:val="left"/>
            </w:pPr>
            <w:r>
              <w:t xml:space="preserve">Single alignment of all genomes.</w:t>
            </w:r>
          </w:p>
        </w:tc>
        <w:tc>
          <w:p>
            <w:pPr>
              <w:pStyle w:val="Compact"/>
              <w:jc w:val="left"/>
            </w:pPr>
            <w:r>
              <w:t xml:space="preserve">Alignment, maximum-likelihood phylogeny.</w:t>
            </w:r>
          </w:p>
        </w:tc>
      </w:tr>
      <w:tr>
        <w:tc>
          <w:p>
            <w:pPr>
              <w:pStyle w:val="Compact"/>
              <w:jc w:val="left"/>
            </w:pPr>
            <w:r>
              <w:t xml:space="preserve">Clade</w:t>
            </w:r>
          </w:p>
        </w:tc>
        <w:tc>
          <w:p>
            <w:pPr>
              <w:pStyle w:val="Compact"/>
              <w:jc w:val="left"/>
            </w:pPr>
            <w:r>
              <w:t xml:space="preserve">N=600</w:t>
            </w:r>
          </w:p>
        </w:tc>
        <w:tc>
          <w:p>
            <w:pPr>
              <w:pStyle w:val="Compact"/>
              <w:jc w:val="left"/>
            </w:pPr>
            <w:r>
              <w:t xml:space="preserve">Separated by clade</w:t>
            </w:r>
          </w:p>
        </w:tc>
        <w:tc>
          <w:p>
            <w:pPr>
              <w:pStyle w:val="Compact"/>
              <w:jc w:val="left"/>
            </w:pPr>
            <w:r>
              <w:t xml:space="preserve">Dating and phylogeography</w:t>
            </w:r>
          </w:p>
        </w:tc>
      </w:tr>
      <w:tr>
        <w:tc>
          <w:p>
            <w:pPr>
              <w:pStyle w:val="Compact"/>
              <w:jc w:val="left"/>
            </w:pPr>
            <w:r>
              <w:t xml:space="preserve">Reduced</w:t>
            </w:r>
          </w:p>
        </w:tc>
        <w:tc>
          <w:p>
            <w:pPr>
              <w:pStyle w:val="Compact"/>
              <w:jc w:val="left"/>
            </w:pPr>
            <w:r>
              <w:t xml:space="preserve">N=200</w:t>
            </w:r>
          </w:p>
        </w:tc>
        <w:tc>
          <w:p>
            <w:pPr>
              <w:pStyle w:val="Compact"/>
              <w:jc w:val="left"/>
            </w:pPr>
            <w:r>
              <w:t xml:space="preserve">Subsampled</w:t>
            </w:r>
          </w:p>
        </w:tc>
        <w:tc>
          <w:p>
            <w:pPr>
              <w:pStyle w:val="Compact"/>
              <w:jc w:val="left"/>
            </w:pPr>
            <w:r>
              <w:t xml:space="preserve">Demonstrate dating instability</w:t>
            </w:r>
          </w:p>
        </w:tc>
      </w:tr>
    </w:tbl>
    <w:p>
      <w:pPr>
        <w:pStyle w:val="Heading3"/>
      </w:pPr>
      <w:bookmarkStart w:id="39" w:name="phylodynamics"/>
      <w:r>
        <w:t xml:space="preserve">Phylodynamics</w:t>
      </w:r>
      <w:bookmarkEnd w:id="39"/>
    </w:p>
    <w:p>
      <w:pPr>
        <w:pStyle w:val="Heading3"/>
      </w:pPr>
      <w:bookmarkStart w:id="40" w:name="phylogeography"/>
      <w:r>
        <w:t xml:space="preserve">Phylogeography</w:t>
      </w:r>
      <w:bookmarkEnd w:id="40"/>
    </w:p>
    <w:p>
      <w:pPr>
        <w:pStyle w:val="Heading2"/>
      </w:pPr>
      <w:bookmarkStart w:id="41" w:name="results"/>
      <w:r>
        <w:t xml:space="preserve">Results</w:t>
      </w:r>
      <w:bookmarkEnd w:id="41"/>
    </w:p>
    <w:p>
      <w:pPr>
        <w:pStyle w:val="Heading3"/>
      </w:pPr>
      <w:bookmarkStart w:id="42" w:name="composition"/>
      <w:r>
        <w:t xml:space="preserve">Composition</w:t>
      </w:r>
      <w:bookmarkEnd w:id="42"/>
    </w:p>
    <w:p>
      <w:pPr>
        <w:pStyle w:val="Heading3"/>
      </w:pPr>
      <w:bookmarkStart w:id="43" w:name="phylogeny"/>
      <w:r>
        <w:t xml:space="preserve">Phylogeny</w:t>
      </w:r>
      <w:bookmarkEnd w:id="43"/>
    </w:p>
    <w:p>
      <w:pPr>
        <w:pStyle w:val="FirstParagraph"/>
      </w:pPr>
      <w:r>
        <w:t xml:space="preserve">Divergence-scaled phylogeny of Y. pestis (Figure</w:t>
      </w:r>
      <w:r>
        <w:t xml:space="preserve"> </w:t>
      </w:r>
      <w:hyperlink w:anchor="fig:fig_divtree_all">
        <w:r>
          <w:rPr>
            <w:rStyle w:val="Hyperlink"/>
          </w:rPr>
          <w:t xml:space="preserve">1</w:t>
        </w:r>
      </w:hyperlink>
      <w:r>
        <w:t xml:space="preserve">).</w:t>
      </w:r>
    </w:p>
    <w:bookmarkStart w:id="0" w:name="fig:fig_divtree_all"/>
    <w:p>
      <w:pPr>
        <w:pStyle w:val="CaptionedFigure"/>
      </w:pPr>
      <w:bookmarkStart w:id="45" w:name="fig:fig_divtree_all"/>
      <w:r>
        <w:drawing>
          <wp:inline>
            <wp:extent cx="5943600" cy="3300308"/>
            <wp:effectExtent b="0" l="0" r="0" t="0"/>
            <wp:docPr descr="Figure 1: Yersinia pestis phylogeny. (Significant SVG editing required)|800" title="" id="1" name="Picture"/>
            <a:graphic>
              <a:graphicData uri="http://schemas.openxmlformats.org/drawingml/2006/picture">
                <pic:pic>
                  <pic:nvPicPr>
                    <pic:cNvPr descr="https://rawcdn.githack.com/ktmeaton/plague-phylogeography-projects/58183a9490e26d25f7d28ed471c91085b78213b5/main/auspice/all/chromosome/full/filter5/divtree.png" id="0" name="Picture"/>
                    <pic:cNvPicPr>
                      <a:picLocks noChangeArrowheads="1" noChangeAspect="1"/>
                    </pic:cNvPicPr>
                  </pic:nvPicPr>
                  <pic:blipFill>
                    <a:blip r:embed="rId44"/>
                    <a:stretch>
                      <a:fillRect/>
                    </a:stretch>
                  </pic:blipFill>
                  <pic:spPr bwMode="auto">
                    <a:xfrm>
                      <a:off x="0" y="0"/>
                      <a:ext cx="5943600" cy="3300308"/>
                    </a:xfrm>
                    <a:prstGeom prst="rect">
                      <a:avLst/>
                    </a:prstGeom>
                    <a:noFill/>
                    <a:ln w="9525">
                      <a:noFill/>
                      <a:headEnd/>
                      <a:tailEnd/>
                    </a:ln>
                  </pic:spPr>
                </pic:pic>
              </a:graphicData>
            </a:graphic>
          </wp:inline>
        </w:drawing>
      </w:r>
      <w:bookmarkEnd w:id="45"/>
    </w:p>
    <w:p>
      <w:pPr>
        <w:pStyle w:val="ImageCaption"/>
      </w:pPr>
      <w:r>
        <w:t xml:space="preserve">Figure 1:</w:t>
      </w:r>
      <w:r>
        <w:t xml:space="preserve"> </w:t>
      </w:r>
      <w:r>
        <w:rPr>
          <w:i/>
        </w:rPr>
        <w:t xml:space="preserve">Yersinia pestis</w:t>
      </w:r>
      <w:r>
        <w:t xml:space="preserve"> </w:t>
      </w:r>
      <w:r>
        <w:t xml:space="preserve">phylogeny. (Significant SVG editing required)|800</w:t>
      </w:r>
    </w:p>
    <w:bookmarkEnd w:id="0"/>
    <w:p>
      <w:pPr>
        <w:pStyle w:val="Heading3"/>
      </w:pPr>
      <w:bookmarkStart w:id="46" w:name="phylodynamics-1"/>
      <w:r>
        <w:t xml:space="preserve">Phylodynamics</w:t>
      </w:r>
      <w:bookmarkEnd w:id="46"/>
    </w:p>
    <w:p>
      <w:pPr>
        <w:pStyle w:val="Heading4"/>
      </w:pPr>
      <w:bookmarkStart w:id="47" w:name="molecular-clock"/>
      <w:r>
        <w:t xml:space="preserve">Molecular Clock</w:t>
      </w:r>
      <w:bookmarkEnd w:id="47"/>
    </w:p>
    <w:p>
      <w:pPr>
        <w:numPr>
          <w:ilvl w:val="0"/>
          <w:numId w:val="1004"/>
        </w:numPr>
        <w:pStyle w:val="Compact"/>
      </w:pPr>
      <w:r>
        <w:rPr>
          <w:i/>
        </w:rPr>
        <w:t xml:space="preserve">Y. pestis</w:t>
      </w:r>
      <w:r>
        <w:t xml:space="preserve"> </w:t>
      </w:r>
      <w:r>
        <w:t xml:space="preserve">has extreme rate variation.</w:t>
      </w:r>
    </w:p>
    <w:p>
      <w:pPr>
        <w:numPr>
          <w:ilvl w:val="0"/>
          <w:numId w:val="1004"/>
        </w:numPr>
        <w:pStyle w:val="Compact"/>
      </w:pPr>
      <w:r>
        <w:t xml:space="preserve">A Root to Tip Regression on collection date confirms this, as the Coefficient of Determination (R</w:t>
      </w:r>
      <w:r>
        <w:t xml:space="preserve">2</w:t>
      </w:r>
      <w:r>
        <w:t xml:space="preserve"> </w:t>
      </w:r>
      <w:r>
        <w:t xml:space="preserve">) is 0.09, revealing a poor fit to a simple linear model (Table</w:t>
      </w:r>
      <w:r>
        <w:t xml:space="preserve"> </w:t>
      </w:r>
      <w:hyperlink w:anchor="tbl:table_temporal_signal">
        <w:r>
          <w:rPr>
            <w:rStyle w:val="Hyperlink"/>
          </w:rPr>
          <w:t xml:space="preserve">1</w:t>
        </w:r>
      </w:hyperlink>
      <w:r>
        <w:t xml:space="preserve">).</w:t>
      </w:r>
    </w:p>
    <w:p>
      <w:pPr>
        <w:numPr>
          <w:ilvl w:val="0"/>
          <w:numId w:val="1004"/>
        </w:numPr>
        <w:pStyle w:val="Compact"/>
      </w:pPr>
      <w:r>
        <w:t xml:space="preserve">To some extent, this variation can be explained by examining the clades in isolation (Figure</w:t>
      </w:r>
      <w:r>
        <w:t xml:space="preserve"> </w:t>
      </w:r>
      <w:hyperlink w:anchor="fig:fig_rate_boxplot_all">
        <w:r>
          <w:rPr>
            <w:rStyle w:val="Hyperlink"/>
          </w:rPr>
          <w:t xml:space="preserve">2</w:t>
        </w:r>
      </w:hyperlink>
      <w:r>
        <w:t xml:space="preserve">).</w:t>
      </w:r>
    </w:p>
    <w:p>
      <w:pPr>
        <w:numPr>
          <w:ilvl w:val="0"/>
          <w:numId w:val="1004"/>
        </w:numPr>
        <w:pStyle w:val="Compact"/>
      </w:pPr>
      <w:r>
        <w:t xml:space="preserve">Finding an appropriate evolutionary model is key to estimating historic events, like clade emergence (Figure</w:t>
      </w:r>
      <w:r>
        <w:t xml:space="preserve"> </w:t>
      </w:r>
      <w:hyperlink w:anchor="fig:fig_tmrca_boxplot_all">
        <w:r>
          <w:rPr>
            <w:rStyle w:val="Hyperlink"/>
          </w:rPr>
          <w:t xml:space="preserve">3</w:t>
        </w:r>
      </w:hyperlink>
      <w:r>
        <w:t xml:space="preserve">).</w:t>
      </w:r>
    </w:p>
    <w:bookmarkStart w:id="0" w:name="tbl:table_temporal_signal"/>
    <w:p>
      <w:pPr>
        <w:pStyle w:val="TableCaption"/>
      </w:pPr>
      <w:r>
        <w:t xml:space="preserve">Table 1: Temporal signal statistics by clade</w:t>
      </w:r>
      <w:r>
        <w:t xml:space="preserve"> </w:t>
      </w:r>
    </w:p>
    <w:tbl>
      <w:tblPr>
        <w:tblStyle w:val="Table"/>
        <w:tblW w:type="pct" w:w="0.0"/>
        <w:tblLook w:firstRow="1"/>
        <w:tblCaption w:val="Table 1: Temporal signal statistics by clade "/>
      </w:tblPr>
      <w:tblGrid/>
      <w:tr>
        <w:trPr>
          <w:cnfStyle w:firstRow="1"/>
        </w:trPr>
        <w:tc>
          <w:tcPr>
            <w:tcBorders>
              <w:bottom w:val="single"/>
            </w:tcBorders>
            <w:vAlign w:val="bottom"/>
          </w:tcPr>
          <w:p>
            <w:pPr>
              <w:pStyle w:val="Compact"/>
              <w:jc w:val="left"/>
            </w:pPr>
            <w:r>
              <w:t xml:space="preserve">Branch</w:t>
            </w:r>
          </w:p>
        </w:tc>
        <w:tc>
          <w:tcPr>
            <w:tcBorders>
              <w:bottom w:val="single"/>
            </w:tcBorders>
            <w:vAlign w:val="bottom"/>
          </w:tcPr>
          <w:p>
            <w:pPr>
              <w:pStyle w:val="Compact"/>
              <w:jc w:val="left"/>
            </w:pPr>
            <w:r>
              <w:t xml:space="preserve">Clade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R</w:t>
            </w:r>
            <w:r>
              <w:t xml:space="preserve">2</w:t>
            </w:r>
          </w:p>
        </w:tc>
        <w:tc>
          <w:tcPr>
            <w:tcBorders>
              <w:bottom w:val="single"/>
            </w:tcBorders>
            <w:vAlign w:val="bottom"/>
          </w:tcPr>
          <w:p>
            <w:pPr>
              <w:pStyle w:val="Compact"/>
              <w:jc w:val="left"/>
            </w:pPr>
            <w:r>
              <w:t xml:space="preserve">p-value</w:t>
            </w:r>
          </w:p>
        </w:tc>
      </w:tr>
      <w:tr>
        <w:tc>
          <w:p>
            <w:pPr>
              <w:pStyle w:val="Compact"/>
              <w:jc w:val="left"/>
            </w:pPr>
            <w:r>
              <w:t xml:space="preserve">all</w:t>
            </w:r>
          </w:p>
        </w:tc>
        <w:tc>
          <w:p>
            <w:pPr>
              <w:pStyle w:val="Compact"/>
              <w:jc w:val="left"/>
            </w:pPr>
            <w:r>
              <w:t xml:space="preserve">all</w:t>
            </w:r>
          </w:p>
        </w:tc>
        <w:tc>
          <w:p>
            <w:pPr>
              <w:pStyle w:val="Compact"/>
              <w:jc w:val="left"/>
            </w:pPr>
            <w:r>
              <w:t xml:space="preserve">Ancient, Modern</w:t>
            </w:r>
          </w:p>
        </w:tc>
        <w:tc>
          <w:p>
            <w:pPr>
              <w:pStyle w:val="Compact"/>
              <w:jc w:val="left"/>
            </w:pPr>
            <w:r>
              <w:t xml:space="preserve">0.09</w:t>
            </w:r>
          </w:p>
        </w:tc>
        <w:tc>
          <w:p>
            <w:pPr>
              <w:pStyle w:val="Compact"/>
              <w:jc w:val="left"/>
            </w:pPr>
            <w:r>
              <w:t xml:space="preserve">3.81E-14</w:t>
            </w:r>
          </w:p>
        </w:tc>
      </w:tr>
      <w:tr>
        <w:tc>
          <w:p>
            <w:pPr>
              <w:pStyle w:val="Compact"/>
              <w:jc w:val="left"/>
            </w:pPr>
            <w:r>
              <w:t xml:space="preserve">0</w:t>
            </w:r>
          </w:p>
        </w:tc>
        <w:tc>
          <w:p>
            <w:pPr>
              <w:pStyle w:val="Compact"/>
              <w:jc w:val="left"/>
            </w:pPr>
            <w:r>
              <w:t xml:space="preserve">0.PRE</w:t>
            </w:r>
          </w:p>
        </w:tc>
        <w:tc>
          <w:p>
            <w:pPr>
              <w:pStyle w:val="Compact"/>
              <w:jc w:val="left"/>
            </w:pPr>
            <w:r>
              <w:t xml:space="preserve">Ancient</w:t>
            </w:r>
          </w:p>
        </w:tc>
        <w:tc>
          <w:p>
            <w:pPr>
              <w:pStyle w:val="Compact"/>
              <w:jc w:val="left"/>
            </w:pPr>
            <w:r>
              <w:t xml:space="preserve">0.91</w:t>
            </w:r>
          </w:p>
        </w:tc>
        <w:tc>
          <w:p>
            <w:pPr>
              <w:pStyle w:val="Compact"/>
              <w:jc w:val="left"/>
            </w:pPr>
            <w:r>
              <w:t xml:space="preserve">1.53E-04*</w:t>
            </w:r>
          </w:p>
        </w:tc>
      </w:tr>
      <w:tr>
        <w:tc>
          <w:p>
            <w:pPr>
              <w:pStyle w:val="Compact"/>
              <w:jc w:val="left"/>
            </w:pPr>
            <w:r>
              <w:t xml:space="preserve">0</w:t>
            </w:r>
          </w:p>
        </w:tc>
        <w:tc>
          <w:p>
            <w:pPr>
              <w:pStyle w:val="Compact"/>
              <w:jc w:val="left"/>
            </w:pPr>
            <w:r>
              <w:t xml:space="preserve">0.PE</w:t>
            </w:r>
          </w:p>
        </w:tc>
        <w:tc>
          <w:p>
            <w:pPr>
              <w:pStyle w:val="Compact"/>
              <w:jc w:val="left"/>
            </w:pPr>
            <w:r>
              <w:t xml:space="preserve">Modern</w:t>
            </w:r>
          </w:p>
        </w:tc>
        <w:tc>
          <w:p>
            <w:pPr>
              <w:pStyle w:val="Compact"/>
              <w:jc w:val="left"/>
            </w:pPr>
            <w:r>
              <w:t xml:space="preserve">0.01</w:t>
            </w:r>
          </w:p>
        </w:tc>
        <w:tc>
          <w:p>
            <w:pPr>
              <w:pStyle w:val="Compact"/>
              <w:jc w:val="left"/>
            </w:pPr>
            <w:r>
              <w:t xml:space="preserve">2.25E-01</w:t>
            </w:r>
          </w:p>
        </w:tc>
      </w:tr>
      <w:tr>
        <w:tc>
          <w:p>
            <w:pPr>
              <w:pStyle w:val="Compact"/>
              <w:jc w:val="left"/>
            </w:pPr>
            <w:r>
              <w:t xml:space="preserve">0</w:t>
            </w:r>
          </w:p>
        </w:tc>
        <w:tc>
          <w:p>
            <w:pPr>
              <w:pStyle w:val="Compact"/>
              <w:jc w:val="left"/>
            </w:pPr>
            <w:r>
              <w:t xml:space="preserve">0.ANT4</w:t>
            </w:r>
          </w:p>
        </w:tc>
        <w:tc>
          <w:p>
            <w:pPr>
              <w:pStyle w:val="Compact"/>
              <w:jc w:val="left"/>
            </w:pPr>
            <w:r>
              <w:t xml:space="preserve">Ancient</w:t>
            </w:r>
          </w:p>
        </w:tc>
        <w:tc>
          <w:p>
            <w:pPr>
              <w:pStyle w:val="Compact"/>
              <w:jc w:val="left"/>
            </w:pPr>
            <w:r>
              <w:t xml:space="preserve">0.66</w:t>
            </w:r>
          </w:p>
        </w:tc>
        <w:tc>
          <w:p>
            <w:pPr>
              <w:pStyle w:val="Compact"/>
              <w:jc w:val="left"/>
            </w:pPr>
            <w:r>
              <w:t xml:space="preserve">7.84E-04*</w:t>
            </w:r>
          </w:p>
        </w:tc>
      </w:tr>
      <w:tr>
        <w:tc>
          <w:p>
            <w:pPr>
              <w:pStyle w:val="Compact"/>
              <w:jc w:val="left"/>
            </w:pPr>
            <w:r>
              <w:t xml:space="preserve">0</w:t>
            </w:r>
          </w:p>
        </w:tc>
        <w:tc>
          <w:p>
            <w:pPr>
              <w:pStyle w:val="Compact"/>
              <w:jc w:val="left"/>
            </w:pPr>
            <w:r>
              <w:t xml:space="preserve">0.ANT</w:t>
            </w:r>
          </w:p>
        </w:tc>
        <w:tc>
          <w:p>
            <w:pPr>
              <w:pStyle w:val="Compact"/>
              <w:jc w:val="left"/>
            </w:pPr>
            <w:r>
              <w:t xml:space="preserve">Modern</w:t>
            </w:r>
          </w:p>
        </w:tc>
        <w:tc>
          <w:p>
            <w:pPr>
              <w:pStyle w:val="Compact"/>
              <w:jc w:val="left"/>
            </w:pPr>
            <w:r>
              <w:t xml:space="preserve">-0.01</w:t>
            </w:r>
          </w:p>
        </w:tc>
        <w:tc>
          <w:p>
            <w:pPr>
              <w:pStyle w:val="Compact"/>
              <w:jc w:val="left"/>
            </w:pPr>
            <w:r>
              <w:t xml:space="preserve">7.35E-01</w:t>
            </w:r>
          </w:p>
        </w:tc>
      </w:tr>
      <w:tr>
        <w:tc>
          <w:p>
            <w:pPr>
              <w:pStyle w:val="Compact"/>
              <w:jc w:val="left"/>
            </w:pPr>
            <w:r>
              <w:t xml:space="preserve">1</w:t>
            </w:r>
          </w:p>
        </w:tc>
        <w:tc>
          <w:p>
            <w:pPr>
              <w:pStyle w:val="Compact"/>
              <w:jc w:val="left"/>
            </w:pPr>
            <w:r>
              <w:t xml:space="preserve">1.ANT</w:t>
            </w:r>
          </w:p>
        </w:tc>
        <w:tc>
          <w:p>
            <w:pPr>
              <w:pStyle w:val="Compact"/>
              <w:jc w:val="left"/>
            </w:pPr>
            <w:r>
              <w:t xml:space="preserve">Modern</w:t>
            </w:r>
          </w:p>
        </w:tc>
        <w:tc>
          <w:p>
            <w:pPr>
              <w:pStyle w:val="Compact"/>
              <w:jc w:val="left"/>
            </w:pPr>
            <w:r>
              <w:t xml:space="preserve">0.45</w:t>
            </w:r>
          </w:p>
        </w:tc>
        <w:tc>
          <w:p>
            <w:pPr>
              <w:pStyle w:val="Compact"/>
              <w:jc w:val="left"/>
            </w:pPr>
            <w:r>
              <w:t xml:space="preserve">2.03E-01</w:t>
            </w:r>
          </w:p>
        </w:tc>
      </w:tr>
      <w:tr>
        <w:tc>
          <w:p>
            <w:pPr>
              <w:pStyle w:val="Compact"/>
              <w:jc w:val="left"/>
            </w:pPr>
            <w:r>
              <w:t xml:space="preserve">1</w:t>
            </w:r>
          </w:p>
        </w:tc>
        <w:tc>
          <w:p>
            <w:pPr>
              <w:pStyle w:val="Compact"/>
              <w:jc w:val="left"/>
            </w:pPr>
            <w:r>
              <w:t xml:space="preserve">1.IN</w:t>
            </w:r>
          </w:p>
        </w:tc>
        <w:tc>
          <w:p>
            <w:pPr>
              <w:pStyle w:val="Compact"/>
              <w:jc w:val="left"/>
            </w:pPr>
            <w:r>
              <w:t xml:space="preserve">Modern</w:t>
            </w:r>
          </w:p>
        </w:tc>
        <w:tc>
          <w:p>
            <w:pPr>
              <w:pStyle w:val="Compact"/>
              <w:jc w:val="left"/>
            </w:pPr>
            <w:r>
              <w:t xml:space="preserve">0.0</w:t>
            </w:r>
          </w:p>
        </w:tc>
        <w:tc>
          <w:p>
            <w:pPr>
              <w:pStyle w:val="Compact"/>
              <w:jc w:val="left"/>
            </w:pPr>
            <w:r>
              <w:t xml:space="preserve">3.24E-01</w:t>
            </w:r>
          </w:p>
        </w:tc>
      </w:tr>
      <w:tr>
        <w:tc>
          <w:p>
            <w:pPr>
              <w:pStyle w:val="Compact"/>
              <w:jc w:val="left"/>
            </w:pPr>
            <w:r>
              <w:t xml:space="preserve">1</w:t>
            </w:r>
          </w:p>
        </w:tc>
        <w:tc>
          <w:p>
            <w:pPr>
              <w:pStyle w:val="Compact"/>
              <w:jc w:val="left"/>
            </w:pPr>
            <w:r>
              <w:t xml:space="preserve">1.ORI</w:t>
            </w:r>
          </w:p>
        </w:tc>
        <w:tc>
          <w:p>
            <w:pPr>
              <w:pStyle w:val="Compact"/>
              <w:jc w:val="left"/>
            </w:pPr>
            <w:r>
              <w:t xml:space="preserve">Modern</w:t>
            </w:r>
          </w:p>
        </w:tc>
        <w:tc>
          <w:p>
            <w:pPr>
              <w:pStyle w:val="Compact"/>
              <w:jc w:val="left"/>
            </w:pPr>
            <w:r>
              <w:t xml:space="preserve">0.04</w:t>
            </w:r>
          </w:p>
        </w:tc>
        <w:tc>
          <w:p>
            <w:pPr>
              <w:pStyle w:val="Compact"/>
              <w:jc w:val="left"/>
            </w:pPr>
            <w:r>
              <w:t xml:space="preserve">1.32E-02*</w:t>
            </w:r>
          </w:p>
        </w:tc>
      </w:tr>
      <w:tr>
        <w:tc>
          <w:p>
            <w:pPr>
              <w:pStyle w:val="Compact"/>
              <w:jc w:val="left"/>
            </w:pPr>
            <w:r>
              <w:t xml:space="preserve">1</w:t>
            </w:r>
          </w:p>
        </w:tc>
        <w:tc>
          <w:p>
            <w:pPr>
              <w:pStyle w:val="Compact"/>
              <w:jc w:val="left"/>
            </w:pPr>
            <w:r>
              <w:t xml:space="preserve">1.PRE</w:t>
            </w:r>
          </w:p>
        </w:tc>
        <w:tc>
          <w:p>
            <w:pPr>
              <w:pStyle w:val="Compact"/>
              <w:jc w:val="left"/>
            </w:pPr>
            <w:r>
              <w:t xml:space="preserve">Ancient</w:t>
            </w:r>
          </w:p>
        </w:tc>
        <w:tc>
          <w:p>
            <w:pPr>
              <w:pStyle w:val="Compact"/>
              <w:jc w:val="left"/>
            </w:pPr>
            <w:r>
              <w:t xml:space="preserve">0.76</w:t>
            </w:r>
          </w:p>
        </w:tc>
        <w:tc>
          <w:p>
            <w:pPr>
              <w:pStyle w:val="Compact"/>
              <w:jc w:val="left"/>
            </w:pPr>
            <w:r>
              <w:t xml:space="preserve">1.68E-13*</w:t>
            </w:r>
          </w:p>
        </w:tc>
      </w:tr>
      <w:tr>
        <w:tc>
          <w:p>
            <w:pPr>
              <w:pStyle w:val="Compact"/>
              <w:jc w:val="left"/>
            </w:pPr>
            <w:r>
              <w:t xml:space="preserve">2</w:t>
            </w:r>
          </w:p>
        </w:tc>
        <w:tc>
          <w:p>
            <w:pPr>
              <w:pStyle w:val="Compact"/>
              <w:jc w:val="left"/>
            </w:pPr>
            <w:r>
              <w:t xml:space="preserve">2.ANT</w:t>
            </w:r>
          </w:p>
        </w:tc>
        <w:tc>
          <w:p>
            <w:pPr>
              <w:pStyle w:val="Compact"/>
              <w:jc w:val="left"/>
            </w:pPr>
            <w:r>
              <w:t xml:space="preserve">Modern</w:t>
            </w:r>
          </w:p>
        </w:tc>
        <w:tc>
          <w:p>
            <w:pPr>
              <w:pStyle w:val="Compact"/>
              <w:jc w:val="left"/>
            </w:pPr>
            <w:r>
              <w:t xml:space="preserve">0.05</w:t>
            </w:r>
          </w:p>
        </w:tc>
        <w:tc>
          <w:p>
            <w:pPr>
              <w:pStyle w:val="Compact"/>
              <w:jc w:val="left"/>
            </w:pPr>
            <w:r>
              <w:t xml:space="preserve">5.96E-02</w:t>
            </w:r>
          </w:p>
        </w:tc>
      </w:tr>
      <w:tr>
        <w:tc>
          <w:p>
            <w:pPr>
              <w:pStyle w:val="Compact"/>
              <w:jc w:val="left"/>
            </w:pPr>
            <w:r>
              <w:t xml:space="preserve">2</w:t>
            </w:r>
          </w:p>
        </w:tc>
        <w:tc>
          <w:p>
            <w:pPr>
              <w:pStyle w:val="Compact"/>
              <w:jc w:val="left"/>
            </w:pPr>
            <w:r>
              <w:t xml:space="preserve">2.MED</w:t>
            </w:r>
          </w:p>
        </w:tc>
        <w:tc>
          <w:p>
            <w:pPr>
              <w:pStyle w:val="Compact"/>
              <w:jc w:val="left"/>
            </w:pPr>
            <w:r>
              <w:t xml:space="preserve">Modern</w:t>
            </w:r>
          </w:p>
        </w:tc>
        <w:tc>
          <w:p>
            <w:pPr>
              <w:pStyle w:val="Compact"/>
              <w:jc w:val="left"/>
            </w:pPr>
            <w:r>
              <w:t xml:space="preserve">0.01</w:t>
            </w:r>
          </w:p>
        </w:tc>
        <w:tc>
          <w:p>
            <w:pPr>
              <w:pStyle w:val="Compact"/>
              <w:jc w:val="left"/>
            </w:pPr>
            <w:r>
              <w:t xml:space="preserve">1.86E-01</w:t>
            </w:r>
          </w:p>
        </w:tc>
      </w:tr>
      <w:tr>
        <w:tc>
          <w:p>
            <w:pPr>
              <w:pStyle w:val="Compact"/>
              <w:jc w:val="left"/>
            </w:pPr>
            <w:r>
              <w:t xml:space="preserve">3</w:t>
            </w:r>
          </w:p>
        </w:tc>
        <w:tc>
          <w:p>
            <w:pPr>
              <w:pStyle w:val="Compact"/>
              <w:jc w:val="left"/>
            </w:pPr>
            <w:r>
              <w:t xml:space="preserve">3.ANT</w:t>
            </w:r>
          </w:p>
        </w:tc>
        <w:tc>
          <w:p>
            <w:pPr>
              <w:pStyle w:val="Compact"/>
              <w:jc w:val="left"/>
            </w:pPr>
            <w:r>
              <w:t xml:space="preserve">Modern</w:t>
            </w:r>
          </w:p>
        </w:tc>
        <w:tc>
          <w:p>
            <w:pPr>
              <w:pStyle w:val="Compact"/>
              <w:jc w:val="left"/>
            </w:pPr>
            <w:r>
              <w:t xml:space="preserve">-0.04</w:t>
            </w:r>
          </w:p>
        </w:tc>
        <w:tc>
          <w:p>
            <w:pPr>
              <w:pStyle w:val="Compact"/>
              <w:jc w:val="left"/>
            </w:pPr>
            <w:r>
              <w:t xml:space="preserve">4.39E-01</w:t>
            </w:r>
          </w:p>
        </w:tc>
      </w:tr>
      <w:tr>
        <w:tc>
          <w:p>
            <w:pPr>
              <w:pStyle w:val="Compact"/>
              <w:jc w:val="left"/>
            </w:pPr>
            <w:r>
              <w:t xml:space="preserve">4</w:t>
            </w:r>
          </w:p>
        </w:tc>
        <w:tc>
          <w:p>
            <w:pPr>
              <w:pStyle w:val="Compact"/>
              <w:jc w:val="left"/>
            </w:pPr>
            <w:r>
              <w:t xml:space="preserve">4.ANT</w:t>
            </w:r>
          </w:p>
        </w:tc>
        <w:tc>
          <w:p>
            <w:pPr>
              <w:pStyle w:val="Compact"/>
              <w:jc w:val="left"/>
            </w:pPr>
            <w:r>
              <w:t xml:space="preserve">Modern</w:t>
            </w:r>
          </w:p>
        </w:tc>
        <w:tc>
          <w:p>
            <w:pPr>
              <w:pStyle w:val="Compact"/>
              <w:jc w:val="left"/>
            </w:pPr>
            <w:r>
              <w:t xml:space="preserve">-0.11</w:t>
            </w:r>
          </w:p>
        </w:tc>
        <w:tc>
          <w:p>
            <w:pPr>
              <w:pStyle w:val="Compact"/>
              <w:jc w:val="left"/>
            </w:pPr>
            <w:r>
              <w:t xml:space="preserve">8.80E-01</w:t>
            </w:r>
          </w:p>
        </w:tc>
      </w:tr>
    </w:tbl>
    <w:bookmarkEnd w:id="0"/>
    <w:bookmarkStart w:id="0" w:name="fig:fig_rate_boxplot_all"/>
    <w:p>
      <w:pPr>
        <w:pStyle w:val="CaptionedFigure"/>
      </w:pPr>
      <w:bookmarkStart w:id="49" w:name="fig:fig_rate_boxplot_all"/>
      <w:r>
        <w:drawing>
          <wp:inline>
            <wp:extent cx="5040687" cy="1787445"/>
            <wp:effectExtent b="0" l="0" r="0" t="0"/>
            <wp:docPr descr="Figure 2: Rate variation by clade." title="" id="1" name="Picture"/>
            <a:graphic>
              <a:graphicData uri="http://schemas.openxmlformats.org/drawingml/2006/picture">
                <pic:pic>
                  <pic:nvPicPr>
                    <pic:cNvPr descr="https://raw.githubusercontent.com/ktmeaton/plague-phylogeography-projects/f09d5aa6/main/iqtree/all/chromosome/full/filter5/filter-taxa/rate_boxplot_all.png" id="0" name="Picture"/>
                    <pic:cNvPicPr>
                      <a:picLocks noChangeArrowheads="1" noChangeAspect="1"/>
                    </pic:cNvPicPr>
                  </pic:nvPicPr>
                  <pic:blipFill>
                    <a:blip r:embed="rId48"/>
                    <a:stretch>
                      <a:fillRect/>
                    </a:stretch>
                  </pic:blipFill>
                  <pic:spPr bwMode="auto">
                    <a:xfrm>
                      <a:off x="0" y="0"/>
                      <a:ext cx="5040687" cy="1787445"/>
                    </a:xfrm>
                    <a:prstGeom prst="rect">
                      <a:avLst/>
                    </a:prstGeom>
                    <a:noFill/>
                    <a:ln w="9525">
                      <a:noFill/>
                      <a:headEnd/>
                      <a:tailEnd/>
                    </a:ln>
                  </pic:spPr>
                </pic:pic>
              </a:graphicData>
            </a:graphic>
          </wp:inline>
        </w:drawing>
      </w:r>
      <w:bookmarkEnd w:id="49"/>
    </w:p>
    <w:p>
      <w:pPr>
        <w:pStyle w:val="ImageCaption"/>
      </w:pPr>
      <w:r>
        <w:t xml:space="preserve">Figure 2: Rate variation by clade.</w:t>
      </w:r>
    </w:p>
    <w:bookmarkEnd w:id="0"/>
    <w:bookmarkStart w:id="0" w:name="fig:fig_tmrca_boxplot_all"/>
    <w:p>
      <w:pPr>
        <w:pStyle w:val="CaptionedFigure"/>
      </w:pPr>
      <w:bookmarkStart w:id="51" w:name="fig:fig_tmrca_boxplot_all"/>
      <w:r>
        <w:drawing>
          <wp:inline>
            <wp:extent cx="5201511" cy="1713925"/>
            <wp:effectExtent b="0" l="0" r="0" t="0"/>
            <wp:docPr descr="Figure 3: tMRCA by clade." title="" id="1" name="Picture"/>
            <a:graphic>
              <a:graphicData uri="http://schemas.openxmlformats.org/drawingml/2006/picture">
                <pic:pic>
                  <pic:nvPicPr>
                    <pic:cNvPr descr="https://raw.githubusercontent.com/ktmeaton/plague-phylogeography-projects/f09d5aa6/main/iqtree/all/chromosome/full/filter5/filter-taxa/tmrca_boxplot_all.png" id="0" name="Picture"/>
                    <pic:cNvPicPr>
                      <a:picLocks noChangeArrowheads="1" noChangeAspect="1"/>
                    </pic:cNvPicPr>
                  </pic:nvPicPr>
                  <pic:blipFill>
                    <a:blip r:embed="rId50"/>
                    <a:stretch>
                      <a:fillRect/>
                    </a:stretch>
                  </pic:blipFill>
                  <pic:spPr bwMode="auto">
                    <a:xfrm>
                      <a:off x="0" y="0"/>
                      <a:ext cx="5201511" cy="1713925"/>
                    </a:xfrm>
                    <a:prstGeom prst="rect">
                      <a:avLst/>
                    </a:prstGeom>
                    <a:noFill/>
                    <a:ln w="9525">
                      <a:noFill/>
                      <a:headEnd/>
                      <a:tailEnd/>
                    </a:ln>
                  </pic:spPr>
                </pic:pic>
              </a:graphicData>
            </a:graphic>
          </wp:inline>
        </w:drawing>
      </w:r>
      <w:bookmarkEnd w:id="51"/>
    </w:p>
    <w:p>
      <w:pPr>
        <w:pStyle w:val="ImageCaption"/>
      </w:pPr>
      <w:r>
        <w:t xml:space="preserve">Figure 3: tMRCA by clade.</w:t>
      </w:r>
    </w:p>
    <w:bookmarkEnd w:id="0"/>
    <w:p>
      <w:pPr>
        <w:pStyle w:val="Heading4"/>
      </w:pPr>
      <w:bookmarkStart w:id="52" w:name="relaxing-the-clock"/>
      <w:r>
        <w:t xml:space="preserve">Relaxing the Clock</w:t>
      </w:r>
      <w:bookmarkEnd w:id="52"/>
    </w:p>
    <w:p>
      <w:pPr>
        <w:numPr>
          <w:ilvl w:val="0"/>
          <w:numId w:val="1005"/>
        </w:numPr>
        <w:pStyle w:val="Compact"/>
      </w:pPr>
      <w:r>
        <w:t xml:space="preserve">Relaxed clock MCMC runs produce a high Coefficient of Variation indicating a relaxed model is favored over a strict model (Figure</w:t>
      </w:r>
      <w:r>
        <w:t xml:space="preserve"> </w:t>
      </w:r>
      <w:hyperlink w:anchor="fig:fig_coefficient_variation">
        <w:r>
          <w:rPr>
            <w:rStyle w:val="Hyperlink"/>
          </w:rPr>
          <w:t xml:space="preserve">4</w:t>
        </w:r>
      </w:hyperlink>
      <w:r>
        <w:t xml:space="preserve">). However, these runs do not converge, suggesting there is too much rate variation to confidently estimate key parameters such as the mean Substitution Rate or tMRCA.</w:t>
      </w:r>
    </w:p>
    <w:bookmarkStart w:id="0" w:name="fig:fig_coefficient_variation"/>
    <w:p>
      <w:pPr>
        <w:pStyle w:val="CaptionedFigure"/>
      </w:pPr>
      <w:bookmarkStart w:id="54" w:name="fig:fig_coefficient_variation"/>
      <w:r>
        <w:drawing>
          <wp:inline>
            <wp:extent cx="5943600" cy="3097258"/>
            <wp:effectExtent b="0" l="0" r="0" t="0"/>
            <wp:docPr descr="Figure 4: Coefficient of variation." title="" id="1" name="Picture"/>
            <a:graphic>
              <a:graphicData uri="http://schemas.openxmlformats.org/drawingml/2006/picture">
                <pic:pic>
                  <pic:nvPicPr>
                    <pic:cNvPr descr="https://raw.githubusercontent.com/ktmeaton/obsidian-public/4f0256a5ba01b5e32025339865e1f35243c13188/academic/Coefficient%20of%20Variation.png" id="0" name="Picture"/>
                    <pic:cNvPicPr>
                      <a:picLocks noChangeArrowheads="1" noChangeAspect="1"/>
                    </pic:cNvPicPr>
                  </pic:nvPicPr>
                  <pic:blipFill>
                    <a:blip r:embed="rId53"/>
                    <a:stretch>
                      <a:fillRect/>
                    </a:stretch>
                  </pic:blipFill>
                  <pic:spPr bwMode="auto">
                    <a:xfrm>
                      <a:off x="0" y="0"/>
                      <a:ext cx="5943600" cy="3097258"/>
                    </a:xfrm>
                    <a:prstGeom prst="rect">
                      <a:avLst/>
                    </a:prstGeom>
                    <a:noFill/>
                    <a:ln w="9525">
                      <a:noFill/>
                      <a:headEnd/>
                      <a:tailEnd/>
                    </a:ln>
                  </pic:spPr>
                </pic:pic>
              </a:graphicData>
            </a:graphic>
          </wp:inline>
        </w:drawing>
      </w:r>
      <w:bookmarkEnd w:id="54"/>
    </w:p>
    <w:p>
      <w:pPr>
        <w:pStyle w:val="ImageCaption"/>
      </w:pPr>
      <w:r>
        <w:t xml:space="preserve">Figure 4: Coefficient of variation.</w:t>
      </w:r>
    </w:p>
    <w:bookmarkEnd w:id="0"/>
    <w:p>
      <w:pPr>
        <w:numPr>
          <w:ilvl w:val="0"/>
          <w:numId w:val="1006"/>
        </w:numPr>
        <w:pStyle w:val="Compact"/>
      </w:pPr>
      <w:r>
        <w:t xml:space="preserve">A strict clock and relaxed clock have overlapping distributions with similar peaks for the Tree Height (blue: strict, green: relaxed) (Figure</w:t>
      </w:r>
      <w:r>
        <w:t xml:space="preserve"> </w:t>
      </w:r>
      <w:hyperlink w:anchor="fig:fig_tree_height_compare">
        <w:r>
          <w:rPr>
            <w:rStyle w:val="Hyperlink"/>
          </w:rPr>
          <w:t xml:space="preserve">5</w:t>
        </w:r>
      </w:hyperlink>
      <w:r>
        <w:t xml:space="preserve">).</w:t>
      </w:r>
    </w:p>
    <w:bookmarkStart w:id="0" w:name="fig:fig_tree_height_compare"/>
    <w:p>
      <w:pPr>
        <w:pStyle w:val="CaptionedFigure"/>
      </w:pPr>
      <w:bookmarkStart w:id="56" w:name="fig:fig_tree_height_compare"/>
      <w:r>
        <w:drawing>
          <wp:inline>
            <wp:extent cx="5943600" cy="4754880"/>
            <wp:effectExtent b="0" l="0" r="0" t="0"/>
            <wp:docPr descr="Figure 5: Tree height comparison." title="" id="1" name="Picture"/>
            <a:graphic>
              <a:graphicData uri="http://schemas.openxmlformats.org/drawingml/2006/picture">
                <pic:pic>
                  <pic:nvPicPr>
                    <pic:cNvPr descr="https://raw.githubusercontent.com/ktmeaton/obsidian-public/4f0256a5ba01b5e32025339865e1f35243c13188/academic/Tree%20Height%20Comparison.png" id="0"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bookmarkEnd w:id="56"/>
    </w:p>
    <w:p>
      <w:pPr>
        <w:pStyle w:val="ImageCaption"/>
      </w:pPr>
      <w:r>
        <w:t xml:space="preserve">Figure 5: Tree height comparison.</w:t>
      </w:r>
    </w:p>
    <w:bookmarkEnd w:id="0"/>
    <w:p>
      <w:pPr>
        <w:numPr>
          <w:ilvl w:val="0"/>
          <w:numId w:val="1007"/>
        </w:numPr>
        <w:pStyle w:val="Compact"/>
      </w:pPr>
      <w:r>
        <w:t xml:space="preserve">When estimating a Substitution Rate for all of</w:t>
      </w:r>
      <w:r>
        <w:t xml:space="preserve"> </w:t>
      </w:r>
      <w:r>
        <w:rPr>
          <w:i/>
        </w:rPr>
        <w:t xml:space="preserve">Y. pestis</w:t>
      </w:r>
      <w:r>
        <w:t xml:space="preserve">, a [[Clock Model|strict clock]] and relaxed clock produce different estimates (green: strict, orange: relaxed) (Figure</w:t>
      </w:r>
      <w:r>
        <w:t xml:space="preserve"> </w:t>
      </w:r>
      <w:hyperlink w:anchor="fig:fig_sub_rate_compare">
        <w:r>
          <w:rPr>
            <w:rStyle w:val="Hyperlink"/>
          </w:rPr>
          <w:t xml:space="preserve">6</w:t>
        </w:r>
      </w:hyperlink>
      <w:r>
        <w:t xml:space="preserve">).</w:t>
      </w:r>
    </w:p>
    <w:bookmarkStart w:id="0" w:name="fig:fig_sub_rate_compare"/>
    <w:p>
      <w:pPr>
        <w:pStyle w:val="CaptionedFigure"/>
      </w:pPr>
      <w:bookmarkStart w:id="58" w:name="fig:fig_sub_rate_compare"/>
      <w:r>
        <w:drawing>
          <wp:inline>
            <wp:extent cx="5943600" cy="4842083"/>
            <wp:effectExtent b="0" l="0" r="0" t="0"/>
            <wp:docPr descr="Figure 6: Substitution rate comparison." title="" id="1" name="Picture"/>
            <a:graphic>
              <a:graphicData uri="http://schemas.openxmlformats.org/drawingml/2006/picture">
                <pic:pic>
                  <pic:nvPicPr>
                    <pic:cNvPr descr="https://raw.githubusercontent.com/ktmeaton/obsidian-public/4f0256a5ba01b5e32025339865e1f35243c13188/academic/Substitution%20Rate%20Comparison.png" id="0" name="Picture"/>
                    <pic:cNvPicPr>
                      <a:picLocks noChangeArrowheads="1" noChangeAspect="1"/>
                    </pic:cNvPicPr>
                  </pic:nvPicPr>
                  <pic:blipFill>
                    <a:blip r:embed="rId57"/>
                    <a:stretch>
                      <a:fillRect/>
                    </a:stretch>
                  </pic:blipFill>
                  <pic:spPr bwMode="auto">
                    <a:xfrm>
                      <a:off x="0" y="0"/>
                      <a:ext cx="5943600" cy="4842083"/>
                    </a:xfrm>
                    <a:prstGeom prst="rect">
                      <a:avLst/>
                    </a:prstGeom>
                    <a:noFill/>
                    <a:ln w="9525">
                      <a:noFill/>
                      <a:headEnd/>
                      <a:tailEnd/>
                    </a:ln>
                  </pic:spPr>
                </pic:pic>
              </a:graphicData>
            </a:graphic>
          </wp:inline>
        </w:drawing>
      </w:r>
      <w:bookmarkEnd w:id="58"/>
    </w:p>
    <w:p>
      <w:pPr>
        <w:pStyle w:val="ImageCaption"/>
      </w:pPr>
      <w:r>
        <w:t xml:space="preserve">Figure 6: Substitution rate comparison.</w:t>
      </w:r>
    </w:p>
    <w:bookmarkEnd w:id="0"/>
    <w:p>
      <w:pPr>
        <w:numPr>
          <w:ilvl w:val="0"/>
          <w:numId w:val="1008"/>
        </w:numPr>
        <w:pStyle w:val="Compact"/>
      </w:pPr>
      <w:r>
        <w:t xml:space="preserve">There doesn’t appear to be clustering of rates. Branches with high rates are next to those with low rates (Figure</w:t>
      </w:r>
      <w:r>
        <w:t xml:space="preserve"> </w:t>
      </w:r>
      <w:hyperlink w:anchor="fig:fig_timetree_color_rate">
        <w:r>
          <w:rPr>
            <w:rStyle w:val="Hyperlink"/>
          </w:rPr>
          <w:t xml:space="preserve">7</w:t>
        </w:r>
      </w:hyperlink>
      <w:r>
        <w:t xml:space="preserve">).</w:t>
      </w:r>
    </w:p>
    <w:bookmarkStart w:id="0" w:name="fig:fig_timetree_color_rate"/>
    <w:p>
      <w:pPr>
        <w:pStyle w:val="CaptionedFigure"/>
      </w:pPr>
      <w:bookmarkStart w:id="60" w:name="fig:fig_timetree_color_rate"/>
      <w:r>
        <w:drawing>
          <wp:inline>
            <wp:extent cx="5943600" cy="3041862"/>
            <wp:effectExtent b="0" l="0" r="0" t="0"/>
            <wp:docPr descr="Figure 7: Time tree colored by rate." title="" id="1" name="Picture"/>
            <a:graphic>
              <a:graphicData uri="http://schemas.openxmlformats.org/drawingml/2006/picture">
                <pic:pic>
                  <pic:nvPicPr>
                    <pic:cNvPr descr="https://raw.githubusercontent.com/ktmeaton/obsidian-public/4f0256a5ba01b5e32025339865e1f35243c13188/academic/Time%20Tree%20Colored%20by%20Rate.png" id="0" name="Picture"/>
                    <pic:cNvPicPr>
                      <a:picLocks noChangeArrowheads="1" noChangeAspect="1"/>
                    </pic:cNvPicPr>
                  </pic:nvPicPr>
                  <pic:blipFill>
                    <a:blip r:embed="rId59"/>
                    <a:stretch>
                      <a:fillRect/>
                    </a:stretch>
                  </pic:blipFill>
                  <pic:spPr bwMode="auto">
                    <a:xfrm>
                      <a:off x="0" y="0"/>
                      <a:ext cx="5943600" cy="3041862"/>
                    </a:xfrm>
                    <a:prstGeom prst="rect">
                      <a:avLst/>
                    </a:prstGeom>
                    <a:noFill/>
                    <a:ln w="9525">
                      <a:noFill/>
                      <a:headEnd/>
                      <a:tailEnd/>
                    </a:ln>
                  </pic:spPr>
                </pic:pic>
              </a:graphicData>
            </a:graphic>
          </wp:inline>
        </w:drawing>
      </w:r>
      <w:bookmarkEnd w:id="60"/>
    </w:p>
    <w:p>
      <w:pPr>
        <w:pStyle w:val="ImageCaption"/>
      </w:pPr>
      <w:r>
        <w:t xml:space="preserve">Figure 7: Time tree colored by rate.</w:t>
      </w:r>
    </w:p>
    <w:bookmarkEnd w:id="0"/>
    <w:p>
      <w:pPr>
        <w:pStyle w:val="Heading2"/>
      </w:pPr>
      <w:bookmarkStart w:id="61" w:name="discussion"/>
      <w:r>
        <w:t xml:space="preserve">Discussion</w:t>
      </w:r>
      <w:bookmarkEnd w:id="61"/>
    </w:p>
    <w:p>
      <w:pPr>
        <w:pStyle w:val="Heading2"/>
      </w:pPr>
      <w:bookmarkStart w:id="62" w:name="conclusion"/>
      <w:r>
        <w:t xml:space="preserve">Conclusion</w:t>
      </w:r>
      <w:bookmarkEnd w:id="62"/>
    </w:p>
    <w:p>
      <w:pPr>
        <w:pStyle w:val="Heading2"/>
      </w:pPr>
      <w:bookmarkStart w:id="63" w:name="references"/>
      <w:r>
        <w:t xml:space="preserve">References</w:t>
      </w:r>
      <w:bookmarkEnd w:id="63"/>
    </w:p>
    <w:bookmarkStart w:id="113" w:name="refs"/>
    <w:bookmarkStart w:id="66" w:name="ref-Vo6ReJPm"/>
    <w:p>
      <w:pPr>
        <w:pStyle w:val="Bibliography"/>
      </w:pPr>
      <w:r>
        <w:t xml:space="preserve">1.</w:t>
      </w:r>
      <w:r>
        <w:t xml:space="preserve"> </w:t>
      </w:r>
      <w:r>
        <w:rPr>
          <w:b/>
        </w:rPr>
        <w:t xml:space="preserve">The Stone Age Plague and Its Persistence in Eurasia</w:t>
      </w:r>
      <w:r>
        <w:t xml:space="preserve"> </w:t>
      </w:r>
      <w:r>
        <w:br/>
      </w:r>
      <w:r>
        <w:t xml:space="preserve">Aida Andrades Valtueña, Alissa Mittnik, Felix M. Key, Wolfgang Haak, Raili Allmäe, Andrej Belinskij, Mantas Daubaras, Michal Feldman, Rimantas Jankauskas, Ivor Janković, … Johannes Krause</w:t>
      </w:r>
      <w:r>
        <w:br/>
      </w:r>
      <w:r>
        <w:rPr>
          <w:i/>
        </w:rPr>
        <w:t xml:space="preserve">Current Biology</w:t>
      </w:r>
      <w:r>
        <w:t xml:space="preserve"> </w:t>
      </w:r>
      <w:r>
        <w:t xml:space="preserve">(2017-12-04)</w:t>
      </w:r>
      <w:r>
        <w:t xml:space="preserve"> </w:t>
      </w:r>
      <w:r>
        <w:br/>
      </w:r>
      <w:r>
        <w:t xml:space="preserve">DOI:</w:t>
      </w:r>
      <w:r>
        <w:t xml:space="preserve"> </w:t>
      </w:r>
      <w:hyperlink r:id="rId64">
        <w:r>
          <w:rPr>
            <w:rStyle w:val="Hyperlink"/>
          </w:rPr>
          <w:t xml:space="preserve">10.1016/j.cub.2017.10.025</w:t>
        </w:r>
      </w:hyperlink>
      <w:r>
        <w:t xml:space="preserve"> </w:t>
      </w:r>
      <w:r>
        <w:t xml:space="preserve">· PMID:</w:t>
      </w:r>
      <w:r>
        <w:t xml:space="preserve"> </w:t>
      </w:r>
      <w:hyperlink r:id="rId65">
        <w:r>
          <w:rPr>
            <w:rStyle w:val="Hyperlink"/>
          </w:rPr>
          <w:t xml:space="preserve">29174893</w:t>
        </w:r>
      </w:hyperlink>
    </w:p>
    <w:bookmarkEnd w:id="66"/>
    <w:bookmarkStart w:id="70" w:name="ref-AQa9Tn4j"/>
    <w:p>
      <w:pPr>
        <w:pStyle w:val="Bibliography"/>
      </w:pPr>
      <w:r>
        <w:t xml:space="preserve">2.</w:t>
      </w:r>
      <w:r>
        <w:t xml:space="preserve"> </w:t>
      </w:r>
      <w:r>
        <w:rPr>
          <w:b/>
        </w:rPr>
        <w:t xml:space="preserve">Emergence and spread of basal lineages of</w:t>
      </w:r>
      <w:r>
        <w:rPr>
          <w:b/>
        </w:rPr>
        <w:t xml:space="preserve"> </w:t>
      </w:r>
      <w:r>
        <w:rPr>
          <w:i/>
          <w:b/>
        </w:rPr>
        <w:t xml:space="preserve">Yersinia pestis</w:t>
      </w:r>
      <w:r>
        <w:rPr>
          <w:b/>
        </w:rPr>
        <w:t xml:space="preserve"> </w:t>
      </w:r>
      <w:r>
        <w:rPr>
          <w:b/>
        </w:rPr>
        <w:t xml:space="preserve">during the Neolithic Decline</w:t>
      </w:r>
      <w:r>
        <w:t xml:space="preserve"> </w:t>
      </w:r>
      <w:r>
        <w:br/>
      </w:r>
      <w:r>
        <w:t xml:space="preserve">Nicolás Rascovan, Karl-Göran Sjögren, Kristian Kristiansen, Rasmus Nielsen, Eske Willerslev, Christelle Desnues, Simon Rasmussen</w:t>
      </w:r>
      <w:r>
        <w:br/>
      </w:r>
      <w:r>
        <w:rPr>
          <w:i/>
        </w:rPr>
        <w:t xml:space="preserve">Cell</w:t>
      </w:r>
      <w:r>
        <w:t xml:space="preserve"> </w:t>
      </w:r>
      <w:r>
        <w:t xml:space="preserve">(2019-01-10)</w:t>
      </w:r>
      <w:r>
        <w:t xml:space="preserve"> </w:t>
      </w:r>
      <w:hyperlink r:id="rId67">
        <w:r>
          <w:rPr>
            <w:rStyle w:val="Hyperlink"/>
          </w:rPr>
          <w:t xml:space="preserve">https://www.cell.com/cell/abstract/S0092-8674(18)31464-8</w:t>
        </w:r>
      </w:hyperlink>
      <w:r>
        <w:t xml:space="preserve"> </w:t>
      </w:r>
      <w:r>
        <w:br/>
      </w:r>
      <w:r>
        <w:t xml:space="preserve">DOI:</w:t>
      </w:r>
      <w:r>
        <w:t xml:space="preserve"> </w:t>
      </w:r>
      <w:hyperlink r:id="rId68">
        <w:r>
          <w:rPr>
            <w:rStyle w:val="Hyperlink"/>
          </w:rPr>
          <w:t xml:space="preserve">10.1016/j.cell.2018.11.005</w:t>
        </w:r>
      </w:hyperlink>
      <w:r>
        <w:t xml:space="preserve"> </w:t>
      </w:r>
      <w:r>
        <w:t xml:space="preserve">· PMID:</w:t>
      </w:r>
      <w:r>
        <w:t xml:space="preserve"> </w:t>
      </w:r>
      <w:hyperlink r:id="rId69">
        <w:r>
          <w:rPr>
            <w:rStyle w:val="Hyperlink"/>
          </w:rPr>
          <w:t xml:space="preserve">30528431</w:t>
        </w:r>
      </w:hyperlink>
    </w:p>
    <w:bookmarkEnd w:id="70"/>
    <w:bookmarkStart w:id="75" w:name="ref-1093vihdz"/>
    <w:p>
      <w:pPr>
        <w:pStyle w:val="Bibliography"/>
      </w:pPr>
      <w:r>
        <w:t xml:space="preserve">3.</w:t>
      </w:r>
      <w:r>
        <w:t xml:space="preserve"> </w:t>
      </w:r>
      <w:r>
        <w:rPr>
          <w:b/>
        </w:rPr>
        <w:t xml:space="preserve">Trade routes and plague transmission in pre-industrial Europe</w:t>
      </w:r>
      <w:r>
        <w:t xml:space="preserve"> </w:t>
      </w:r>
      <w:r>
        <w:br/>
      </w:r>
      <w:r>
        <w:t xml:space="preserve">Ricci P. H. Yue, Harry F. Lee, Connor Y. H. Wu</w:t>
      </w:r>
      <w:r>
        <w:br/>
      </w:r>
      <w:r>
        <w:rPr>
          <w:i/>
        </w:rPr>
        <w:t xml:space="preserve">Scientific Reports</w:t>
      </w:r>
      <w:r>
        <w:t xml:space="preserve"> </w:t>
      </w:r>
      <w:r>
        <w:t xml:space="preserve">(2017-10-11)</w:t>
      </w:r>
      <w:r>
        <w:t xml:space="preserve"> </w:t>
      </w:r>
      <w:hyperlink r:id="rId71">
        <w:r>
          <w:rPr>
            <w:rStyle w:val="Hyperlink"/>
          </w:rPr>
          <w:t xml:space="preserve">https://www.ncbi.nlm.nih.gov/pmc/articles/PMC5636801/</w:t>
        </w:r>
      </w:hyperlink>
      <w:r>
        <w:t xml:space="preserve"> </w:t>
      </w:r>
      <w:r>
        <w:br/>
      </w:r>
      <w:r>
        <w:t xml:space="preserve">DOI:</w:t>
      </w:r>
      <w:r>
        <w:t xml:space="preserve"> </w:t>
      </w:r>
      <w:hyperlink r:id="rId72">
        <w:r>
          <w:rPr>
            <w:rStyle w:val="Hyperlink"/>
          </w:rPr>
          <w:t xml:space="preserve">10.1038/s41598-017-13481-2</w:t>
        </w:r>
      </w:hyperlink>
      <w:r>
        <w:t xml:space="preserve"> </w:t>
      </w:r>
      <w:r>
        <w:t xml:space="preserve">· PMID:</w:t>
      </w:r>
      <w:r>
        <w:t xml:space="preserve"> </w:t>
      </w:r>
      <w:hyperlink r:id="rId73">
        <w:r>
          <w:rPr>
            <w:rStyle w:val="Hyperlink"/>
          </w:rPr>
          <w:t xml:space="preserve">29021541</w:t>
        </w:r>
      </w:hyperlink>
      <w:r>
        <w:t xml:space="preserve"> </w:t>
      </w:r>
      <w:r>
        <w:t xml:space="preserve">· PMCID:</w:t>
      </w:r>
      <w:r>
        <w:t xml:space="preserve"> </w:t>
      </w:r>
      <w:hyperlink r:id="rId74">
        <w:r>
          <w:rPr>
            <w:rStyle w:val="Hyperlink"/>
          </w:rPr>
          <w:t xml:space="preserve">PMC5636801</w:t>
        </w:r>
      </w:hyperlink>
    </w:p>
    <w:bookmarkEnd w:id="75"/>
    <w:bookmarkStart w:id="78" w:name="ref-uM6Rh5Fu"/>
    <w:p>
      <w:pPr>
        <w:pStyle w:val="Bibliography"/>
      </w:pPr>
      <w:r>
        <w:t xml:space="preserve">4.</w:t>
      </w:r>
      <w:r>
        <w:t xml:space="preserve"> </w:t>
      </w:r>
      <w:r>
        <w:rPr>
          <w:b/>
        </w:rPr>
        <w:t xml:space="preserve">Yersinia pestis–etiologic agent of plague</w:t>
      </w:r>
      <w:r>
        <w:t xml:space="preserve"> </w:t>
      </w:r>
      <w:r>
        <w:br/>
      </w:r>
      <w:r>
        <w:t xml:space="preserve">R. D. Perry, J. D. Fetherston</w:t>
      </w:r>
      <w:r>
        <w:br/>
      </w:r>
      <w:r>
        <w:rPr>
          <w:i/>
        </w:rPr>
        <w:t xml:space="preserve">Clinical Microbiology Reviews</w:t>
      </w:r>
      <w:r>
        <w:t xml:space="preserve"> </w:t>
      </w:r>
      <w:r>
        <w:t xml:space="preserve">(1997-01)</w:t>
      </w:r>
      <w:r>
        <w:t xml:space="preserve"> </w:t>
      </w:r>
      <w:r>
        <w:br/>
      </w:r>
      <w:r>
        <w:t xml:space="preserve">PMID:</w:t>
      </w:r>
      <w:r>
        <w:t xml:space="preserve"> </w:t>
      </w:r>
      <w:hyperlink r:id="rId76">
        <w:r>
          <w:rPr>
            <w:rStyle w:val="Hyperlink"/>
          </w:rPr>
          <w:t xml:space="preserve">8993858</w:t>
        </w:r>
      </w:hyperlink>
      <w:r>
        <w:t xml:space="preserve"> </w:t>
      </w:r>
      <w:r>
        <w:t xml:space="preserve">· PMCID:</w:t>
      </w:r>
      <w:r>
        <w:t xml:space="preserve"> </w:t>
      </w:r>
      <w:hyperlink r:id="rId77">
        <w:r>
          <w:rPr>
            <w:rStyle w:val="Hyperlink"/>
          </w:rPr>
          <w:t xml:space="preserve">PMC172914</w:t>
        </w:r>
      </w:hyperlink>
    </w:p>
    <w:bookmarkEnd w:id="78"/>
    <w:bookmarkStart w:id="80" w:name="ref-h4WAqbKy"/>
    <w:p>
      <w:pPr>
        <w:pStyle w:val="Bibliography"/>
      </w:pPr>
      <w:r>
        <w:t xml:space="preserve">5.</w:t>
      </w:r>
      <w:r>
        <w:t xml:space="preserve"> </w:t>
      </w:r>
      <w:r>
        <w:rPr>
          <w:b/>
        </w:rPr>
        <w:t xml:space="preserve">Plague</w:t>
      </w:r>
      <w:r>
        <w:t xml:space="preserve"> </w:t>
      </w:r>
      <w:r>
        <w:br/>
      </w:r>
      <w:r>
        <w:t xml:space="preserve">World Health Organization</w:t>
      </w:r>
      <w:r>
        <w:br/>
      </w:r>
      <w:r>
        <w:t xml:space="preserve">(2017-10-31)</w:t>
      </w:r>
      <w:r>
        <w:t xml:space="preserve"> </w:t>
      </w:r>
      <w:hyperlink r:id="rId79">
        <w:r>
          <w:rPr>
            <w:rStyle w:val="Hyperlink"/>
          </w:rPr>
          <w:t xml:space="preserve">https://www.who.int/news-room/fact-sheets/detail/plague</w:t>
        </w:r>
      </w:hyperlink>
    </w:p>
    <w:bookmarkEnd w:id="80"/>
    <w:bookmarkStart w:id="82" w:name="ref-S5fFaZrD"/>
    <w:p>
      <w:pPr>
        <w:pStyle w:val="Bibliography"/>
      </w:pPr>
      <w:r>
        <w:t xml:space="preserve">6.</w:t>
      </w:r>
      <w:r>
        <w:t xml:space="preserve"> </w:t>
      </w:r>
      <w:r>
        <w:rPr>
          <w:b/>
        </w:rPr>
        <w:t xml:space="preserve">Plague around the world in 2019</w:t>
      </w:r>
      <w:r>
        <w:t xml:space="preserve"> </w:t>
      </w:r>
      <w:r>
        <w:br/>
      </w:r>
      <w:r>
        <w:t xml:space="preserve">Eric Bertherat</w:t>
      </w:r>
      <w:r>
        <w:br/>
      </w:r>
      <w:r>
        <w:rPr>
          <w:i/>
        </w:rPr>
        <w:t xml:space="preserve">Weekly Epidemiological Record</w:t>
      </w:r>
      <w:r>
        <w:t xml:space="preserve"> </w:t>
      </w:r>
      <w:r>
        <w:t xml:space="preserve">(2019-06-21)</w:t>
      </w:r>
      <w:r>
        <w:t xml:space="preserve"> </w:t>
      </w:r>
      <w:hyperlink r:id="rId81">
        <w:r>
          <w:rPr>
            <w:rStyle w:val="Hyperlink"/>
          </w:rPr>
          <w:t xml:space="preserve">https://apps.who.int/iris/bitstream/handle/10665/325481/WER9425-en-fr.pdf</w:t>
        </w:r>
      </w:hyperlink>
    </w:p>
    <w:bookmarkEnd w:id="82"/>
    <w:bookmarkStart w:id="84" w:name="ref-126DH3OOt"/>
    <w:p>
      <w:pPr>
        <w:pStyle w:val="Bibliography"/>
      </w:pPr>
      <w:r>
        <w:t xml:space="preserve">7.</w:t>
      </w:r>
      <w:r>
        <w:t xml:space="preserve"> </w:t>
      </w:r>
      <w:r>
        <w:rPr>
          <w:b/>
        </w:rPr>
        <w:t xml:space="preserve">Rats, Communications, and Plague: Toward an Ecological History</w:t>
      </w:r>
      <w:r>
        <w:t xml:space="preserve"> </w:t>
      </w:r>
      <w:r>
        <w:br/>
      </w:r>
      <w:r>
        <w:t xml:space="preserve">Michael McCormick</w:t>
      </w:r>
      <w:r>
        <w:br/>
      </w:r>
      <w:r>
        <w:rPr>
          <w:i/>
        </w:rPr>
        <w:t xml:space="preserve">The Journal of Interdisciplinary History</w:t>
      </w:r>
      <w:r>
        <w:t xml:space="preserve"> </w:t>
      </w:r>
      <w:r>
        <w:t xml:space="preserve">(2003-07-01)</w:t>
      </w:r>
      <w:r>
        <w:t xml:space="preserve"> </w:t>
      </w:r>
      <w:hyperlink r:id="rId83">
        <w:r>
          <w:rPr>
            <w:rStyle w:val="Hyperlink"/>
          </w:rPr>
          <w:t xml:space="preserve">https://doi.org/10.1162/002219503322645439</w:t>
        </w:r>
      </w:hyperlink>
      <w:r>
        <w:t xml:space="preserve"> </w:t>
      </w:r>
      <w:r>
        <w:br/>
      </w:r>
      <w:r>
        <w:t xml:space="preserve">DOI:</w:t>
      </w:r>
      <w:r>
        <w:t xml:space="preserve"> </w:t>
      </w:r>
      <w:hyperlink r:id="rId83">
        <w:r>
          <w:rPr>
            <w:rStyle w:val="Hyperlink"/>
          </w:rPr>
          <w:t xml:space="preserve">10.1162/002219503322645439</w:t>
        </w:r>
      </w:hyperlink>
    </w:p>
    <w:bookmarkEnd w:id="84"/>
    <w:bookmarkStart w:id="87" w:name="ref-bny5raHY"/>
    <w:p>
      <w:pPr>
        <w:pStyle w:val="Bibliography"/>
      </w:pPr>
      <w:r>
        <w:t xml:space="preserve">8.</w:t>
      </w:r>
      <w:r>
        <w:t xml:space="preserve"> </w:t>
      </w:r>
      <w:r>
        <w:rPr>
          <w:b/>
        </w:rPr>
        <w:t xml:space="preserve">Comparative and evolutionary genomics of</w:t>
      </w:r>
      <w:r>
        <w:rPr>
          <w:b/>
        </w:rPr>
        <w:t xml:space="preserve"> </w:t>
      </w:r>
      <w:r>
        <w:rPr>
          <w:i/>
          <w:b/>
        </w:rPr>
        <w:t xml:space="preserve">Yersinia pestis</w:t>
      </w:r>
      <w:r>
        <w:t xml:space="preserve"> </w:t>
      </w:r>
      <w:r>
        <w:br/>
      </w:r>
      <w:r>
        <w:t xml:space="preserve">Dongsheng Zhou, Yanping Han, Yajun Song, Peitang Huang, Ruifu Yang</w:t>
      </w:r>
      <w:r>
        <w:br/>
      </w:r>
      <w:r>
        <w:rPr>
          <w:i/>
        </w:rPr>
        <w:t xml:space="preserve">Microbes and Infection</w:t>
      </w:r>
      <w:r>
        <w:t xml:space="preserve"> </w:t>
      </w:r>
      <w:r>
        <w:t xml:space="preserve">(2004-11-01)</w:t>
      </w:r>
      <w:r>
        <w:t xml:space="preserve"> </w:t>
      </w:r>
      <w:hyperlink r:id="rId85">
        <w:r>
          <w:rPr>
            <w:rStyle w:val="Hyperlink"/>
          </w:rPr>
          <w:t xml:space="preserve">http://www.sciencedirect.com/science/article/pii/S1286457904002357</w:t>
        </w:r>
      </w:hyperlink>
      <w:r>
        <w:t xml:space="preserve"> </w:t>
      </w:r>
      <w:r>
        <w:br/>
      </w:r>
      <w:r>
        <w:t xml:space="preserve">DOI:</w:t>
      </w:r>
      <w:r>
        <w:t xml:space="preserve"> </w:t>
      </w:r>
      <w:hyperlink r:id="rId86">
        <w:r>
          <w:rPr>
            <w:rStyle w:val="Hyperlink"/>
          </w:rPr>
          <w:t xml:space="preserve">10.1016/j.micinf.2004.08.002</w:t>
        </w:r>
      </w:hyperlink>
    </w:p>
    <w:bookmarkEnd w:id="87"/>
    <w:bookmarkStart w:id="91" w:name="ref-198RHww4t"/>
    <w:p>
      <w:pPr>
        <w:pStyle w:val="Bibliography"/>
      </w:pPr>
      <w:r>
        <w:t xml:space="preserve">9.</w:t>
      </w:r>
      <w:r>
        <w:t xml:space="preserve"> </w:t>
      </w:r>
      <w:r>
        <w:rPr>
          <w:b/>
        </w:rPr>
        <w:t xml:space="preserve">The Justinianic Plague: An inconsequential pandemic?</w:t>
      </w:r>
      <w:r>
        <w:t xml:space="preserve"> </w:t>
      </w:r>
      <w:r>
        <w:br/>
      </w:r>
      <w:r>
        <w:t xml:space="preserve">Lee Mordechai, Merle Eisenberg, Timothy P. Newfield, Adam Izdebski, Janet E. Kay, Hendrik Poinar</w:t>
      </w:r>
      <w:r>
        <w:br/>
      </w:r>
      <w:r>
        <w:rPr>
          <w:i/>
        </w:rPr>
        <w:t xml:space="preserve">Proceedings of the National Academy of Sciences</w:t>
      </w:r>
      <w:r>
        <w:t xml:space="preserve"> </w:t>
      </w:r>
      <w:r>
        <w:t xml:space="preserve">(2019-12-17)</w:t>
      </w:r>
      <w:r>
        <w:t xml:space="preserve"> </w:t>
      </w:r>
      <w:hyperlink r:id="rId88">
        <w:r>
          <w:rPr>
            <w:rStyle w:val="Hyperlink"/>
          </w:rPr>
          <w:t xml:space="preserve">http://www.pnas.org/content/116/51/25546</w:t>
        </w:r>
      </w:hyperlink>
      <w:r>
        <w:t xml:space="preserve"> </w:t>
      </w:r>
      <w:r>
        <w:br/>
      </w:r>
      <w:r>
        <w:t xml:space="preserve">DOI:</w:t>
      </w:r>
      <w:r>
        <w:t xml:space="preserve"> </w:t>
      </w:r>
      <w:hyperlink r:id="rId89">
        <w:r>
          <w:rPr>
            <w:rStyle w:val="Hyperlink"/>
          </w:rPr>
          <w:t xml:space="preserve">10.1073/pnas.1903797116</w:t>
        </w:r>
      </w:hyperlink>
      <w:r>
        <w:t xml:space="preserve"> </w:t>
      </w:r>
      <w:r>
        <w:t xml:space="preserve">· PMID:</w:t>
      </w:r>
      <w:r>
        <w:t xml:space="preserve"> </w:t>
      </w:r>
      <w:hyperlink r:id="rId90">
        <w:r>
          <w:rPr>
            <w:rStyle w:val="Hyperlink"/>
          </w:rPr>
          <w:t xml:space="preserve">31792176</w:t>
        </w:r>
      </w:hyperlink>
    </w:p>
    <w:bookmarkEnd w:id="91"/>
    <w:bookmarkStart w:id="93" w:name="ref-131fQLiJt"/>
    <w:p>
      <w:pPr>
        <w:pStyle w:val="Bibliography"/>
      </w:pPr>
      <w:r>
        <w:t xml:space="preserve">10.</w:t>
      </w:r>
      <w:r>
        <w:t xml:space="preserve"> </w:t>
      </w:r>
      <w:r>
        <w:rPr>
          <w:b/>
        </w:rPr>
        <w:t xml:space="preserve">NCBImeta</w:t>
      </w:r>
      <w:r>
        <w:t xml:space="preserve"> </w:t>
      </w:r>
      <w:r>
        <w:br/>
      </w:r>
      <w:r>
        <w:t xml:space="preserve">Katherine Eaton</w:t>
      </w:r>
      <w:r>
        <w:br/>
      </w:r>
      <w:r>
        <w:rPr>
          <w:i/>
        </w:rPr>
        <w:t xml:space="preserve">NCBImeta</w:t>
      </w:r>
      <w:r>
        <w:t xml:space="preserve"> </w:t>
      </w:r>
      <w:r>
        <w:t xml:space="preserve">(2019)</w:t>
      </w:r>
      <w:r>
        <w:t xml:space="preserve"> </w:t>
      </w:r>
      <w:hyperlink r:id="rId92">
        <w:r>
          <w:rPr>
            <w:rStyle w:val="Hyperlink"/>
          </w:rPr>
          <w:t xml:space="preserve">https://github.com/ktmeaton/NCBImeta</w:t>
        </w:r>
      </w:hyperlink>
    </w:p>
    <w:bookmarkEnd w:id="93"/>
    <w:bookmarkStart w:id="95" w:name="ref-hxWSqZgm"/>
    <w:p>
      <w:pPr>
        <w:pStyle w:val="Bibliography"/>
      </w:pPr>
      <w:r>
        <w:t xml:space="preserve">11.</w:t>
      </w:r>
      <w:r>
        <w:t xml:space="preserve"> </w:t>
      </w:r>
      <w:r>
        <w:rPr>
          <w:b/>
        </w:rPr>
        <w:t xml:space="preserve">GeoPy: A Python client for several popular geocoding web services.</w:t>
      </w:r>
      <w:r>
        <w:t xml:space="preserve"> </w:t>
      </w:r>
      <w:r>
        <w:br/>
      </w:r>
      <w:r>
        <w:t xml:space="preserve">Kostya Esmukov</w:t>
      </w:r>
      <w:r>
        <w:br/>
      </w:r>
      <w:r>
        <w:t xml:space="preserve">(2020-12)</w:t>
      </w:r>
      <w:r>
        <w:t xml:space="preserve"> </w:t>
      </w:r>
      <w:hyperlink r:id="rId94">
        <w:r>
          <w:rPr>
            <w:rStyle w:val="Hyperlink"/>
          </w:rPr>
          <w:t xml:space="preserve">https://github.com/geopy/geopy</w:t>
        </w:r>
      </w:hyperlink>
    </w:p>
    <w:bookmarkEnd w:id="95"/>
    <w:bookmarkStart w:id="97" w:name="ref-M15a78x5"/>
    <w:p>
      <w:pPr>
        <w:pStyle w:val="Bibliography"/>
      </w:pPr>
      <w:r>
        <w:t xml:space="preserve">12.</w:t>
      </w:r>
      <w:r>
        <w:t xml:space="preserve"> </w:t>
      </w:r>
      <w:r>
        <w:rPr>
          <w:b/>
        </w:rPr>
        <w:t xml:space="preserve">Nominatim: A tool to search OpenStreetMap data.</w:t>
      </w:r>
      <w:r>
        <w:t xml:space="preserve"> </w:t>
      </w:r>
      <w:r>
        <w:br/>
      </w:r>
      <w:r>
        <w:t xml:space="preserve">Sarah Hoffman</w:t>
      </w:r>
      <w:r>
        <w:br/>
      </w:r>
      <w:r>
        <w:t xml:space="preserve">(2020-12)</w:t>
      </w:r>
      <w:r>
        <w:t xml:space="preserve"> </w:t>
      </w:r>
      <w:hyperlink r:id="rId96">
        <w:r>
          <w:rPr>
            <w:rStyle w:val="Hyperlink"/>
          </w:rPr>
          <w:t xml:space="preserve">https://github.com/osm-search/Nominatim</w:t>
        </w:r>
      </w:hyperlink>
    </w:p>
    <w:bookmarkEnd w:id="97"/>
    <w:bookmarkStart w:id="99" w:name="ref-5rCiNisz"/>
    <w:p>
      <w:pPr>
        <w:pStyle w:val="Bibliography"/>
      </w:pPr>
      <w:r>
        <w:t xml:space="preserve">13.</w:t>
      </w:r>
      <w:r>
        <w:t xml:space="preserve"> </w:t>
      </w:r>
      <w:r>
        <w:rPr>
          <w:b/>
        </w:rPr>
        <w:t xml:space="preserve">Planet dump retrieved from https://planet.osm.org</w:t>
      </w:r>
      <w:r>
        <w:t xml:space="preserve"> </w:t>
      </w:r>
      <w:r>
        <w:br/>
      </w:r>
      <w:r>
        <w:t xml:space="preserve">OpenStreetMap Contributors</w:t>
      </w:r>
      <w:r>
        <w:br/>
      </w:r>
      <w:r>
        <w:t xml:space="preserve">(2017)</w:t>
      </w:r>
      <w:r>
        <w:t xml:space="preserve"> </w:t>
      </w:r>
      <w:hyperlink r:id="rId98">
        <w:r>
          <w:rPr>
            <w:rStyle w:val="Hyperlink"/>
          </w:rPr>
          <w:t xml:space="preserve">https://www.openstreetmap.org</w:t>
        </w:r>
      </w:hyperlink>
    </w:p>
    <w:bookmarkEnd w:id="99"/>
    <w:bookmarkStart w:id="101" w:name="ref-puYDXtJ9"/>
    <w:p>
      <w:pPr>
        <w:pStyle w:val="Bibliography"/>
      </w:pPr>
      <w:r>
        <w:t xml:space="preserve">14.</w:t>
      </w:r>
      <w:r>
        <w:t xml:space="preserve"> </w:t>
      </w:r>
      <w:r>
        <w:rPr>
          <w:b/>
        </w:rPr>
        <w:t xml:space="preserve">ncbi/sra-tools</w:t>
      </w:r>
      <w:r>
        <w:t xml:space="preserve"> </w:t>
      </w:r>
      <w:r>
        <w:br/>
      </w:r>
      <w:r>
        <w:t xml:space="preserve">NCBI - National Center for Biotechnology Information/NLM/NIH</w:t>
      </w:r>
      <w:r>
        <w:br/>
      </w:r>
      <w:r>
        <w:t xml:space="preserve">(2021-05-18)</w:t>
      </w:r>
      <w:r>
        <w:t xml:space="preserve"> </w:t>
      </w:r>
      <w:hyperlink r:id="rId100">
        <w:r>
          <w:rPr>
            <w:rStyle w:val="Hyperlink"/>
          </w:rPr>
          <w:t xml:space="preserve">https://github.com/ncbi/sra-tools</w:t>
        </w:r>
      </w:hyperlink>
    </w:p>
    <w:bookmarkEnd w:id="101"/>
    <w:bookmarkStart w:id="104" w:name="ref-17yD9OrGW"/>
    <w:p>
      <w:pPr>
        <w:pStyle w:val="Bibliography"/>
      </w:pPr>
      <w:r>
        <w:t xml:space="preserve">15.</w:t>
      </w:r>
      <w:r>
        <w:t xml:space="preserve"> </w:t>
      </w:r>
      <w:r>
        <w:rPr>
          <w:b/>
        </w:rPr>
        <w:t xml:space="preserve">Reproducible, portable, and efficient ancient genome reconstruction with nf-core/eager</w:t>
      </w:r>
      <w:r>
        <w:t xml:space="preserve"> </w:t>
      </w:r>
      <w:r>
        <w:br/>
      </w:r>
      <w:r>
        <w:t xml:space="preserve">James A. Fellows Yates, Thiseas C. Lamnidis, Maxime Borry, Aida Andrades Valtueña, Zandra Fagernäs, Stephen Clayton, Maxime U. Garcia, Judith Neukamm, Alexander Peltzer</w:t>
      </w:r>
      <w:r>
        <w:br/>
      </w:r>
      <w:r>
        <w:rPr>
          <w:i/>
        </w:rPr>
        <w:t xml:space="preserve">PeerJ</w:t>
      </w:r>
      <w:r>
        <w:t xml:space="preserve"> </w:t>
      </w:r>
      <w:r>
        <w:t xml:space="preserve">(2021-03-16)</w:t>
      </w:r>
      <w:r>
        <w:t xml:space="preserve"> </w:t>
      </w:r>
      <w:hyperlink r:id="rId102">
        <w:r>
          <w:rPr>
            <w:rStyle w:val="Hyperlink"/>
          </w:rPr>
          <w:t xml:space="preserve">https://peerj.com/articles/10947</w:t>
        </w:r>
      </w:hyperlink>
      <w:r>
        <w:t xml:space="preserve"> </w:t>
      </w:r>
      <w:r>
        <w:br/>
      </w:r>
      <w:r>
        <w:t xml:space="preserve">DOI:</w:t>
      </w:r>
      <w:r>
        <w:t xml:space="preserve"> </w:t>
      </w:r>
      <w:hyperlink r:id="rId103">
        <w:r>
          <w:rPr>
            <w:rStyle w:val="Hyperlink"/>
          </w:rPr>
          <w:t xml:space="preserve">10.7717/peerj.10947</w:t>
        </w:r>
      </w:hyperlink>
    </w:p>
    <w:bookmarkEnd w:id="104"/>
    <w:bookmarkStart w:id="106" w:name="ref-1DR126iIZ"/>
    <w:p>
      <w:pPr>
        <w:pStyle w:val="Bibliography"/>
      </w:pPr>
      <w:r>
        <w:t xml:space="preserve">16.</w:t>
      </w:r>
      <w:r>
        <w:t xml:space="preserve"> </w:t>
      </w:r>
      <w:r>
        <w:rPr>
          <w:b/>
        </w:rPr>
        <w:t xml:space="preserve">Snippy: Rapid haploid variant calling and core genome alignment.</w:t>
      </w:r>
      <w:r>
        <w:t xml:space="preserve"> </w:t>
      </w:r>
      <w:r>
        <w:br/>
      </w:r>
      <w:r>
        <w:t xml:space="preserve">Torsten Seemann</w:t>
      </w:r>
      <w:r>
        <w:br/>
      </w:r>
      <w:r>
        <w:t xml:space="preserve">(2020-03-08)</w:t>
      </w:r>
      <w:r>
        <w:t xml:space="preserve"> </w:t>
      </w:r>
      <w:hyperlink r:id="rId105">
        <w:r>
          <w:rPr>
            <w:rStyle w:val="Hyperlink"/>
          </w:rPr>
          <w:t xml:space="preserve">https://github.com/tseemann/snippy</w:t>
        </w:r>
      </w:hyperlink>
    </w:p>
    <w:bookmarkEnd w:id="106"/>
    <w:bookmarkStart w:id="109" w:name="ref-QZIPWLUx"/>
    <w:p>
      <w:pPr>
        <w:pStyle w:val="Bibliography"/>
      </w:pPr>
      <w:r>
        <w:t xml:space="preserve">17.</w:t>
      </w:r>
      <w:r>
        <w:t xml:space="preserve"> </w:t>
      </w:r>
      <w:r>
        <w:rPr>
          <w:b/>
        </w:rPr>
        <w:t xml:space="preserve">ModelFinder: fast model selection for accurate phylogenetic estimates</w:t>
      </w:r>
      <w:r>
        <w:t xml:space="preserve"> </w:t>
      </w:r>
      <w:r>
        <w:br/>
      </w:r>
      <w:r>
        <w:t xml:space="preserve">Subha Kalyaanamoorthy, Bui Quang Minh, Thomas K. F. Wong, Arndt von Haeseler, Lars S. Jermiin</w:t>
      </w:r>
      <w:r>
        <w:br/>
      </w:r>
      <w:r>
        <w:rPr>
          <w:i/>
        </w:rPr>
        <w:t xml:space="preserve">Nature Methods</w:t>
      </w:r>
      <w:r>
        <w:t xml:space="preserve"> </w:t>
      </w:r>
      <w:r>
        <w:t xml:space="preserve">(2017-06)</w:t>
      </w:r>
      <w:r>
        <w:t xml:space="preserve"> </w:t>
      </w:r>
      <w:hyperlink r:id="rId107">
        <w:r>
          <w:rPr>
            <w:rStyle w:val="Hyperlink"/>
          </w:rPr>
          <w:t xml:space="preserve">http://www.nature.com/articles/nmeth.4285</w:t>
        </w:r>
      </w:hyperlink>
      <w:r>
        <w:t xml:space="preserve"> </w:t>
      </w:r>
      <w:r>
        <w:br/>
      </w:r>
      <w:r>
        <w:t xml:space="preserve">DOI:</w:t>
      </w:r>
      <w:r>
        <w:t xml:space="preserve"> </w:t>
      </w:r>
      <w:hyperlink r:id="rId108">
        <w:r>
          <w:rPr>
            <w:rStyle w:val="Hyperlink"/>
          </w:rPr>
          <w:t xml:space="preserve">10.1038/nmeth.4285</w:t>
        </w:r>
      </w:hyperlink>
    </w:p>
    <w:bookmarkEnd w:id="109"/>
    <w:bookmarkStart w:id="112" w:name="ref-mkkgRhHT"/>
    <w:p>
      <w:pPr>
        <w:pStyle w:val="Bibliography"/>
      </w:pPr>
      <w:r>
        <w:t xml:space="preserve">18.</w:t>
      </w:r>
      <w:r>
        <w:t xml:space="preserve"> </w:t>
      </w:r>
      <w:r>
        <w:rPr>
          <w:b/>
        </w:rPr>
        <w:t xml:space="preserve">IQ-TREE 2: New Models and Efficient Methods for Phylogenetic Inference in the Genomic Era</w:t>
      </w:r>
      <w:r>
        <w:t xml:space="preserve"> </w:t>
      </w:r>
      <w:r>
        <w:br/>
      </w:r>
      <w:r>
        <w:t xml:space="preserve">Bui Quang Minh, Heiko A. Schmidt, Olga Chernomor, Dominik Schrempf, Michael D. Woodhams, Arndt von Haeseler, Robert Lanfear</w:t>
      </w:r>
      <w:r>
        <w:br/>
      </w:r>
      <w:r>
        <w:rPr>
          <w:i/>
        </w:rPr>
        <w:t xml:space="preserve">Molecular Biology and Evolution</w:t>
      </w:r>
      <w:r>
        <w:t xml:space="preserve"> </w:t>
      </w:r>
      <w:r>
        <w:t xml:space="preserve">(2020-05-01)</w:t>
      </w:r>
      <w:r>
        <w:t xml:space="preserve"> </w:t>
      </w:r>
      <w:hyperlink r:id="rId110">
        <w:r>
          <w:rPr>
            <w:rStyle w:val="Hyperlink"/>
          </w:rPr>
          <w:t xml:space="preserve">https://academic.oup.com/mbe/article/37/5/1530/5721363</w:t>
        </w:r>
      </w:hyperlink>
      <w:r>
        <w:t xml:space="preserve"> </w:t>
      </w:r>
      <w:r>
        <w:br/>
      </w:r>
      <w:r>
        <w:t xml:space="preserve">DOI:</w:t>
      </w:r>
      <w:r>
        <w:t xml:space="preserve"> </w:t>
      </w:r>
      <w:hyperlink r:id="rId111">
        <w:r>
          <w:rPr>
            <w:rStyle w:val="Hyperlink"/>
          </w:rPr>
          <w:t xml:space="preserve">10.1093/molbev/msaa015</w:t>
        </w:r>
      </w:hyperlink>
    </w:p>
    <w:bookmarkEnd w:id="112"/>
    <w:bookmarkEnd w:id="11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107" Target="http://www.nature.com/articles/nmeth.4285" TargetMode="External" /><Relationship Type="http://schemas.openxmlformats.org/officeDocument/2006/relationships/hyperlink" Id="rId88" Target="http://www.pnas.org/content/116/51/25546" TargetMode="External" /><Relationship Type="http://schemas.openxmlformats.org/officeDocument/2006/relationships/hyperlink" Id="rId85" Target="http://www.sciencedirect.com/science/article/pii/S1286457904002357" TargetMode="External" /><Relationship Type="http://schemas.openxmlformats.org/officeDocument/2006/relationships/hyperlink" Id="rId110" Target="https://academic.oup.com/mbe/article/37/5/1530/5721363" TargetMode="External" /><Relationship Type="http://schemas.openxmlformats.org/officeDocument/2006/relationships/hyperlink" Id="rId81" Target="https://apps.who.int/iris/bitstream/handle/10665/325481/WER9425-en-fr.pdf" TargetMode="External" /><Relationship Type="http://schemas.openxmlformats.org/officeDocument/2006/relationships/hyperlink" Id="rId68" Target="https://doi.org/10.1016/j.cell.2018.11.005" TargetMode="External" /><Relationship Type="http://schemas.openxmlformats.org/officeDocument/2006/relationships/hyperlink" Id="rId64" Target="https://doi.org/10.1016/j.cub.2017.10.025" TargetMode="External" /><Relationship Type="http://schemas.openxmlformats.org/officeDocument/2006/relationships/hyperlink" Id="rId86" Target="https://doi.org/10.1016/j.micinf.2004.08.002" TargetMode="External" /><Relationship Type="http://schemas.openxmlformats.org/officeDocument/2006/relationships/hyperlink" Id="rId108" Target="https://doi.org/10.1038/nmeth.4285" TargetMode="External" /><Relationship Type="http://schemas.openxmlformats.org/officeDocument/2006/relationships/hyperlink" Id="rId72" Target="https://doi.org/10.1038/s41598-017-13481-2" TargetMode="External" /><Relationship Type="http://schemas.openxmlformats.org/officeDocument/2006/relationships/hyperlink" Id="rId89" Target="https://doi.org/10.1073/pnas.1903797116" TargetMode="External" /><Relationship Type="http://schemas.openxmlformats.org/officeDocument/2006/relationships/hyperlink" Id="rId111" Target="https://doi.org/10.1093/molbev/msaa015" TargetMode="External" /><Relationship Type="http://schemas.openxmlformats.org/officeDocument/2006/relationships/hyperlink" Id="rId83" Target="https://doi.org/10.1162/002219503322645439" TargetMode="External" /><Relationship Type="http://schemas.openxmlformats.org/officeDocument/2006/relationships/hyperlink" Id="rId103" Target="https://doi.org/10.7717/peerj.10947" TargetMode="External" /><Relationship Type="http://schemas.openxmlformats.org/officeDocument/2006/relationships/hyperlink" Id="rId94" Target="https://github.com/geopy/geopy" TargetMode="External" /><Relationship Type="http://schemas.openxmlformats.org/officeDocument/2006/relationships/hyperlink" Id="rId26" Target="https://github.com/ktmeaton" TargetMode="External" /><Relationship Type="http://schemas.openxmlformats.org/officeDocument/2006/relationships/hyperlink" Id="rId92" Target="https://github.com/ktmeaton/NCBImeta" TargetMode="External" /><Relationship Type="http://schemas.openxmlformats.org/officeDocument/2006/relationships/hyperlink" Id="rId21" Target="https://github.com/ktmeaton/obsidian-public/tree/bd0cba1c" TargetMode="External" /><Relationship Type="http://schemas.openxmlformats.org/officeDocument/2006/relationships/hyperlink" Id="rId100" Target="https://github.com/ncbi/sra-tools" TargetMode="External" /><Relationship Type="http://schemas.openxmlformats.org/officeDocument/2006/relationships/hyperlink" Id="rId96" Target="https://github.com/osm-search/Nominatim" TargetMode="External" /><Relationship Type="http://schemas.openxmlformats.org/officeDocument/2006/relationships/hyperlink" Id="rId29" Target="https://github.com/sebastianduchene" TargetMode="External" /><Relationship Type="http://schemas.openxmlformats.org/officeDocument/2006/relationships/hyperlink" Id="rId105" Target="https://github.com/tseemann/snippy" TargetMode="External" /><Relationship Type="http://schemas.openxmlformats.org/officeDocument/2006/relationships/hyperlink" Id="rId24" Target="https://orcid.org/0000-0001-6862-7756" TargetMode="External" /><Relationship Type="http://schemas.openxmlformats.org/officeDocument/2006/relationships/hyperlink" Id="rId30" Target="https://orcid.org/0000-0002-0314-4160" TargetMode="External" /><Relationship Type="http://schemas.openxmlformats.org/officeDocument/2006/relationships/hyperlink" Id="rId28" Target="https://orcid.org/0000-0002-2863-0907" TargetMode="External" /><Relationship Type="http://schemas.openxmlformats.org/officeDocument/2006/relationships/hyperlink" Id="rId27" Target="https://orcid.org/0000-0002-8878-1758" TargetMode="External" /><Relationship Type="http://schemas.openxmlformats.org/officeDocument/2006/relationships/hyperlink" Id="rId102" Target="https://peerj.com/articles/10947" TargetMode="External" /><Relationship Type="http://schemas.openxmlformats.org/officeDocument/2006/relationships/hyperlink" Id="rId20" Target="https://rawcdn.githack.com/ktmeaton/obsidian-public/bd0cba1c/academic/Plague%20Phylodynamics%20and%20Phylogeography%20Paper.html" TargetMode="External" /><Relationship Type="http://schemas.openxmlformats.org/officeDocument/2006/relationships/hyperlink" Id="rId67" Target="https://www.cell.com/cell/abstract/S0092-8674(18)31464-8" TargetMode="External" /><Relationship Type="http://schemas.openxmlformats.org/officeDocument/2006/relationships/hyperlink" Id="rId77" Target="https://www.ncbi.nlm.nih.gov/pmc/articles/PMC172914" TargetMode="External" /><Relationship Type="http://schemas.openxmlformats.org/officeDocument/2006/relationships/hyperlink" Id="rId74" Target="https://www.ncbi.nlm.nih.gov/pmc/articles/PMC5636801" TargetMode="External" /><Relationship Type="http://schemas.openxmlformats.org/officeDocument/2006/relationships/hyperlink" Id="rId71" Target="https://www.ncbi.nlm.nih.gov/pmc/articles/PMC5636801/" TargetMode="External" /><Relationship Type="http://schemas.openxmlformats.org/officeDocument/2006/relationships/hyperlink" Id="rId73" Target="https://www.ncbi.nlm.nih.gov/pubmed/29021541" TargetMode="External" /><Relationship Type="http://schemas.openxmlformats.org/officeDocument/2006/relationships/hyperlink" Id="rId65" Target="https://www.ncbi.nlm.nih.gov/pubmed/29174893" TargetMode="External" /><Relationship Type="http://schemas.openxmlformats.org/officeDocument/2006/relationships/hyperlink" Id="rId69" Target="https://www.ncbi.nlm.nih.gov/pubmed/30528431" TargetMode="External" /><Relationship Type="http://schemas.openxmlformats.org/officeDocument/2006/relationships/hyperlink" Id="rId90" Target="https://www.ncbi.nlm.nih.gov/pubmed/31792176" TargetMode="External" /><Relationship Type="http://schemas.openxmlformats.org/officeDocument/2006/relationships/hyperlink" Id="rId76" Target="https://www.ncbi.nlm.nih.gov/pubmed/8993858" TargetMode="External" /><Relationship Type="http://schemas.openxmlformats.org/officeDocument/2006/relationships/hyperlink" Id="rId98" Target="https://www.openstreetmap.org" TargetMode="External" /><Relationship Type="http://schemas.openxmlformats.org/officeDocument/2006/relationships/hyperlink" Id="rId79" Target="https://www.who.int/news-room/fact-sheets/detail/plague" TargetMode="External" /></Relationships>
</file>

<file path=word/_rels/footnotes.xml.rels><?xml version="1.0" encoding="UTF-8"?>
<Relationships xmlns="http://schemas.openxmlformats.org/package/2006/relationships"><Relationship Type="http://schemas.openxmlformats.org/officeDocument/2006/relationships/hyperlink" Id="rId107" Target="http://www.nature.com/articles/nmeth.4285" TargetMode="External" /><Relationship Type="http://schemas.openxmlformats.org/officeDocument/2006/relationships/hyperlink" Id="rId88" Target="http://www.pnas.org/content/116/51/25546" TargetMode="External" /><Relationship Type="http://schemas.openxmlformats.org/officeDocument/2006/relationships/hyperlink" Id="rId85" Target="http://www.sciencedirect.com/science/article/pii/S1286457904002357" TargetMode="External" /><Relationship Type="http://schemas.openxmlformats.org/officeDocument/2006/relationships/hyperlink" Id="rId110" Target="https://academic.oup.com/mbe/article/37/5/1530/5721363" TargetMode="External" /><Relationship Type="http://schemas.openxmlformats.org/officeDocument/2006/relationships/hyperlink" Id="rId81" Target="https://apps.who.int/iris/bitstream/handle/10665/325481/WER9425-en-fr.pdf" TargetMode="External" /><Relationship Type="http://schemas.openxmlformats.org/officeDocument/2006/relationships/hyperlink" Id="rId68" Target="https://doi.org/10.1016/j.cell.2018.11.005" TargetMode="External" /><Relationship Type="http://schemas.openxmlformats.org/officeDocument/2006/relationships/hyperlink" Id="rId64" Target="https://doi.org/10.1016/j.cub.2017.10.025" TargetMode="External" /><Relationship Type="http://schemas.openxmlformats.org/officeDocument/2006/relationships/hyperlink" Id="rId86" Target="https://doi.org/10.1016/j.micinf.2004.08.002" TargetMode="External" /><Relationship Type="http://schemas.openxmlformats.org/officeDocument/2006/relationships/hyperlink" Id="rId108" Target="https://doi.org/10.1038/nmeth.4285" TargetMode="External" /><Relationship Type="http://schemas.openxmlformats.org/officeDocument/2006/relationships/hyperlink" Id="rId72" Target="https://doi.org/10.1038/s41598-017-13481-2" TargetMode="External" /><Relationship Type="http://schemas.openxmlformats.org/officeDocument/2006/relationships/hyperlink" Id="rId89" Target="https://doi.org/10.1073/pnas.1903797116" TargetMode="External" /><Relationship Type="http://schemas.openxmlformats.org/officeDocument/2006/relationships/hyperlink" Id="rId111" Target="https://doi.org/10.1093/molbev/msaa015" TargetMode="External" /><Relationship Type="http://schemas.openxmlformats.org/officeDocument/2006/relationships/hyperlink" Id="rId83" Target="https://doi.org/10.1162/002219503322645439" TargetMode="External" /><Relationship Type="http://schemas.openxmlformats.org/officeDocument/2006/relationships/hyperlink" Id="rId103" Target="https://doi.org/10.7717/peerj.10947" TargetMode="External" /><Relationship Type="http://schemas.openxmlformats.org/officeDocument/2006/relationships/hyperlink" Id="rId94" Target="https://github.com/geopy/geopy" TargetMode="External" /><Relationship Type="http://schemas.openxmlformats.org/officeDocument/2006/relationships/hyperlink" Id="rId26" Target="https://github.com/ktmeaton" TargetMode="External" /><Relationship Type="http://schemas.openxmlformats.org/officeDocument/2006/relationships/hyperlink" Id="rId92" Target="https://github.com/ktmeaton/NCBImeta" TargetMode="External" /><Relationship Type="http://schemas.openxmlformats.org/officeDocument/2006/relationships/hyperlink" Id="rId21" Target="https://github.com/ktmeaton/obsidian-public/tree/bd0cba1c" TargetMode="External" /><Relationship Type="http://schemas.openxmlformats.org/officeDocument/2006/relationships/hyperlink" Id="rId100" Target="https://github.com/ncbi/sra-tools" TargetMode="External" /><Relationship Type="http://schemas.openxmlformats.org/officeDocument/2006/relationships/hyperlink" Id="rId96" Target="https://github.com/osm-search/Nominatim" TargetMode="External" /><Relationship Type="http://schemas.openxmlformats.org/officeDocument/2006/relationships/hyperlink" Id="rId29" Target="https://github.com/sebastianduchene" TargetMode="External" /><Relationship Type="http://schemas.openxmlformats.org/officeDocument/2006/relationships/hyperlink" Id="rId105" Target="https://github.com/tseemann/snippy" TargetMode="External" /><Relationship Type="http://schemas.openxmlformats.org/officeDocument/2006/relationships/hyperlink" Id="rId24" Target="https://orcid.org/0000-0001-6862-7756" TargetMode="External" /><Relationship Type="http://schemas.openxmlformats.org/officeDocument/2006/relationships/hyperlink" Id="rId30" Target="https://orcid.org/0000-0002-0314-4160" TargetMode="External" /><Relationship Type="http://schemas.openxmlformats.org/officeDocument/2006/relationships/hyperlink" Id="rId28" Target="https://orcid.org/0000-0002-2863-0907" TargetMode="External" /><Relationship Type="http://schemas.openxmlformats.org/officeDocument/2006/relationships/hyperlink" Id="rId27" Target="https://orcid.org/0000-0002-8878-1758" TargetMode="External" /><Relationship Type="http://schemas.openxmlformats.org/officeDocument/2006/relationships/hyperlink" Id="rId102" Target="https://peerj.com/articles/10947" TargetMode="External" /><Relationship Type="http://schemas.openxmlformats.org/officeDocument/2006/relationships/hyperlink" Id="rId20" Target="https://rawcdn.githack.com/ktmeaton/obsidian-public/bd0cba1c/academic/Plague%20Phylodynamics%20and%20Phylogeography%20Paper.html" TargetMode="External" /><Relationship Type="http://schemas.openxmlformats.org/officeDocument/2006/relationships/hyperlink" Id="rId67" Target="https://www.cell.com/cell/abstract/S0092-8674(18)31464-8" TargetMode="External" /><Relationship Type="http://schemas.openxmlformats.org/officeDocument/2006/relationships/hyperlink" Id="rId77" Target="https://www.ncbi.nlm.nih.gov/pmc/articles/PMC172914" TargetMode="External" /><Relationship Type="http://schemas.openxmlformats.org/officeDocument/2006/relationships/hyperlink" Id="rId74" Target="https://www.ncbi.nlm.nih.gov/pmc/articles/PMC5636801" TargetMode="External" /><Relationship Type="http://schemas.openxmlformats.org/officeDocument/2006/relationships/hyperlink" Id="rId71" Target="https://www.ncbi.nlm.nih.gov/pmc/articles/PMC5636801/" TargetMode="External" /><Relationship Type="http://schemas.openxmlformats.org/officeDocument/2006/relationships/hyperlink" Id="rId73" Target="https://www.ncbi.nlm.nih.gov/pubmed/29021541" TargetMode="External" /><Relationship Type="http://schemas.openxmlformats.org/officeDocument/2006/relationships/hyperlink" Id="rId65" Target="https://www.ncbi.nlm.nih.gov/pubmed/29174893" TargetMode="External" /><Relationship Type="http://schemas.openxmlformats.org/officeDocument/2006/relationships/hyperlink" Id="rId69" Target="https://www.ncbi.nlm.nih.gov/pubmed/30528431" TargetMode="External" /><Relationship Type="http://schemas.openxmlformats.org/officeDocument/2006/relationships/hyperlink" Id="rId90" Target="https://www.ncbi.nlm.nih.gov/pubmed/31792176" TargetMode="External" /><Relationship Type="http://schemas.openxmlformats.org/officeDocument/2006/relationships/hyperlink" Id="rId76" Target="https://www.ncbi.nlm.nih.gov/pubmed/8993858" TargetMode="External" /><Relationship Type="http://schemas.openxmlformats.org/officeDocument/2006/relationships/hyperlink" Id="rId98" Target="https://www.openstreetmap.org" TargetMode="External" /><Relationship Type="http://schemas.openxmlformats.org/officeDocument/2006/relationships/hyperlink" Id="rId79" Target="https://www.who.int/news-room/fact-sheets/detail/plag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Plague Phylodynamics and Phylogeography</dc:title>
  <dc:creator/>
  <dc:language>en-US</dc:language>
  <cp:keywords/>
  <dcterms:created xsi:type="dcterms:W3CDTF">2021-05-18T17:47:53Z</dcterms:created>
  <dcterms:modified xsi:type="dcterms:W3CDTF">2021-05-18T17:47:53Z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