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70.png" ContentType="image/png"/>
  <Override PartName="/word/media/rId72.png" ContentType="image/png"/>
  <Override PartName="/word/media/rId68.png" ContentType="image/png"/>
  <Override PartName="/word/media/rId63.png" ContentType="image/png"/>
  <Override PartName="/word/media/rId49.png" ContentType="image/png"/>
  <Override PartName="/word/media/rId58.png" ContentType="image/png"/>
  <Override PartName="/word/media/rId52.png" ContentType="image/png"/>
  <Override PartName="/word/media/rId55.png" ContentType="image/png"/>
  <Override PartName="/word/media/rId36.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ktmeaton/obsidian-public@540f66f6</w:t>
        </w:r>
      </w:hyperlink>
      <w:r>
        <w:t xml:space="preserve"> </w:t>
      </w:r>
      <w:r>
        <w:t xml:space="preserve">on May 25,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introduction"/>
      <w:r>
        <w:t xml:space="preserve">Introduction</w:t>
      </w:r>
      <w:bookmarkEnd w:id="32"/>
    </w:p>
    <w:p>
      <w:pPr>
        <w:pStyle w:val="FirstParagraph"/>
      </w:pPr>
      <w:r>
        <w:t xml:space="preserve">Plague has an impressively long and expansive history as a human pathogen. The earliest evidence of the plague bacterium</w:t>
      </w:r>
      <w:r>
        <w:t xml:space="preserve"> </w:t>
      </w:r>
      <w:r>
        <w:rPr>
          <w:i/>
        </w:rPr>
        <w:t xml:space="preserve">Yersinia pestis</w:t>
      </w:r>
      <w:r>
        <w:t xml:space="preserve"> </w:t>
      </w:r>
      <w:r>
        <w:t xml:space="preserve">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diverse array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enteric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clone of its parent species 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r>
        <w:pict>
          <v:rect style="width:0;height:1.5pt" o:hralign="center" o:hrstd="t" o:hr="t"/>
        </w:pict>
      </w:r>
    </w:p>
    <w:p>
      <w:pPr>
        <w:pStyle w:val="FirstParagraph"/>
      </w:pPr>
      <w:r>
        <w:rPr>
          <w:b/>
        </w:rPr>
        <w:t xml:space="preserve">TO BE DONE</w:t>
      </w:r>
      <w:r>
        <w:t xml:space="preserve">:</w:t>
      </w:r>
    </w:p>
    <w:p>
      <w:pPr>
        <w:numPr>
          <w:ilvl w:val="0"/>
          <w:numId w:val="1003"/>
        </w:numPr>
        <w:pStyle w:val="Compact"/>
      </w:pPr>
      <w:r>
        <w:t xml:space="preserve">Introduce the topics phylodynamics and phylogeography and what is known so far.</w:t>
      </w:r>
    </w:p>
    <w:p>
      <w:pPr>
        <w:numPr>
          <w:ilvl w:val="0"/>
          <w:numId w:val="1003"/>
        </w:numPr>
        <w:pStyle w:val="Compact"/>
      </w:pPr>
      <w:r>
        <w:t xml:space="preserve">Introduce the major problem(s) and our objective(s).</w:t>
      </w:r>
    </w:p>
    <w:p>
      <w:pPr>
        <w:pStyle w:val="Heading3"/>
      </w:pPr>
      <w:bookmarkStart w:id="33" w:name="objectives"/>
      <w:r>
        <w:t xml:space="preserve">Objectives</w:t>
      </w:r>
      <w:bookmarkEnd w:id="33"/>
    </w:p>
    <w:p>
      <w:pPr>
        <w:numPr>
          <w:ilvl w:val="0"/>
          <w:numId w:val="1004"/>
        </w:numPr>
        <w:pStyle w:val="Compact"/>
      </w:pPr>
      <w:r>
        <w:t xml:space="preserve">Curate and critique publicly available Y. pestis genomes. Discuss how sampling bias drives our current understanding of plague.</w:t>
      </w:r>
    </w:p>
    <w:p>
      <w:pPr>
        <w:numPr>
          <w:ilvl w:val="0"/>
          <w:numId w:val="1004"/>
        </w:numPr>
        <w:pStyle w:val="Compact"/>
      </w:pPr>
      <w:r>
        <w:t xml:space="preserve">To propose a nuanced phylodynamics model.</w:t>
      </w:r>
    </w:p>
    <w:p>
      <w:pPr>
        <w:numPr>
          <w:ilvl w:val="0"/>
          <w:numId w:val="1004"/>
        </w:numPr>
        <w:pStyle w:val="Compact"/>
      </w:pPr>
      <w:r>
        <w:t xml:space="preserve">To critique interpretations drawn from phylogeographic approaches?</w:t>
      </w:r>
    </w:p>
    <w:p>
      <w:pPr>
        <w:pStyle w:val="Heading2"/>
      </w:pPr>
      <w:bookmarkStart w:id="34" w:name="materials-and-methods"/>
      <w:r>
        <w:t xml:space="preserve">Materials and Methods</w:t>
      </w:r>
      <w:bookmarkEnd w:id="34"/>
    </w:p>
    <w:p>
      <w:pPr>
        <w:pStyle w:val="Heading3"/>
      </w:pPr>
      <w:bookmarkStart w:id="35" w:name="workflow-overview"/>
      <w:r>
        <w:t xml:space="preserve">Workflow Overview</w:t>
      </w:r>
      <w:bookmarkEnd w:id="35"/>
    </w:p>
    <w:bookmarkStart w:id="0" w:name="fig:fig_workflow"/>
    <w:p>
      <w:pPr>
        <w:pStyle w:val="CaptionedFigure"/>
      </w:pPr>
      <w:bookmarkStart w:id="37"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6"/>
                    <a:stretch>
                      <a:fillRect/>
                    </a:stretch>
                  </pic:blipFill>
                  <pic:spPr bwMode="auto">
                    <a:xfrm>
                      <a:off x="0" y="0"/>
                      <a:ext cx="5943600" cy="6148491"/>
                    </a:xfrm>
                    <a:prstGeom prst="rect">
                      <a:avLst/>
                    </a:prstGeom>
                    <a:noFill/>
                    <a:ln w="9525">
                      <a:noFill/>
                      <a:headEnd/>
                      <a:tailEnd/>
                    </a:ln>
                  </pic:spPr>
                </pic:pic>
              </a:graphicData>
            </a:graphic>
          </wp:inline>
        </w:drawing>
      </w:r>
      <w:bookmarkEnd w:id="37"/>
    </w:p>
    <w:p>
      <w:pPr>
        <w:pStyle w:val="ImageCaption"/>
      </w:pPr>
      <w:r>
        <w:t xml:space="preserve">Figure 1: Computational methods workflow.</w:t>
      </w:r>
    </w:p>
    <w:bookmarkEnd w:id="0"/>
    <w:p>
      <w:pPr>
        <w:pStyle w:val="Heading3"/>
      </w:pPr>
      <w:bookmarkStart w:id="38" w:name="data-collection"/>
      <w:r>
        <w:t xml:space="preserve">Data Collection</w:t>
      </w:r>
      <w:bookmarkEnd w:id="38"/>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11</w:t>
        </w:r>
      </w:hyperlink>
      <w:r>
        <w:t xml:space="preserve">]</w:t>
      </w:r>
      <w:r>
        <w:t xml:space="preserve">. 1657 projects were identified and comprised three genomic types:</w:t>
      </w:r>
    </w:p>
    <w:p>
      <w:pPr>
        <w:numPr>
          <w:ilvl w:val="0"/>
          <w:numId w:val="1005"/>
        </w:numPr>
        <w:pStyle w:val="Compact"/>
      </w:pPr>
      <w:r>
        <w:t xml:space="preserve">586 modern assembled</w:t>
      </w:r>
    </w:p>
    <w:p>
      <w:pPr>
        <w:numPr>
          <w:ilvl w:val="0"/>
          <w:numId w:val="1005"/>
        </w:numPr>
        <w:pStyle w:val="Compact"/>
      </w:pPr>
      <w:r>
        <w:t xml:space="preserve">184 ancient unassembled</w:t>
      </w:r>
    </w:p>
    <w:p>
      <w:pPr>
        <w:numPr>
          <w:ilvl w:val="0"/>
          <w:numId w:val="1005"/>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12</w:t>
        </w:r>
      </w:hyperlink>
      <w:r>
        <w:t xml:space="preserve">,</w:t>
      </w:r>
      <w:hyperlink w:anchor="ref-M15a78x5">
        <w:r>
          <w:rPr>
            <w:rStyle w:val="Hyperlink"/>
          </w:rPr>
          <w:t xml:space="preserve">13</w:t>
        </w:r>
      </w:hyperlink>
      <w:r>
        <w:t xml:space="preserve">,</w:t>
      </w:r>
      <w:hyperlink w:anchor="ref-5rCiNisz">
        <w:r>
          <w:rPr>
            <w:rStyle w:val="Hyperlink"/>
          </w:rPr>
          <w:t xml:space="preserve">14</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39" w:name="alignment"/>
      <w:r>
        <w:t xml:space="preserve">Alignment</w:t>
      </w:r>
      <w:bookmarkEnd w:id="39"/>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15</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16</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17</w:t>
        </w:r>
      </w:hyperlink>
      <w:r>
        <w:t xml:space="preserve">]</w:t>
      </w:r>
      <w:r>
        <w:t xml:space="preserve">. Ancient genomes were removed if the number of sites covered at a minimum depth of 3X was less than 70% of the reference genome. It is a typical approach to relaxed coverage thresholds for ancient genomes relative to modern genomes (CITE). This threshold is commonly used, and aims to strike a balance between variant confidence and sample representation (CITE).</w:t>
      </w:r>
    </w:p>
    <w:p>
      <w:pPr>
        <w:pStyle w:val="BodyText"/>
      </w:pPr>
      <w:r>
        <w:t xml:space="preserve">A multiple sequence alignment was constructed using the Snippy Core module of the Snippy pipeline. The output alignment was filtered to only include chromosomal variants and to exclude sites that had more than 5% missing data.</w:t>
      </w:r>
    </w:p>
    <w:p>
      <w:pPr>
        <w:pStyle w:val="Heading3"/>
      </w:pPr>
      <w:bookmarkStart w:id="40" w:name="modified-datasets"/>
      <w:r>
        <w:t xml:space="preserve">Modified Datasets</w:t>
      </w:r>
      <w:bookmarkEnd w:id="40"/>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and subclade labeling was derived from the five-branch population structure accompanied by a biovar abbreviation (</w:t>
      </w:r>
      <w:r>
        <w:t xml:space="preserve">[</w:t>
      </w:r>
      <w:hyperlink w:anchor="ref-ONhNS9aO">
        <w:r>
          <w:rPr>
            <w:rStyle w:val="Hyperlink"/>
          </w:rPr>
          <w:t xml:space="preserve">18</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1" w:name="phylogenetics"/>
      <w:r>
        <w:t xml:space="preserve">Phylogenetics</w:t>
      </w:r>
      <w:bookmarkEnd w:id="41"/>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19</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20</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21</w:t>
        </w:r>
      </w:hyperlink>
      <w:r>
        <w:t xml:space="preserve">]</w:t>
      </w:r>
      <w:r>
        <w:t xml:space="preserve">.</w:t>
      </w:r>
    </w:p>
    <w:p>
      <w:pPr>
        <w:pStyle w:val="Heading3"/>
      </w:pPr>
      <w:bookmarkStart w:id="42" w:name="phylodynamics"/>
      <w:r>
        <w:t xml:space="preserve">Phylodynamics</w:t>
      </w:r>
      <w:bookmarkEnd w:id="42"/>
    </w:p>
    <w:p>
      <w:pPr>
        <w:pStyle w:val="Heading4"/>
      </w:pPr>
      <w:bookmarkStart w:id="43" w:name="temporal-signal"/>
      <w:r>
        <w:t xml:space="preserve">Temporal Signal</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4" w:name="rate-variation"/>
      <w:r>
        <w:t xml:space="preserve">Rate Variation</w:t>
      </w:r>
      <w:bookmarkEnd w:id="44"/>
    </w:p>
    <w:p>
      <w:pPr>
        <w:pStyle w:val="FirstParagraph"/>
      </w:pPr>
      <w:r>
        <w:t xml:space="preserve">A bayesian timetree was estimated using … as implemented in BEAST.</w:t>
      </w:r>
    </w:p>
    <w:p>
      <w:pPr>
        <w:pStyle w:val="Heading4"/>
      </w:pPr>
      <w:bookmarkStart w:id="45" w:name="time-tree"/>
      <w:r>
        <w:t xml:space="preserve">Time Tree</w:t>
      </w:r>
      <w:bookmarkEnd w:id="45"/>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22</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6" w:name="phylogeography"/>
      <w:r>
        <w:t xml:space="preserve">Phylogeography</w:t>
      </w:r>
      <w:bookmarkEnd w:id="46"/>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23</w:t>
        </w:r>
      </w:hyperlink>
      <w:r>
        <w:t xml:space="preserve">]</w:t>
      </w:r>
      <w:r>
        <w:t xml:space="preserve">.</w:t>
      </w:r>
    </w:p>
    <w:p>
      <w:pPr>
        <w:pStyle w:val="Heading2"/>
      </w:pPr>
      <w:bookmarkStart w:id="47" w:name="results"/>
      <w:r>
        <w:t xml:space="preserve">Results</w:t>
      </w:r>
      <w:bookmarkEnd w:id="47"/>
    </w:p>
    <w:p>
      <w:pPr>
        <w:pStyle w:val="Heading3"/>
      </w:pPr>
      <w:bookmarkStart w:id="48" w:name="phylogenetics-1"/>
      <w:r>
        <w:t xml:space="preserve">Phylogenetics</w:t>
      </w:r>
      <w:bookmarkEnd w:id="48"/>
    </w:p>
    <w:p>
      <w:pPr>
        <w:pStyle w:val="FirstParagraph"/>
      </w:pPr>
      <w:r>
        <w:t xml:space="preserve">The nomenclature used to described the phylogeny of</w:t>
      </w:r>
      <w:r>
        <w:t xml:space="preserve"> </w:t>
      </w:r>
      <w:r>
        <w:rPr>
          <w:i/>
        </w:rPr>
        <w:t xml:space="preserve">Y. pestis</w:t>
      </w:r>
      <w:r>
        <w:t xml:space="preserve"> </w:t>
      </w:r>
      <w:r>
        <w:t xml:space="preserve">has become increasingly complex recent years. This complexity arises because plague is categorized based not just on a few traits, but on a vast assortment of historical, ecological, biochemical, and molecular characteristics.</w:t>
      </w:r>
    </w:p>
    <w:p>
      <w:pPr>
        <w:pStyle w:val="BodyText"/>
      </w:pPr>
      <w:r>
        <w:t xml:space="preserve">Arguably the most important molecular event is the Big Bang Polytomy, from which arose four monophyletic clades: Branches 1-4 (Figure</w:t>
      </w:r>
      <w:r>
        <w:t xml:space="preserve"> </w:t>
      </w:r>
      <w:hyperlink w:anchor="fig:fig_divtree_all">
        <w:r>
          <w:rPr>
            <w:rStyle w:val="Hyperlink"/>
          </w:rPr>
          <w:t xml:space="preserve">2</w:t>
        </w:r>
      </w:hyperlink>
      <w:r>
        <w:t xml:space="preserve">). All lineages that diverged prior to this multifurcation are grouped into Branch 0. The associated branch number of a</w:t>
      </w:r>
      <w:r>
        <w:t xml:space="preserve"> </w:t>
      </w:r>
      <w:r>
        <w:rPr>
          <w:i/>
        </w:rPr>
        <w:t xml:space="preserve">Y. pestis</w:t>
      </w:r>
      <w:r>
        <w:t xml:space="preserve"> </w:t>
      </w:r>
      <w:r>
        <w:t xml:space="preserve">strain thus serves as a prefix before a clade designation.</w:t>
      </w:r>
    </w:p>
    <w:p>
      <w:pPr>
        <w:pStyle w:val="BodyText"/>
      </w:pPr>
      <w:r>
        <w:t xml:space="preserve">Each major branch is further subdivided into clades, which were historically defined into biovars according to their metabolic properties</w:t>
      </w:r>
      <w:r>
        <w:t xml:space="preserve"> </w:t>
      </w:r>
      <w:r>
        <w:t xml:space="preserve">[</w:t>
      </w:r>
      <w:r>
        <w:rPr>
          <w:b/>
        </w:rPr>
        <w:t xml:space="preserve">???</w:t>
      </w:r>
      <w:r>
        <w:t xml:space="preserve">]</w:t>
      </w:r>
      <w:r>
        <w:t xml:space="preserve">. Biovar</w:t>
      </w:r>
      <w:r>
        <w:t xml:space="preserve"> </w:t>
      </w:r>
      <w:r>
        <w:rPr>
          <w:i/>
        </w:rPr>
        <w:t xml:space="preserve">antiqua</w:t>
      </w:r>
      <w:r>
        <w:t xml:space="preserve"> </w:t>
      </w:r>
      <w:r>
        <w:t xml:space="preserve">(ANT) is the ancestral state prior to the Big Bang Polytomy and has been isolated from all major branches in clades 0.ANT, 1.ANT, 2.ANT, 3.ANT, and 4.ANT. Biovar</w:t>
      </w:r>
      <w:r>
        <w:t xml:space="preserve"> </w:t>
      </w:r>
      <w:r>
        <w:rPr>
          <w:i/>
        </w:rPr>
        <w:t xml:space="preserve">medievalis</w:t>
      </w:r>
      <w:r>
        <w:t xml:space="preserve"> </w:t>
      </w:r>
      <w:r>
        <w:t xml:space="preserve">(MED) emerged in Branch 2 as clade 2.MED and biovar</w:t>
      </w:r>
      <w:r>
        <w:t xml:space="preserve"> </w:t>
      </w:r>
      <w:r>
        <w:rPr>
          <w:i/>
        </w:rPr>
        <w:t xml:space="preserve">orientalis</w:t>
      </w:r>
      <w:r>
        <w:t xml:space="preserve"> </w:t>
      </w:r>
      <w:r>
        <w:t xml:space="preserve">(ORI) emerged in Branch 1 as clade 1.ORI. Note that biovar</w:t>
      </w:r>
      <w:r>
        <w:t xml:space="preserve"> </w:t>
      </w:r>
      <w:r>
        <w:rPr>
          <w:i/>
        </w:rPr>
        <w:t xml:space="preserve">medievalis</w:t>
      </w:r>
      <w:r>
        <w:t xml:space="preserve"> </w:t>
      </w:r>
      <w:r>
        <w:t xml:space="preserve">was once hypothesized to be associated with the Medieval Black Death, but is now known to be a distinct emergence.</w:t>
      </w:r>
    </w:p>
    <w:bookmarkStart w:id="0" w:name="fig:fig_divtree_all"/>
    <w:p>
      <w:pPr>
        <w:pStyle w:val="CaptionedFigure"/>
      </w:pPr>
      <w:bookmarkStart w:id="50" w:name="fig:fig_divtree_all"/>
      <w:r>
        <w:drawing>
          <wp:inline>
            <wp:extent cx="5943600" cy="4835267"/>
            <wp:effectExtent b="0" l="0" r="0" t="0"/>
            <wp:docPr descr="Figure 2: Y. pestis maximum-likelihood phylogeny." title="" id="1" name="Picture"/>
            <a:graphic>
              <a:graphicData uri="http://schemas.openxmlformats.org/drawingml/2006/picture">
                <pic:pic>
                  <pic:nvPicPr>
                    <pic:cNvPr descr="https://rawcdn.githack.com/ktmeaton/plague-phylogeography-projects/09bef0b/main/auspice/all/chromosome/full/filter5/divtree.png" id="0" name="Picture"/>
                    <pic:cNvPicPr>
                      <a:picLocks noChangeArrowheads="1" noChangeAspect="1"/>
                    </pic:cNvPicPr>
                  </pic:nvPicPr>
                  <pic:blipFill>
                    <a:blip r:embed="rId49"/>
                    <a:stretch>
                      <a:fillRect/>
                    </a:stretch>
                  </pic:blipFill>
                  <pic:spPr bwMode="auto">
                    <a:xfrm>
                      <a:off x="0" y="0"/>
                      <a:ext cx="5943600" cy="4835267"/>
                    </a:xfrm>
                    <a:prstGeom prst="rect">
                      <a:avLst/>
                    </a:prstGeom>
                    <a:noFill/>
                    <a:ln w="9525">
                      <a:noFill/>
                      <a:headEnd/>
                      <a:tailEnd/>
                    </a:ln>
                  </pic:spPr>
                </pic:pic>
              </a:graphicData>
            </a:graphic>
          </wp:inline>
        </w:drawing>
      </w:r>
      <w:bookmarkEnd w:id="50"/>
    </w:p>
    <w:p>
      <w:pPr>
        <w:pStyle w:val="ImageCaption"/>
      </w:pPr>
      <w:r>
        <w:t xml:space="preserve">Figure 2:</w:t>
      </w:r>
      <w:r>
        <w:t xml:space="preserve"> </w:t>
      </w:r>
      <w:r>
        <w:rPr>
          <w:i/>
        </w:rPr>
        <w:t xml:space="preserve">Y. pestis</w:t>
      </w:r>
      <w:r>
        <w:t xml:space="preserve"> </w:t>
      </w:r>
      <w:r>
        <w:t xml:space="preserve">maximum-likelihood phylogeny.</w:t>
      </w:r>
    </w:p>
    <w:bookmarkEnd w:id="0"/>
    <w:p>
      <w:pPr>
        <w:pStyle w:val="Heading4"/>
      </w:pPr>
      <w:bookmarkStart w:id="51" w:name="time"/>
      <w:r>
        <w:t xml:space="preserve">Time</w:t>
      </w:r>
      <w:bookmarkEnd w:id="51"/>
    </w:p>
    <w:p>
      <w:pPr>
        <w:pStyle w:val="BlockText"/>
      </w:pPr>
      <w:r>
        <w:t xml:space="preserve">How has the known diversity of plague changed over time?</w:t>
      </w:r>
    </w:p>
    <w:p>
      <w:pPr>
        <w:pStyle w:val="FirstParagraph"/>
      </w:pPr>
      <w:r>
        <w:t xml:space="preserve">In addition to the biovar nomenclature is the categorization of plague according to collection date. Historical strains of plague isolated prior to the 20th century cluster into three time periods: the Late Neolithic Bronze Age (LNBA), Roman Period/Late Antiquity(?), and the Medieval Period (</w:t>
      </w:r>
      <w:hyperlink w:anchor="fig:fig_timeline">
        <w:r>
          <w:rPr>
            <w:rStyle w:val="Hyperlink"/>
          </w:rPr>
          <w:t xml:space="preserve">3</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3" w:name="fig:fig_timeline"/>
      <w:r>
        <w:drawing>
          <wp:inline>
            <wp:extent cx="5026902" cy="1281997"/>
            <wp:effectExtent b="0" l="0" r="0" t="0"/>
            <wp:docPr descr="Figure 3: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2"/>
                    <a:stretch>
                      <a:fillRect/>
                    </a:stretch>
                  </pic:blipFill>
                  <pic:spPr bwMode="auto">
                    <a:xfrm>
                      <a:off x="0" y="0"/>
                      <a:ext cx="5026902" cy="1281997"/>
                    </a:xfrm>
                    <a:prstGeom prst="rect">
                      <a:avLst/>
                    </a:prstGeom>
                    <a:noFill/>
                    <a:ln w="9525">
                      <a:noFill/>
                      <a:headEnd/>
                      <a:tailEnd/>
                    </a:ln>
                  </pic:spPr>
                </pic:pic>
              </a:graphicData>
            </a:graphic>
          </wp:inline>
        </w:drawing>
      </w:r>
      <w:bookmarkEnd w:id="53"/>
    </w:p>
    <w:p>
      <w:pPr>
        <w:pStyle w:val="ImageCaption"/>
      </w:pPr>
      <w:r>
        <w:t xml:space="preserve">Figure 3: Temporal distribution of</w:t>
      </w:r>
      <w:r>
        <w:t xml:space="preserve"> </w:t>
      </w:r>
      <w:r>
        <w:rPr>
          <w:i/>
        </w:rPr>
        <w:t xml:space="preserve">Y. pestis</w:t>
      </w:r>
      <w:r>
        <w:t xml:space="preserve"> </w:t>
      </w:r>
      <w:r>
        <w:t xml:space="preserve">genomes.</w:t>
      </w:r>
    </w:p>
    <w:bookmarkEnd w:id="0"/>
    <w:p>
      <w:pPr>
        <w:pStyle w:val="Heading4"/>
      </w:pPr>
      <w:bookmarkStart w:id="54" w:name="geography"/>
      <w:r>
        <w:t xml:space="preserve">Geography</w:t>
      </w:r>
      <w:bookmarkEnd w:id="54"/>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4</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4</w:t>
        </w:r>
      </w:hyperlink>
      <w:r>
        <w:t xml:space="preserve"> </w:t>
      </w:r>
      <w:r>
        <w:t xml:space="preserve">.A) does not reflect the known distribution of modern plague</w:t>
      </w:r>
      <w:r>
        <w:t xml:space="preserve"> </w:t>
      </w:r>
      <w:r>
        <w:t xml:space="preserve">[</w:t>
      </w:r>
      <w:hyperlink w:anchor="ref-pjjiQi2H">
        <w:r>
          <w:rPr>
            <w:rStyle w:val="Hyperlink"/>
          </w:rPr>
          <w:t xml:space="preserve">24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25</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18</w:t>
        </w:r>
      </w:hyperlink>
      <w:r>
        <w:t xml:space="preserve">,</w:t>
      </w:r>
      <w:hyperlink w:anchor="ref-Y4CIJOZW">
        <w:r>
          <w:rPr>
            <w:rStyle w:val="Hyperlink"/>
          </w:rPr>
          <w:t xml:space="preserve">26</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56" w:name="fig:fig_map_ibd_timeline"/>
      <w:r>
        <w:drawing>
          <wp:inline>
            <wp:extent cx="5943600" cy="4895663"/>
            <wp:effectExtent b="0" l="0" r="0" t="0"/>
            <wp:docPr descr="Figure 4: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55"/>
                    <a:stretch>
                      <a:fillRect/>
                    </a:stretch>
                  </pic:blipFill>
                  <pic:spPr bwMode="auto">
                    <a:xfrm>
                      <a:off x="0" y="0"/>
                      <a:ext cx="5943600" cy="4895663"/>
                    </a:xfrm>
                    <a:prstGeom prst="rect">
                      <a:avLst/>
                    </a:prstGeom>
                    <a:noFill/>
                    <a:ln w="9525">
                      <a:noFill/>
                      <a:headEnd/>
                      <a:tailEnd/>
                    </a:ln>
                  </pic:spPr>
                </pic:pic>
              </a:graphicData>
            </a:graphic>
          </wp:inline>
        </w:drawing>
      </w:r>
      <w:bookmarkEnd w:id="56"/>
    </w:p>
    <w:p>
      <w:pPr>
        <w:pStyle w:val="ImageCaption"/>
      </w:pPr>
      <w:r>
        <w:t xml:space="preserve">Figure 4: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4"/>
      </w:pPr>
      <w:bookmarkStart w:id="57" w:name="hosts"/>
      <w:r>
        <w:t xml:space="preserve">Hosts</w:t>
      </w:r>
      <w:bookmarkEnd w:id="57"/>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59" w:name="fig:fig_divtree_map_host"/>
      <w:r>
        <w:drawing>
          <wp:inline>
            <wp:extent cx="5943600" cy="2213829"/>
            <wp:effectExtent b="0" l="0" r="0" t="0"/>
            <wp:docPr descr="Figure 5: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58"/>
                    <a:stretch>
                      <a:fillRect/>
                    </a:stretch>
                  </pic:blipFill>
                  <pic:spPr bwMode="auto">
                    <a:xfrm>
                      <a:off x="0" y="0"/>
                      <a:ext cx="5943600" cy="2213829"/>
                    </a:xfrm>
                    <a:prstGeom prst="rect">
                      <a:avLst/>
                    </a:prstGeom>
                    <a:noFill/>
                    <a:ln w="9525">
                      <a:noFill/>
                      <a:headEnd/>
                      <a:tailEnd/>
                    </a:ln>
                  </pic:spPr>
                </pic:pic>
              </a:graphicData>
            </a:graphic>
          </wp:inline>
        </w:drawing>
      </w:r>
      <w:bookmarkEnd w:id="59"/>
    </w:p>
    <w:p>
      <w:pPr>
        <w:pStyle w:val="ImageCaption"/>
      </w:pPr>
      <w:r>
        <w:t xml:space="preserve">Figure 5: Distribution of human vs. non-human samples.</w:t>
      </w:r>
    </w:p>
    <w:bookmarkEnd w:id="0"/>
    <w:p>
      <w:pPr>
        <w:pStyle w:val="Heading4"/>
      </w:pPr>
      <w:bookmarkStart w:id="60" w:name="pandemics"/>
      <w:r>
        <w:t xml:space="preserve">Pandemics</w:t>
      </w:r>
      <w:bookmarkEnd w:id="60"/>
    </w:p>
    <w:p>
      <w:pPr>
        <w:pStyle w:val="FirstParagraph"/>
      </w:pPr>
      <w:r>
        <w:t xml:space="preserve">Finally,</w:t>
      </w:r>
      <w:r>
        <w:t xml:space="preserve"> </w:t>
      </w:r>
      <w:r>
        <w:rPr>
          <w:i/>
        </w:rPr>
        <w:t xml:space="preserve">Y. pestis</w:t>
      </w:r>
      <w:r>
        <w:t xml:space="preserve"> </w:t>
      </w:r>
      <w:r>
        <w:t xml:space="preserve">can be structured according to historically documented human pandemics. Ancient isolates of</w:t>
      </w:r>
      <w:r>
        <w:t xml:space="preserve"> </w:t>
      </w:r>
      <w:r>
        <w:rPr>
          <w:i/>
        </w:rPr>
        <w:t xml:space="preserve">Y. pestis</w:t>
      </w:r>
      <w:r>
        <w:t xml:space="preserve"> </w:t>
      </w:r>
      <w:r>
        <w:t xml:space="preserve">that date to the Late Antiquity are hypothesized to be associated with First Pandemic which includes the Plague of Justinian. Medieval isolates have been linked to the Second Pandemic and the Black Death based on spatiotemporal overlap.</w:t>
      </w:r>
    </w:p>
    <w:p>
      <w:pPr>
        <w:pStyle w:val="BodyText"/>
      </w:pPr>
      <w:r>
        <w:t xml:space="preserve">While the three-pandemic nomenclature is undeniably useful in discourse, it does pose several problems…</w:t>
      </w:r>
    </w:p>
    <w:p>
      <w:pPr>
        <w:pStyle w:val="BlockText"/>
      </w:pPr>
      <w:r>
        <w:t xml:space="preserve">Are the Second and Third Pandemics genetically separate? If so, what does this mean for clade 1.ANT? Is it Pandemic 2.5?</w:t>
      </w:r>
      <w:r>
        <w:t xml:space="preserve"> </w:t>
      </w:r>
      <w:r>
        <w:t xml:space="preserve">Why are there no pandemics attribute to branch 2? The two clades within branch 2 stretch across Asia, from the Caucasus to Eastern China to South Asia.</w:t>
      </w:r>
    </w:p>
    <w:p>
      <w:pPr>
        <w:pStyle w:val="Heading3"/>
      </w:pPr>
      <w:bookmarkStart w:id="61" w:name="phylodynamics-1"/>
      <w:r>
        <w:t xml:space="preserve">Phylodynamics</w:t>
      </w:r>
      <w:bookmarkEnd w:id="61"/>
    </w:p>
    <w:p>
      <w:pPr>
        <w:pStyle w:val="Heading4"/>
      </w:pPr>
      <w:bookmarkStart w:id="62" w:name="rate-variation-1"/>
      <w:r>
        <w:t xml:space="preserve">Rate Variation</w:t>
      </w:r>
      <w:bookmarkEnd w:id="62"/>
    </w:p>
    <w:p>
      <w:pPr>
        <w:numPr>
          <w:ilvl w:val="0"/>
          <w:numId w:val="1006"/>
        </w:numPr>
        <w:pStyle w:val="Compact"/>
      </w:pPr>
      <w:r>
        <w:rPr>
          <w:i/>
        </w:rPr>
        <w:t xml:space="preserve">Y. pestis</w:t>
      </w:r>
      <w:r>
        <w:t xml:space="preserve"> </w:t>
      </w:r>
      <w:r>
        <w:t xml:space="preserve">has extreme rate variation.</w:t>
      </w:r>
    </w:p>
    <w:p>
      <w:pPr>
        <w:numPr>
          <w:ilvl w:val="0"/>
          <w:numId w:val="1006"/>
        </w:numPr>
        <w:pStyle w:val="Compact"/>
      </w:pPr>
      <w:r>
        <w:t xml:space="preserve">A Root to Tip Regression on collection date confirms this, as the Coefficient of Determination (R</w:t>
      </w:r>
      <w:r>
        <w:t xml:space="preserve">2</w:t>
      </w:r>
      <w:r>
        <w:t xml:space="preserve"> </w:t>
      </w:r>
      <w:r>
        <w:t xml:space="preserve">) is 0.09, revealing a poor fit to a simple linear model (Table</w:t>
      </w:r>
      <w:r>
        <w:t xml:space="preserve"> </w:t>
      </w:r>
      <w:hyperlink w:anchor="tbl:table_temporal_signal">
        <w:r>
          <w:rPr>
            <w:rStyle w:val="Hyperlink"/>
          </w:rPr>
          <w:t xml:space="preserve">1</w:t>
        </w:r>
      </w:hyperlink>
      <w:r>
        <w:t xml:space="preserve">).</w:t>
      </w:r>
    </w:p>
    <w:p>
      <w:pPr>
        <w:numPr>
          <w:ilvl w:val="0"/>
          <w:numId w:val="1006"/>
        </w:numPr>
        <w:pStyle w:val="Compact"/>
      </w:pPr>
      <w:r>
        <w:t xml:space="preserve">To some extent, this variation can be explained by examining the clades in isolation (Figure</w:t>
      </w:r>
      <w:r>
        <w:t xml:space="preserve"> </w:t>
      </w:r>
      <w:hyperlink w:anchor="fig:fig_rate_boxplot_all">
        <w:r>
          <w:rPr>
            <w:rStyle w:val="Hyperlink"/>
          </w:rPr>
          <w:t xml:space="preserve">6</w:t>
        </w:r>
      </w:hyperlink>
      <w:r>
        <w:t xml:space="preserve">).</w:t>
      </w:r>
    </w:p>
    <w:p>
      <w:pPr>
        <w:numPr>
          <w:ilvl w:val="0"/>
          <w:numId w:val="1006"/>
        </w:numPr>
        <w:pStyle w:val="Compact"/>
      </w:pPr>
      <w:r>
        <w:t xml:space="preserve">Finding an appropriate evolutionary model is key to estimating historic events, like clade emergence (Figure ??).</w:t>
      </w:r>
    </w:p>
    <w:bookmarkStart w:id="0" w:name="tbl:table_temporal_signal"/>
    <w:p>
      <w:pPr>
        <w:pStyle w:val="TableCaption"/>
      </w:pPr>
      <w:r>
        <w:t xml:space="preserve">Table 1: Temporal signal statistics by clade based on a root-to-tip linear regression.</w:t>
      </w:r>
      <w:r>
        <w:t xml:space="preserve"> </w:t>
      </w:r>
    </w:p>
    <w:tbl>
      <w:tblPr>
        <w:tblStyle w:val="Table"/>
        <w:tblW w:type="pct" w:w="0.0"/>
        <w:tblLook w:firstRow="1"/>
        <w:tblCaption w:val="Table 1: Temporal signal statistics by clade based on a root-to-tip linear regression. "/>
      </w:tblPr>
      <w:tblGrid/>
      <w:tr>
        <w:trPr>
          <w:cnfStyle w:firstRow="1"/>
        </w:trPr>
        <w:tc>
          <w:tcPr>
            <w:tcBorders>
              <w:bottom w:val="single"/>
            </w:tcBorders>
            <w:vAlign w:val="bottom"/>
          </w:tcPr>
          <w:p>
            <w:pPr>
              <w:pStyle w:val="Compact"/>
              <w:jc w:val="left"/>
            </w:pPr>
            <w:r>
              <w:t xml:space="preserve">Branch</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Origin</w:t>
            </w:r>
          </w:p>
        </w:tc>
        <w:tc>
          <w:tcPr>
            <w:tcBorders>
              <w:bottom w:val="single"/>
            </w:tcBorders>
            <w:vAlign w:val="bottom"/>
          </w:tcPr>
          <w:p>
            <w:pPr>
              <w:pStyle w:val="Compact"/>
              <w:jc w:val="left"/>
            </w:pPr>
            <w:r>
              <w:t xml:space="preserve">RTT R</w:t>
            </w:r>
            <w:r>
              <w:t xml:space="preserve">2</w:t>
            </w:r>
          </w:p>
        </w:tc>
        <w:tc>
          <w:tcPr>
            <w:tcBorders>
              <w:bottom w:val="single"/>
            </w:tcBorders>
            <w:vAlign w:val="bottom"/>
          </w:tcPr>
          <w:p>
            <w:pPr>
              <w:pStyle w:val="Compact"/>
              <w:jc w:val="left"/>
            </w:pPr>
            <w:r>
              <w:t xml:space="preserve">RTT p-value</w:t>
            </w:r>
          </w:p>
        </w:tc>
        <w:tc>
          <w:tcPr>
            <w:tcBorders>
              <w:bottom w:val="single"/>
            </w:tcBorders>
            <w:vAlign w:val="bottom"/>
          </w:tcPr>
          <w:p>
            <w:pPr>
              <w:pStyle w:val="Compact"/>
              <w:jc w:val="left"/>
            </w:pPr>
            <w:r>
              <w:t xml:space="preserve">BETS Bayes Factor</w:t>
            </w:r>
          </w:p>
        </w:tc>
      </w:tr>
      <w:tr>
        <w:tc>
          <w:p>
            <w:pPr>
              <w:pStyle w:val="Compact"/>
              <w:jc w:val="left"/>
            </w:pPr>
            <w:r>
              <w:t xml:space="preserve">All</w:t>
            </w:r>
          </w:p>
        </w:tc>
        <w:tc>
          <w:p>
            <w:pPr>
              <w:pStyle w:val="Compact"/>
              <w:jc w:val="left"/>
            </w:pPr>
            <w:r>
              <w:t xml:space="preserve">All</w:t>
            </w:r>
          </w:p>
        </w:tc>
        <w:tc>
          <w:p>
            <w:pPr>
              <w:pStyle w:val="Compact"/>
              <w:jc w:val="left"/>
            </w:pPr>
            <w:r>
              <w:t xml:space="preserve">Ancient, Modern</w:t>
            </w:r>
          </w:p>
        </w:tc>
        <w:tc>
          <w:p>
            <w:pPr>
              <w:pStyle w:val="Compact"/>
              <w:jc w:val="left"/>
            </w:pPr>
            <w:r>
              <w:t xml:space="preserve">0.09</w:t>
            </w:r>
          </w:p>
        </w:tc>
        <w:tc>
          <w:p>
            <w:pPr>
              <w:pStyle w:val="Compact"/>
              <w:jc w:val="left"/>
            </w:pPr>
            <w:r>
              <w:t xml:space="preserve">3.81E-14*</w:t>
            </w:r>
          </w:p>
        </w:tc>
        <w:tc>
          <w:p/>
        </w:tc>
      </w:tr>
      <w:tr>
        <w:tc>
          <w:p>
            <w:pPr>
              <w:pStyle w:val="Compact"/>
              <w:jc w:val="left"/>
            </w:pPr>
            <w:r>
              <w:t xml:space="preserve">0</w:t>
            </w:r>
          </w:p>
        </w:tc>
        <w:tc>
          <w:p>
            <w:pPr>
              <w:pStyle w:val="Compact"/>
              <w:jc w:val="left"/>
            </w:pPr>
            <w:r>
              <w:t xml:space="preserve">0.PRE</w:t>
            </w:r>
          </w:p>
        </w:tc>
        <w:tc>
          <w:p>
            <w:pPr>
              <w:pStyle w:val="Compact"/>
              <w:jc w:val="left"/>
            </w:pPr>
            <w:r>
              <w:t xml:space="preserve">Ancient</w:t>
            </w:r>
          </w:p>
        </w:tc>
        <w:tc>
          <w:p>
            <w:pPr>
              <w:pStyle w:val="Compact"/>
              <w:jc w:val="left"/>
            </w:pPr>
            <w:r>
              <w:t xml:space="preserve">0.91</w:t>
            </w:r>
          </w:p>
        </w:tc>
        <w:tc>
          <w:p>
            <w:pPr>
              <w:pStyle w:val="Compact"/>
              <w:jc w:val="left"/>
            </w:pPr>
            <w:r>
              <w:t xml:space="preserve">1.53E-04*</w:t>
            </w:r>
          </w:p>
        </w:tc>
        <w:tc>
          <w:p/>
        </w:tc>
      </w:tr>
      <w:tr>
        <w:tc>
          <w:p>
            <w:pPr>
              <w:pStyle w:val="Compact"/>
              <w:jc w:val="left"/>
            </w:pPr>
            <w:r>
              <w:t xml:space="preserve">0</w:t>
            </w:r>
          </w:p>
        </w:tc>
        <w:tc>
          <w:p>
            <w:pPr>
              <w:pStyle w:val="Compact"/>
              <w:jc w:val="left"/>
            </w:pPr>
            <w:r>
              <w:t xml:space="preserve">0.PE</w:t>
            </w:r>
          </w:p>
        </w:tc>
        <w:tc>
          <w:p>
            <w:pPr>
              <w:pStyle w:val="Compact"/>
              <w:jc w:val="left"/>
            </w:pPr>
            <w:r>
              <w:t xml:space="preserve">Modern</w:t>
            </w:r>
          </w:p>
        </w:tc>
        <w:tc>
          <w:p>
            <w:pPr>
              <w:pStyle w:val="Compact"/>
              <w:jc w:val="left"/>
            </w:pPr>
            <w:r>
              <w:t xml:space="preserve">0.01</w:t>
            </w:r>
          </w:p>
        </w:tc>
        <w:tc>
          <w:p>
            <w:pPr>
              <w:pStyle w:val="Compact"/>
              <w:jc w:val="left"/>
            </w:pPr>
            <w:r>
              <w:t xml:space="preserve">2.25E-01</w:t>
            </w:r>
          </w:p>
        </w:tc>
        <w:tc>
          <w:p/>
        </w:tc>
      </w:tr>
      <w:tr>
        <w:tc>
          <w:p>
            <w:pPr>
              <w:pStyle w:val="Compact"/>
              <w:jc w:val="left"/>
            </w:pPr>
            <w:r>
              <w:t xml:space="preserve">0</w:t>
            </w:r>
          </w:p>
        </w:tc>
        <w:tc>
          <w:p>
            <w:pPr>
              <w:pStyle w:val="Compact"/>
              <w:jc w:val="left"/>
            </w:pPr>
            <w:r>
              <w:t xml:space="preserve">0.ANT4</w:t>
            </w:r>
          </w:p>
        </w:tc>
        <w:tc>
          <w:p>
            <w:pPr>
              <w:pStyle w:val="Compact"/>
              <w:jc w:val="left"/>
            </w:pPr>
            <w:r>
              <w:t xml:space="preserve">Ancient</w:t>
            </w:r>
          </w:p>
        </w:tc>
        <w:tc>
          <w:p>
            <w:pPr>
              <w:pStyle w:val="Compact"/>
              <w:jc w:val="left"/>
            </w:pPr>
            <w:r>
              <w:t xml:space="preserve">0.66</w:t>
            </w:r>
          </w:p>
        </w:tc>
        <w:tc>
          <w:p>
            <w:pPr>
              <w:pStyle w:val="Compact"/>
              <w:jc w:val="left"/>
            </w:pPr>
            <w:r>
              <w:t xml:space="preserve">7.84E-04*</w:t>
            </w:r>
          </w:p>
        </w:tc>
        <w:tc>
          <w:p/>
        </w:tc>
      </w:tr>
      <w:tr>
        <w:tc>
          <w:p>
            <w:pPr>
              <w:pStyle w:val="Compact"/>
              <w:jc w:val="left"/>
            </w:pPr>
            <w:r>
              <w:t xml:space="preserve">0</w:t>
            </w:r>
          </w:p>
        </w:tc>
        <w:tc>
          <w:p>
            <w:pPr>
              <w:pStyle w:val="Compact"/>
              <w:jc w:val="left"/>
            </w:pPr>
            <w:r>
              <w:t xml:space="preserve">0.ANT</w:t>
            </w:r>
          </w:p>
        </w:tc>
        <w:tc>
          <w:p>
            <w:pPr>
              <w:pStyle w:val="Compact"/>
              <w:jc w:val="left"/>
            </w:pPr>
            <w:r>
              <w:t xml:space="preserve">Modern</w:t>
            </w:r>
          </w:p>
        </w:tc>
        <w:tc>
          <w:p>
            <w:pPr>
              <w:pStyle w:val="Compact"/>
              <w:jc w:val="left"/>
            </w:pPr>
            <w:r>
              <w:t xml:space="preserve">-0.01</w:t>
            </w:r>
          </w:p>
        </w:tc>
        <w:tc>
          <w:p>
            <w:pPr>
              <w:pStyle w:val="Compact"/>
              <w:jc w:val="left"/>
            </w:pPr>
            <w:r>
              <w:t xml:space="preserve">7.35E-01</w:t>
            </w:r>
          </w:p>
        </w:tc>
        <w:tc>
          <w:p/>
        </w:tc>
      </w:tr>
      <w:tr>
        <w:tc>
          <w:p>
            <w:pPr>
              <w:pStyle w:val="Compact"/>
              <w:jc w:val="left"/>
            </w:pPr>
            <w:r>
              <w:t xml:space="preserve">1</w:t>
            </w:r>
          </w:p>
        </w:tc>
        <w:tc>
          <w:p>
            <w:pPr>
              <w:pStyle w:val="Compact"/>
              <w:jc w:val="left"/>
            </w:pPr>
            <w:r>
              <w:t xml:space="preserve">1.ANT</w:t>
            </w:r>
          </w:p>
        </w:tc>
        <w:tc>
          <w:p>
            <w:pPr>
              <w:pStyle w:val="Compact"/>
              <w:jc w:val="left"/>
            </w:pPr>
            <w:r>
              <w:t xml:space="preserve">Modern</w:t>
            </w:r>
          </w:p>
        </w:tc>
        <w:tc>
          <w:p>
            <w:pPr>
              <w:pStyle w:val="Compact"/>
              <w:jc w:val="left"/>
            </w:pPr>
            <w:r>
              <w:t xml:space="preserve">0.45</w:t>
            </w:r>
          </w:p>
        </w:tc>
        <w:tc>
          <w:p>
            <w:pPr>
              <w:pStyle w:val="Compact"/>
              <w:jc w:val="left"/>
            </w:pPr>
            <w:r>
              <w:t xml:space="preserve">2.03E-01</w:t>
            </w:r>
          </w:p>
        </w:tc>
        <w:tc>
          <w:p/>
        </w:tc>
      </w:tr>
      <w:tr>
        <w:tc>
          <w:p>
            <w:pPr>
              <w:pStyle w:val="Compact"/>
              <w:jc w:val="left"/>
            </w:pPr>
            <w:r>
              <w:t xml:space="preserve">1</w:t>
            </w:r>
          </w:p>
        </w:tc>
        <w:tc>
          <w:p>
            <w:pPr>
              <w:pStyle w:val="Compact"/>
              <w:jc w:val="left"/>
            </w:pPr>
            <w:r>
              <w:t xml:space="preserve">1.IN</w:t>
            </w:r>
          </w:p>
        </w:tc>
        <w:tc>
          <w:p>
            <w:pPr>
              <w:pStyle w:val="Compact"/>
              <w:jc w:val="left"/>
            </w:pPr>
            <w:r>
              <w:t xml:space="preserve">Modern</w:t>
            </w:r>
          </w:p>
        </w:tc>
        <w:tc>
          <w:p>
            <w:pPr>
              <w:pStyle w:val="Compact"/>
              <w:jc w:val="left"/>
            </w:pPr>
            <w:r>
              <w:t xml:space="preserve">0.0</w:t>
            </w:r>
          </w:p>
        </w:tc>
        <w:tc>
          <w:p>
            <w:pPr>
              <w:pStyle w:val="Compact"/>
              <w:jc w:val="left"/>
            </w:pPr>
            <w:r>
              <w:t xml:space="preserve">3.24E-01</w:t>
            </w:r>
          </w:p>
        </w:tc>
        <w:tc>
          <w:p/>
        </w:tc>
      </w:tr>
      <w:tr>
        <w:tc>
          <w:p>
            <w:pPr>
              <w:pStyle w:val="Compact"/>
              <w:jc w:val="left"/>
            </w:pPr>
            <w:r>
              <w:t xml:space="preserve">1</w:t>
            </w:r>
          </w:p>
        </w:tc>
        <w:tc>
          <w:p>
            <w:pPr>
              <w:pStyle w:val="Compact"/>
              <w:jc w:val="left"/>
            </w:pPr>
            <w:r>
              <w:t xml:space="preserve">1.ORI</w:t>
            </w:r>
          </w:p>
        </w:tc>
        <w:tc>
          <w:p>
            <w:pPr>
              <w:pStyle w:val="Compact"/>
              <w:jc w:val="left"/>
            </w:pPr>
            <w:r>
              <w:t xml:space="preserve">Modern</w:t>
            </w:r>
          </w:p>
        </w:tc>
        <w:tc>
          <w:p>
            <w:pPr>
              <w:pStyle w:val="Compact"/>
              <w:jc w:val="left"/>
            </w:pPr>
            <w:r>
              <w:t xml:space="preserve">0.04</w:t>
            </w:r>
          </w:p>
        </w:tc>
        <w:tc>
          <w:p>
            <w:pPr>
              <w:pStyle w:val="Compact"/>
              <w:jc w:val="left"/>
            </w:pPr>
            <w:r>
              <w:t xml:space="preserve">1.32E-02*</w:t>
            </w:r>
          </w:p>
        </w:tc>
        <w:tc>
          <w:p/>
        </w:tc>
      </w:tr>
      <w:tr>
        <w:tc>
          <w:p>
            <w:pPr>
              <w:pStyle w:val="Compact"/>
              <w:jc w:val="left"/>
            </w:pPr>
            <w:r>
              <w:t xml:space="preserve">1</w:t>
            </w:r>
          </w:p>
        </w:tc>
        <w:tc>
          <w:p>
            <w:pPr>
              <w:pStyle w:val="Compact"/>
              <w:jc w:val="left"/>
            </w:pPr>
            <w:r>
              <w:t xml:space="preserve">1.PRE</w:t>
            </w:r>
          </w:p>
        </w:tc>
        <w:tc>
          <w:p>
            <w:pPr>
              <w:pStyle w:val="Compact"/>
              <w:jc w:val="left"/>
            </w:pPr>
            <w:r>
              <w:t xml:space="preserve">Ancient</w:t>
            </w:r>
          </w:p>
        </w:tc>
        <w:tc>
          <w:p>
            <w:pPr>
              <w:pStyle w:val="Compact"/>
              <w:jc w:val="left"/>
            </w:pPr>
            <w:r>
              <w:t xml:space="preserve">0.76</w:t>
            </w:r>
          </w:p>
        </w:tc>
        <w:tc>
          <w:p>
            <w:pPr>
              <w:pStyle w:val="Compact"/>
              <w:jc w:val="left"/>
            </w:pPr>
            <w:r>
              <w:t xml:space="preserve">1.68E-13*</w:t>
            </w:r>
          </w:p>
        </w:tc>
        <w:tc>
          <w:p/>
        </w:tc>
      </w:tr>
      <w:tr>
        <w:tc>
          <w:p>
            <w:pPr>
              <w:pStyle w:val="Compact"/>
              <w:jc w:val="left"/>
            </w:pPr>
            <w:r>
              <w:t xml:space="preserve">2</w:t>
            </w:r>
          </w:p>
        </w:tc>
        <w:tc>
          <w:p>
            <w:pPr>
              <w:pStyle w:val="Compact"/>
              <w:jc w:val="left"/>
            </w:pPr>
            <w:r>
              <w:t xml:space="preserve">2.ANT</w:t>
            </w:r>
          </w:p>
        </w:tc>
        <w:tc>
          <w:p>
            <w:pPr>
              <w:pStyle w:val="Compact"/>
              <w:jc w:val="left"/>
            </w:pPr>
            <w:r>
              <w:t xml:space="preserve">Modern</w:t>
            </w:r>
          </w:p>
        </w:tc>
        <w:tc>
          <w:p>
            <w:pPr>
              <w:pStyle w:val="Compact"/>
              <w:jc w:val="left"/>
            </w:pPr>
            <w:r>
              <w:t xml:space="preserve">0.05</w:t>
            </w:r>
          </w:p>
        </w:tc>
        <w:tc>
          <w:p>
            <w:pPr>
              <w:pStyle w:val="Compact"/>
              <w:jc w:val="left"/>
            </w:pPr>
            <w:r>
              <w:t xml:space="preserve">5.96E-02</w:t>
            </w:r>
          </w:p>
        </w:tc>
        <w:tc>
          <w:p/>
        </w:tc>
      </w:tr>
      <w:tr>
        <w:tc>
          <w:p>
            <w:pPr>
              <w:pStyle w:val="Compact"/>
              <w:jc w:val="left"/>
            </w:pPr>
            <w:r>
              <w:t xml:space="preserve">2</w:t>
            </w:r>
          </w:p>
        </w:tc>
        <w:tc>
          <w:p>
            <w:pPr>
              <w:pStyle w:val="Compact"/>
              <w:jc w:val="left"/>
            </w:pPr>
            <w:r>
              <w:t xml:space="preserve">2.MED</w:t>
            </w:r>
          </w:p>
        </w:tc>
        <w:tc>
          <w:p>
            <w:pPr>
              <w:pStyle w:val="Compact"/>
              <w:jc w:val="left"/>
            </w:pPr>
            <w:r>
              <w:t xml:space="preserve">Modern</w:t>
            </w:r>
          </w:p>
        </w:tc>
        <w:tc>
          <w:p>
            <w:pPr>
              <w:pStyle w:val="Compact"/>
              <w:jc w:val="left"/>
            </w:pPr>
            <w:r>
              <w:t xml:space="preserve">0.01</w:t>
            </w:r>
          </w:p>
        </w:tc>
        <w:tc>
          <w:p>
            <w:pPr>
              <w:pStyle w:val="Compact"/>
              <w:jc w:val="left"/>
            </w:pPr>
            <w:r>
              <w:t xml:space="preserve">1.86E-01</w:t>
            </w:r>
          </w:p>
        </w:tc>
        <w:tc>
          <w:p/>
        </w:tc>
      </w:tr>
      <w:tr>
        <w:tc>
          <w:p>
            <w:pPr>
              <w:pStyle w:val="Compact"/>
              <w:jc w:val="left"/>
            </w:pPr>
            <w:r>
              <w:t xml:space="preserve">3</w:t>
            </w:r>
          </w:p>
        </w:tc>
        <w:tc>
          <w:p>
            <w:pPr>
              <w:pStyle w:val="Compact"/>
              <w:jc w:val="left"/>
            </w:pPr>
            <w:r>
              <w:t xml:space="preserve">3.ANT</w:t>
            </w:r>
          </w:p>
        </w:tc>
        <w:tc>
          <w:p>
            <w:pPr>
              <w:pStyle w:val="Compact"/>
              <w:jc w:val="left"/>
            </w:pPr>
            <w:r>
              <w:t xml:space="preserve">Modern</w:t>
            </w:r>
          </w:p>
        </w:tc>
        <w:tc>
          <w:p>
            <w:pPr>
              <w:pStyle w:val="Compact"/>
              <w:jc w:val="left"/>
            </w:pPr>
            <w:r>
              <w:t xml:space="preserve">-0.04</w:t>
            </w:r>
          </w:p>
        </w:tc>
        <w:tc>
          <w:p>
            <w:pPr>
              <w:pStyle w:val="Compact"/>
              <w:jc w:val="left"/>
            </w:pPr>
            <w:r>
              <w:t xml:space="preserve">4.39E-01</w:t>
            </w:r>
          </w:p>
        </w:tc>
        <w:tc>
          <w:p/>
        </w:tc>
      </w:tr>
      <w:tr>
        <w:tc>
          <w:p>
            <w:pPr>
              <w:pStyle w:val="Compact"/>
              <w:jc w:val="left"/>
            </w:pPr>
            <w:r>
              <w:t xml:space="preserve">4</w:t>
            </w:r>
          </w:p>
        </w:tc>
        <w:tc>
          <w:p>
            <w:pPr>
              <w:pStyle w:val="Compact"/>
              <w:jc w:val="left"/>
            </w:pPr>
            <w:r>
              <w:t xml:space="preserve">4.ANT</w:t>
            </w:r>
          </w:p>
        </w:tc>
        <w:tc>
          <w:p>
            <w:pPr>
              <w:pStyle w:val="Compact"/>
              <w:jc w:val="left"/>
            </w:pPr>
            <w:r>
              <w:t xml:space="preserve">Modern</w:t>
            </w:r>
          </w:p>
        </w:tc>
        <w:tc>
          <w:p>
            <w:pPr>
              <w:pStyle w:val="Compact"/>
              <w:jc w:val="left"/>
            </w:pPr>
            <w:r>
              <w:t xml:space="preserve">-0.11</w:t>
            </w:r>
          </w:p>
        </w:tc>
        <w:tc>
          <w:p>
            <w:pPr>
              <w:pStyle w:val="Compact"/>
              <w:jc w:val="left"/>
            </w:pPr>
            <w:r>
              <w:t xml:space="preserve">8.80E-01</w:t>
            </w:r>
          </w:p>
        </w:tc>
        <w:tc>
          <w:p/>
        </w:tc>
      </w:tr>
    </w:tbl>
    <w:bookmarkEnd w:id="0"/>
    <w:bookmarkStart w:id="0" w:name="fig:fig_rate_boxplot_all"/>
    <w:p>
      <w:pPr>
        <w:pStyle w:val="CaptionedFigure"/>
      </w:pPr>
      <w:bookmarkStart w:id="64" w:name="fig:fig_rate_boxplot_all"/>
      <w:r>
        <w:drawing>
          <wp:inline>
            <wp:extent cx="5030729" cy="1782927"/>
            <wp:effectExtent b="0" l="0" r="0" t="0"/>
            <wp:docPr descr="Figure 6: Substitition rate uncertainty by clade based on a root-to-tip linear regression. Highlighted clades are known to be associated with human pandemics." title="" id="1" name="Picture"/>
            <a:graphic>
              <a:graphicData uri="http://schemas.openxmlformats.org/drawingml/2006/picture">
                <pic:pic>
                  <pic:nvPicPr>
                    <pic:cNvPr descr="https://raw.githubusercontent.com/ktmeaton/plague-phylogeography-projects/d53c63b/main/iqtree/all/chromosome/full/filter5/filter-taxa/rate_boxplot_all.png" id="0" name="Picture"/>
                    <pic:cNvPicPr>
                      <a:picLocks noChangeArrowheads="1" noChangeAspect="1"/>
                    </pic:cNvPicPr>
                  </pic:nvPicPr>
                  <pic:blipFill>
                    <a:blip r:embed="rId63"/>
                    <a:stretch>
                      <a:fillRect/>
                    </a:stretch>
                  </pic:blipFill>
                  <pic:spPr bwMode="auto">
                    <a:xfrm>
                      <a:off x="0" y="0"/>
                      <a:ext cx="5030729" cy="1782927"/>
                    </a:xfrm>
                    <a:prstGeom prst="rect">
                      <a:avLst/>
                    </a:prstGeom>
                    <a:noFill/>
                    <a:ln w="9525">
                      <a:noFill/>
                      <a:headEnd/>
                      <a:tailEnd/>
                    </a:ln>
                  </pic:spPr>
                </pic:pic>
              </a:graphicData>
            </a:graphic>
          </wp:inline>
        </w:drawing>
      </w:r>
      <w:bookmarkEnd w:id="64"/>
    </w:p>
    <w:p>
      <w:pPr>
        <w:pStyle w:val="ImageCaption"/>
      </w:pPr>
      <w:r>
        <w:t xml:space="preserve">Figure 6: Substitition rate uncertainty by clade based on a root-to-tip linear regression. Highlighted clades are known to be associated with human pandemics.</w:t>
      </w:r>
    </w:p>
    <w:bookmarkEnd w:id="0"/>
    <w:p>
      <w:pPr>
        <w:pStyle w:val="Heading4"/>
      </w:pPr>
      <w:bookmarkStart w:id="65" w:name="clock-model"/>
      <w:r>
        <w:t xml:space="preserve">Clock Model</w:t>
      </w:r>
      <w:bookmarkEnd w:id="65"/>
    </w:p>
    <w:p>
      <w:pPr>
        <w:numPr>
          <w:ilvl w:val="0"/>
          <w:numId w:val="1007"/>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7</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67" w:name="fig:fig_coefficient_variation"/>
      <w:r>
        <w:drawing>
          <wp:inline>
            <wp:extent cx="5943600" cy="3097258"/>
            <wp:effectExtent b="0" l="0" r="0" t="0"/>
            <wp:docPr descr="Figure 7: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6"/>
                    <a:stretch>
                      <a:fillRect/>
                    </a:stretch>
                  </pic:blipFill>
                  <pic:spPr bwMode="auto">
                    <a:xfrm>
                      <a:off x="0" y="0"/>
                      <a:ext cx="5943600" cy="3097258"/>
                    </a:xfrm>
                    <a:prstGeom prst="rect">
                      <a:avLst/>
                    </a:prstGeom>
                    <a:noFill/>
                    <a:ln w="9525">
                      <a:noFill/>
                      <a:headEnd/>
                      <a:tailEnd/>
                    </a:ln>
                  </pic:spPr>
                </pic:pic>
              </a:graphicData>
            </a:graphic>
          </wp:inline>
        </w:drawing>
      </w:r>
      <w:bookmarkEnd w:id="67"/>
    </w:p>
    <w:p>
      <w:pPr>
        <w:pStyle w:val="ImageCaption"/>
      </w:pPr>
      <w:r>
        <w:t xml:space="preserve">Figure 7: Coefficient of variation.</w:t>
      </w:r>
    </w:p>
    <w:bookmarkEnd w:id="0"/>
    <w:p>
      <w:pPr>
        <w:numPr>
          <w:ilvl w:val="0"/>
          <w:numId w:val="1008"/>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8</w:t>
        </w:r>
      </w:hyperlink>
      <w:r>
        <w:t xml:space="preserve">).</w:t>
      </w:r>
    </w:p>
    <w:bookmarkStart w:id="0" w:name="fig:fig_tree_height_compare"/>
    <w:p>
      <w:pPr>
        <w:pStyle w:val="CaptionedFigure"/>
      </w:pPr>
      <w:bookmarkStart w:id="69" w:name="fig:fig_tree_height_compare"/>
      <w:r>
        <w:drawing>
          <wp:inline>
            <wp:extent cx="5943600" cy="4754880"/>
            <wp:effectExtent b="0" l="0" r="0" t="0"/>
            <wp:docPr descr="Figure 8: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68"/>
                    <a:stretch>
                      <a:fillRect/>
                    </a:stretch>
                  </pic:blipFill>
                  <pic:spPr bwMode="auto">
                    <a:xfrm>
                      <a:off x="0" y="0"/>
                      <a:ext cx="5943600" cy="4754880"/>
                    </a:xfrm>
                    <a:prstGeom prst="rect">
                      <a:avLst/>
                    </a:prstGeom>
                    <a:noFill/>
                    <a:ln w="9525">
                      <a:noFill/>
                      <a:headEnd/>
                      <a:tailEnd/>
                    </a:ln>
                  </pic:spPr>
                </pic:pic>
              </a:graphicData>
            </a:graphic>
          </wp:inline>
        </w:drawing>
      </w:r>
      <w:bookmarkEnd w:id="69"/>
    </w:p>
    <w:p>
      <w:pPr>
        <w:pStyle w:val="ImageCaption"/>
      </w:pPr>
      <w:r>
        <w:t xml:space="preserve">Figure 8: Tree height comparison.</w:t>
      </w:r>
    </w:p>
    <w:bookmarkEnd w:id="0"/>
    <w:p>
      <w:pPr>
        <w:numPr>
          <w:ilvl w:val="0"/>
          <w:numId w:val="1009"/>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9</w:t>
        </w:r>
      </w:hyperlink>
      <w:r>
        <w:t xml:space="preserve">).</w:t>
      </w:r>
    </w:p>
    <w:bookmarkStart w:id="0" w:name="fig:fig_sub_rate_compare"/>
    <w:p>
      <w:pPr>
        <w:pStyle w:val="CaptionedFigure"/>
      </w:pPr>
      <w:bookmarkStart w:id="71" w:name="fig:fig_sub_rate_compare"/>
      <w:r>
        <w:drawing>
          <wp:inline>
            <wp:extent cx="5943600" cy="4842083"/>
            <wp:effectExtent b="0" l="0" r="0" t="0"/>
            <wp:docPr descr="Figure 9: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70"/>
                    <a:stretch>
                      <a:fillRect/>
                    </a:stretch>
                  </pic:blipFill>
                  <pic:spPr bwMode="auto">
                    <a:xfrm>
                      <a:off x="0" y="0"/>
                      <a:ext cx="5943600" cy="4842083"/>
                    </a:xfrm>
                    <a:prstGeom prst="rect">
                      <a:avLst/>
                    </a:prstGeom>
                    <a:noFill/>
                    <a:ln w="9525">
                      <a:noFill/>
                      <a:headEnd/>
                      <a:tailEnd/>
                    </a:ln>
                  </pic:spPr>
                </pic:pic>
              </a:graphicData>
            </a:graphic>
          </wp:inline>
        </w:drawing>
      </w:r>
      <w:bookmarkEnd w:id="71"/>
    </w:p>
    <w:p>
      <w:pPr>
        <w:pStyle w:val="ImageCaption"/>
      </w:pPr>
      <w:r>
        <w:t xml:space="preserve">Figure 9: Substitution rate comparison.</w:t>
      </w:r>
    </w:p>
    <w:bookmarkEnd w:id="0"/>
    <w:p>
      <w:pPr>
        <w:numPr>
          <w:ilvl w:val="0"/>
          <w:numId w:val="1010"/>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10</w:t>
        </w:r>
      </w:hyperlink>
      <w:r>
        <w:t xml:space="preserve">).</w:t>
      </w:r>
    </w:p>
    <w:bookmarkStart w:id="0" w:name="fig:fig_timetree_color_rate"/>
    <w:p>
      <w:pPr>
        <w:pStyle w:val="CaptionedFigure"/>
      </w:pPr>
      <w:bookmarkStart w:id="73" w:name="fig:fig_timetree_color_rate"/>
      <w:r>
        <w:drawing>
          <wp:inline>
            <wp:extent cx="5943600" cy="3041862"/>
            <wp:effectExtent b="0" l="0" r="0" t="0"/>
            <wp:docPr descr="Figure 10: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72"/>
                    <a:stretch>
                      <a:fillRect/>
                    </a:stretch>
                  </pic:blipFill>
                  <pic:spPr bwMode="auto">
                    <a:xfrm>
                      <a:off x="0" y="0"/>
                      <a:ext cx="5943600" cy="3041862"/>
                    </a:xfrm>
                    <a:prstGeom prst="rect">
                      <a:avLst/>
                    </a:prstGeom>
                    <a:noFill/>
                    <a:ln w="9525">
                      <a:noFill/>
                      <a:headEnd/>
                      <a:tailEnd/>
                    </a:ln>
                  </pic:spPr>
                </pic:pic>
              </a:graphicData>
            </a:graphic>
          </wp:inline>
        </w:drawing>
      </w:r>
      <w:bookmarkEnd w:id="73"/>
    </w:p>
    <w:p>
      <w:pPr>
        <w:pStyle w:val="ImageCaption"/>
      </w:pPr>
      <w:r>
        <w:t xml:space="preserve">Figure 10: Time tree colored by rate.</w:t>
      </w:r>
    </w:p>
    <w:bookmarkEnd w:id="0"/>
    <w:p>
      <w:pPr>
        <w:pStyle w:val="Heading3"/>
      </w:pPr>
      <w:bookmarkStart w:id="74" w:name="phylogeography-1"/>
      <w:r>
        <w:t xml:space="preserve">Phylogeography</w:t>
      </w:r>
      <w:bookmarkEnd w:id="74"/>
    </w:p>
    <w:p>
      <w:pPr>
        <w:pStyle w:val="Heading2"/>
      </w:pPr>
      <w:bookmarkStart w:id="75" w:name="conclusion"/>
      <w:r>
        <w:t xml:space="preserve">Conclusion</w:t>
      </w:r>
      <w:bookmarkEnd w:id="75"/>
    </w:p>
    <w:p>
      <w:pPr>
        <w:pStyle w:val="Heading2"/>
      </w:pPr>
      <w:bookmarkStart w:id="76" w:name="appendix"/>
      <w:r>
        <w:t xml:space="preserve">Appendix</w:t>
      </w:r>
      <w:bookmarkEnd w:id="76"/>
    </w:p>
    <w:p>
      <w:pPr>
        <w:pStyle w:val="Heading2"/>
      </w:pPr>
      <w:bookmarkStart w:id="77" w:name="references"/>
      <w:r>
        <w:t xml:space="preserve">References</w:t>
      </w:r>
      <w:bookmarkEnd w:id="77"/>
    </w:p>
    <w:bookmarkStart w:id="154" w:name="refs"/>
    <w:bookmarkStart w:id="80"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78">
        <w:r>
          <w:rPr>
            <w:rStyle w:val="Hyperlink"/>
          </w:rPr>
          <w:t xml:space="preserve">10.1016/j.cub.2017.10.025</w:t>
        </w:r>
      </w:hyperlink>
      <w:r>
        <w:t xml:space="preserve"> </w:t>
      </w:r>
      <w:r>
        <w:t xml:space="preserve">· PMID:</w:t>
      </w:r>
      <w:r>
        <w:t xml:space="preserve"> </w:t>
      </w:r>
      <w:hyperlink r:id="rId79">
        <w:r>
          <w:rPr>
            <w:rStyle w:val="Hyperlink"/>
          </w:rPr>
          <w:t xml:space="preserve">29174893</w:t>
        </w:r>
      </w:hyperlink>
    </w:p>
    <w:bookmarkEnd w:id="80"/>
    <w:bookmarkStart w:id="84"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1">
        <w:r>
          <w:rPr>
            <w:rStyle w:val="Hyperlink"/>
          </w:rPr>
          <w:t xml:space="preserve">https://www.cell.com/cell/abstract/S0092-8674(18)31464-8</w:t>
        </w:r>
      </w:hyperlink>
      <w:r>
        <w:t xml:space="preserve"> </w:t>
      </w:r>
      <w:r>
        <w:br/>
      </w:r>
      <w:r>
        <w:t xml:space="preserve">DOI:</w:t>
      </w:r>
      <w:r>
        <w:t xml:space="preserve"> </w:t>
      </w:r>
      <w:hyperlink r:id="rId82">
        <w:r>
          <w:rPr>
            <w:rStyle w:val="Hyperlink"/>
          </w:rPr>
          <w:t xml:space="preserve">10.1016/j.cell.2018.11.005</w:t>
        </w:r>
      </w:hyperlink>
      <w:r>
        <w:t xml:space="preserve"> </w:t>
      </w:r>
      <w:r>
        <w:t xml:space="preserve">· PMID:</w:t>
      </w:r>
      <w:r>
        <w:t xml:space="preserve"> </w:t>
      </w:r>
      <w:hyperlink r:id="rId83">
        <w:r>
          <w:rPr>
            <w:rStyle w:val="Hyperlink"/>
          </w:rPr>
          <w:t xml:space="preserve">30528431</w:t>
        </w:r>
      </w:hyperlink>
    </w:p>
    <w:bookmarkEnd w:id="84"/>
    <w:bookmarkStart w:id="89"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85">
        <w:r>
          <w:rPr>
            <w:rStyle w:val="Hyperlink"/>
          </w:rPr>
          <w:t xml:space="preserve">https://www.ncbi.nlm.nih.gov/pmc/articles/PMC5636801/</w:t>
        </w:r>
      </w:hyperlink>
      <w:r>
        <w:t xml:space="preserve"> </w:t>
      </w:r>
      <w:r>
        <w:br/>
      </w:r>
      <w:r>
        <w:t xml:space="preserve">DOI:</w:t>
      </w:r>
      <w:r>
        <w:t xml:space="preserve"> </w:t>
      </w:r>
      <w:hyperlink r:id="rId86">
        <w:r>
          <w:rPr>
            <w:rStyle w:val="Hyperlink"/>
          </w:rPr>
          <w:t xml:space="preserve">10.1038/s41598-017-13481-2</w:t>
        </w:r>
      </w:hyperlink>
      <w:r>
        <w:t xml:space="preserve"> </w:t>
      </w:r>
      <w:r>
        <w:t xml:space="preserve">· PMID:</w:t>
      </w:r>
      <w:r>
        <w:t xml:space="preserve"> </w:t>
      </w:r>
      <w:hyperlink r:id="rId87">
        <w:r>
          <w:rPr>
            <w:rStyle w:val="Hyperlink"/>
          </w:rPr>
          <w:t xml:space="preserve">29021541</w:t>
        </w:r>
      </w:hyperlink>
      <w:r>
        <w:t xml:space="preserve"> </w:t>
      </w:r>
      <w:r>
        <w:t xml:space="preserve">· PMCID:</w:t>
      </w:r>
      <w:r>
        <w:t xml:space="preserve"> </w:t>
      </w:r>
      <w:hyperlink r:id="rId88">
        <w:r>
          <w:rPr>
            <w:rStyle w:val="Hyperlink"/>
          </w:rPr>
          <w:t xml:space="preserve">PMC5636801</w:t>
        </w:r>
      </w:hyperlink>
    </w:p>
    <w:bookmarkEnd w:id="89"/>
    <w:bookmarkStart w:id="92"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90">
        <w:r>
          <w:rPr>
            <w:rStyle w:val="Hyperlink"/>
          </w:rPr>
          <w:t xml:space="preserve">8993858</w:t>
        </w:r>
      </w:hyperlink>
      <w:r>
        <w:t xml:space="preserve"> </w:t>
      </w:r>
      <w:r>
        <w:t xml:space="preserve">· PMCID:</w:t>
      </w:r>
      <w:r>
        <w:t xml:space="preserve"> </w:t>
      </w:r>
      <w:hyperlink r:id="rId91">
        <w:r>
          <w:rPr>
            <w:rStyle w:val="Hyperlink"/>
          </w:rPr>
          <w:t xml:space="preserve">PMC172914</w:t>
        </w:r>
      </w:hyperlink>
    </w:p>
    <w:bookmarkEnd w:id="92"/>
    <w:bookmarkStart w:id="94"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93">
        <w:r>
          <w:rPr>
            <w:rStyle w:val="Hyperlink"/>
          </w:rPr>
          <w:t xml:space="preserve">https://www.who.int/news-room/fact-sheets/detail/plague</w:t>
        </w:r>
      </w:hyperlink>
    </w:p>
    <w:bookmarkEnd w:id="94"/>
    <w:bookmarkStart w:id="96"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95">
        <w:r>
          <w:rPr>
            <w:rStyle w:val="Hyperlink"/>
          </w:rPr>
          <w:t xml:space="preserve">0-85115-943-5</w:t>
        </w:r>
      </w:hyperlink>
    </w:p>
    <w:bookmarkEnd w:id="96"/>
    <w:bookmarkStart w:id="98"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97">
        <w:r>
          <w:rPr>
            <w:rStyle w:val="Hyperlink"/>
          </w:rPr>
          <w:t xml:space="preserve">https://apps.who.int/iris/bitstream/handle/10665/325481/WER9425-en-fr.pdf</w:t>
        </w:r>
      </w:hyperlink>
    </w:p>
    <w:bookmarkEnd w:id="98"/>
    <w:bookmarkStart w:id="100"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99">
        <w:r>
          <w:rPr>
            <w:rStyle w:val="Hyperlink"/>
          </w:rPr>
          <w:t xml:space="preserve">http://reviverestore.org/wp-content/uploads/2015/02/Gage-and-Kosoy_USGS-Blk-footed-ferret-symp_2006-copy.pdf</w:t>
        </w:r>
      </w:hyperlink>
    </w:p>
    <w:bookmarkEnd w:id="100"/>
    <w:bookmarkStart w:id="104"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01">
        <w:r>
          <w:rPr>
            <w:rStyle w:val="Hyperlink"/>
          </w:rPr>
          <w:t xml:space="preserve">10.1073/pnas.96.24.14043</w:t>
        </w:r>
      </w:hyperlink>
      <w:r>
        <w:t xml:space="preserve"> </w:t>
      </w:r>
      <w:r>
        <w:t xml:space="preserve">· PMID:</w:t>
      </w:r>
      <w:r>
        <w:t xml:space="preserve"> </w:t>
      </w:r>
      <w:hyperlink r:id="rId102">
        <w:r>
          <w:rPr>
            <w:rStyle w:val="Hyperlink"/>
          </w:rPr>
          <w:t xml:space="preserve">10570195</w:t>
        </w:r>
      </w:hyperlink>
      <w:r>
        <w:t xml:space="preserve"> </w:t>
      </w:r>
      <w:r>
        <w:t xml:space="preserve">· PMCID:</w:t>
      </w:r>
      <w:r>
        <w:t xml:space="preserve"> </w:t>
      </w:r>
      <w:hyperlink r:id="rId103">
        <w:r>
          <w:rPr>
            <w:rStyle w:val="Hyperlink"/>
          </w:rPr>
          <w:t xml:space="preserve">PMC24187</w:t>
        </w:r>
      </w:hyperlink>
    </w:p>
    <w:bookmarkEnd w:id="104"/>
    <w:bookmarkStart w:id="107"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05">
        <w:r>
          <w:rPr>
            <w:rStyle w:val="Hyperlink"/>
          </w:rPr>
          <w:t xml:space="preserve">http://www.pnas.org/cgi/doi/10.1073/pnas.0404012101</w:t>
        </w:r>
      </w:hyperlink>
      <w:r>
        <w:t xml:space="preserve"> </w:t>
      </w:r>
      <w:r>
        <w:br/>
      </w:r>
      <w:r>
        <w:t xml:space="preserve">DOI:</w:t>
      </w:r>
      <w:r>
        <w:t xml:space="preserve"> </w:t>
      </w:r>
      <w:hyperlink r:id="rId106">
        <w:r>
          <w:rPr>
            <w:rStyle w:val="Hyperlink"/>
          </w:rPr>
          <w:t xml:space="preserve">10.1073/pnas.0404012101</w:t>
        </w:r>
      </w:hyperlink>
    </w:p>
    <w:bookmarkEnd w:id="107"/>
    <w:bookmarkStart w:id="109" w:name="ref-131fQLiJt"/>
    <w:p>
      <w:pPr>
        <w:pStyle w:val="Bibliography"/>
      </w:pPr>
      <w:r>
        <w:t xml:space="preserve">11.</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08">
        <w:r>
          <w:rPr>
            <w:rStyle w:val="Hyperlink"/>
          </w:rPr>
          <w:t xml:space="preserve">https://github.com/ktmeaton/NCBImeta</w:t>
        </w:r>
      </w:hyperlink>
    </w:p>
    <w:bookmarkEnd w:id="109"/>
    <w:bookmarkStart w:id="111" w:name="ref-hxWSqZgm"/>
    <w:p>
      <w:pPr>
        <w:pStyle w:val="Bibliography"/>
      </w:pPr>
      <w:r>
        <w:t xml:space="preserve">12.</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10">
        <w:r>
          <w:rPr>
            <w:rStyle w:val="Hyperlink"/>
          </w:rPr>
          <w:t xml:space="preserve">https://github.com/geopy/geopy</w:t>
        </w:r>
      </w:hyperlink>
    </w:p>
    <w:bookmarkEnd w:id="111"/>
    <w:bookmarkStart w:id="113" w:name="ref-M15a78x5"/>
    <w:p>
      <w:pPr>
        <w:pStyle w:val="Bibliography"/>
      </w:pPr>
      <w:r>
        <w:t xml:space="preserve">13.</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12">
        <w:r>
          <w:rPr>
            <w:rStyle w:val="Hyperlink"/>
          </w:rPr>
          <w:t xml:space="preserve">https://github.com/osm-search/Nominatim</w:t>
        </w:r>
      </w:hyperlink>
    </w:p>
    <w:bookmarkEnd w:id="113"/>
    <w:bookmarkStart w:id="115" w:name="ref-5rCiNisz"/>
    <w:p>
      <w:pPr>
        <w:pStyle w:val="Bibliography"/>
      </w:pPr>
      <w:r>
        <w:t xml:space="preserve">14.</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14">
        <w:r>
          <w:rPr>
            <w:rStyle w:val="Hyperlink"/>
          </w:rPr>
          <w:t xml:space="preserve">https://www.openstreetmap.org</w:t>
        </w:r>
      </w:hyperlink>
    </w:p>
    <w:bookmarkEnd w:id="115"/>
    <w:bookmarkStart w:id="117" w:name="ref-1DR126iIZ"/>
    <w:p>
      <w:pPr>
        <w:pStyle w:val="Bibliography"/>
      </w:pPr>
      <w:r>
        <w:t xml:space="preserve">15.</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16">
        <w:r>
          <w:rPr>
            <w:rStyle w:val="Hyperlink"/>
          </w:rPr>
          <w:t xml:space="preserve">https://github.com/tseemann/snippy</w:t>
        </w:r>
      </w:hyperlink>
    </w:p>
    <w:bookmarkEnd w:id="117"/>
    <w:bookmarkStart w:id="119" w:name="ref-puYDXtJ9"/>
    <w:p>
      <w:pPr>
        <w:pStyle w:val="Bibliography"/>
      </w:pPr>
      <w:r>
        <w:t xml:space="preserve">16.</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18">
        <w:r>
          <w:rPr>
            <w:rStyle w:val="Hyperlink"/>
          </w:rPr>
          <w:t xml:space="preserve">https://github.com/ncbi/sra-tools</w:t>
        </w:r>
      </w:hyperlink>
    </w:p>
    <w:bookmarkEnd w:id="119"/>
    <w:bookmarkStart w:id="122" w:name="ref-17yD9OrGW"/>
    <w:p>
      <w:pPr>
        <w:pStyle w:val="Bibliography"/>
      </w:pPr>
      <w:r>
        <w:t xml:space="preserve">17.</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20">
        <w:r>
          <w:rPr>
            <w:rStyle w:val="Hyperlink"/>
          </w:rPr>
          <w:t xml:space="preserve">https://peerj.com/articles/10947</w:t>
        </w:r>
      </w:hyperlink>
      <w:r>
        <w:t xml:space="preserve"> </w:t>
      </w:r>
      <w:r>
        <w:br/>
      </w:r>
      <w:r>
        <w:t xml:space="preserve">DOI:</w:t>
      </w:r>
      <w:r>
        <w:t xml:space="preserve"> </w:t>
      </w:r>
      <w:hyperlink r:id="rId121">
        <w:r>
          <w:rPr>
            <w:rStyle w:val="Hyperlink"/>
          </w:rPr>
          <w:t xml:space="preserve">10.7717/peerj.10947</w:t>
        </w:r>
      </w:hyperlink>
    </w:p>
    <w:bookmarkEnd w:id="122"/>
    <w:bookmarkStart w:id="125" w:name="ref-ONhNS9aO"/>
    <w:p>
      <w:pPr>
        <w:pStyle w:val="Bibliography"/>
      </w:pPr>
      <w:r>
        <w:t xml:space="preserve">18.</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23">
        <w:r>
          <w:rPr>
            <w:rStyle w:val="Hyperlink"/>
          </w:rPr>
          <w:t xml:space="preserve">http://www.pnas.org/cgi/doi/10.1073/pnas.1205750110</w:t>
        </w:r>
      </w:hyperlink>
      <w:r>
        <w:t xml:space="preserve"> </w:t>
      </w:r>
      <w:r>
        <w:br/>
      </w:r>
      <w:r>
        <w:t xml:space="preserve">DOI:</w:t>
      </w:r>
      <w:r>
        <w:t xml:space="preserve"> </w:t>
      </w:r>
      <w:hyperlink r:id="rId124">
        <w:r>
          <w:rPr>
            <w:rStyle w:val="Hyperlink"/>
          </w:rPr>
          <w:t xml:space="preserve">10.1073/pnas.1205750110</w:t>
        </w:r>
      </w:hyperlink>
    </w:p>
    <w:bookmarkEnd w:id="125"/>
    <w:bookmarkStart w:id="128" w:name="ref-QZIPWLUx"/>
    <w:p>
      <w:pPr>
        <w:pStyle w:val="Bibliography"/>
      </w:pPr>
      <w:r>
        <w:t xml:space="preserve">19.</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26">
        <w:r>
          <w:rPr>
            <w:rStyle w:val="Hyperlink"/>
          </w:rPr>
          <w:t xml:space="preserve">http://www.nature.com/articles/nmeth.4285</w:t>
        </w:r>
      </w:hyperlink>
      <w:r>
        <w:t xml:space="preserve"> </w:t>
      </w:r>
      <w:r>
        <w:br/>
      </w:r>
      <w:r>
        <w:t xml:space="preserve">DOI:</w:t>
      </w:r>
      <w:r>
        <w:t xml:space="preserve"> </w:t>
      </w:r>
      <w:hyperlink r:id="rId127">
        <w:r>
          <w:rPr>
            <w:rStyle w:val="Hyperlink"/>
          </w:rPr>
          <w:t xml:space="preserve">10.1038/nmeth.4285</w:t>
        </w:r>
      </w:hyperlink>
    </w:p>
    <w:bookmarkEnd w:id="128"/>
    <w:bookmarkStart w:id="131" w:name="ref-mkkgRhHT"/>
    <w:p>
      <w:pPr>
        <w:pStyle w:val="Bibliography"/>
      </w:pPr>
      <w:r>
        <w:t xml:space="preserve">20.</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29">
        <w:r>
          <w:rPr>
            <w:rStyle w:val="Hyperlink"/>
          </w:rPr>
          <w:t xml:space="preserve">https://academic.oup.com/mbe/article/37/5/1530/5721363</w:t>
        </w:r>
      </w:hyperlink>
      <w:r>
        <w:t xml:space="preserve"> </w:t>
      </w:r>
      <w:r>
        <w:br/>
      </w:r>
      <w:r>
        <w:t xml:space="preserve">DOI:</w:t>
      </w:r>
      <w:r>
        <w:t xml:space="preserve"> </w:t>
      </w:r>
      <w:hyperlink r:id="rId130">
        <w:r>
          <w:rPr>
            <w:rStyle w:val="Hyperlink"/>
          </w:rPr>
          <w:t xml:space="preserve">10.1093/molbev/msaa015</w:t>
        </w:r>
      </w:hyperlink>
    </w:p>
    <w:bookmarkEnd w:id="131"/>
    <w:bookmarkStart w:id="134" w:name="ref-12SvE6y3A"/>
    <w:p>
      <w:pPr>
        <w:pStyle w:val="Bibliography"/>
      </w:pPr>
      <w:r>
        <w:t xml:space="preserve">21.</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32">
        <w:r>
          <w:rPr>
            <w:rStyle w:val="Hyperlink"/>
          </w:rPr>
          <w:t xml:space="preserve">https://academic.oup.com/mbe/article/35/2/518/4565479</w:t>
        </w:r>
      </w:hyperlink>
      <w:r>
        <w:t xml:space="preserve"> </w:t>
      </w:r>
      <w:r>
        <w:br/>
      </w:r>
      <w:r>
        <w:t xml:space="preserve">DOI:</w:t>
      </w:r>
      <w:r>
        <w:t xml:space="preserve"> </w:t>
      </w:r>
      <w:hyperlink r:id="rId133">
        <w:r>
          <w:rPr>
            <w:rStyle w:val="Hyperlink"/>
          </w:rPr>
          <w:t xml:space="preserve">10.1093/molbev/msx281</w:t>
        </w:r>
      </w:hyperlink>
    </w:p>
    <w:bookmarkEnd w:id="134"/>
    <w:bookmarkStart w:id="137" w:name="ref-VomZnwKw"/>
    <w:p>
      <w:pPr>
        <w:pStyle w:val="Bibliography"/>
      </w:pPr>
      <w:r>
        <w:t xml:space="preserve">22.</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35">
        <w:r>
          <w:rPr>
            <w:rStyle w:val="Hyperlink"/>
          </w:rPr>
          <w:t xml:space="preserve">https://academic.oup.com/sysbio/article-lookup/doi/10.1093/sysbio/syv068</w:t>
        </w:r>
      </w:hyperlink>
      <w:r>
        <w:t xml:space="preserve"> </w:t>
      </w:r>
      <w:r>
        <w:br/>
      </w:r>
      <w:r>
        <w:t xml:space="preserve">DOI:</w:t>
      </w:r>
      <w:r>
        <w:t xml:space="preserve"> </w:t>
      </w:r>
      <w:hyperlink r:id="rId136">
        <w:r>
          <w:rPr>
            <w:rStyle w:val="Hyperlink"/>
          </w:rPr>
          <w:t xml:space="preserve">10.1093/sysbio/syv068</w:t>
        </w:r>
      </w:hyperlink>
    </w:p>
    <w:bookmarkEnd w:id="137"/>
    <w:bookmarkStart w:id="142" w:name="ref-11JaQggrG"/>
    <w:p>
      <w:pPr>
        <w:pStyle w:val="Bibliography"/>
      </w:pPr>
      <w:r>
        <w:t xml:space="preserve">23.</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38">
        <w:r>
          <w:rPr>
            <w:rStyle w:val="Hyperlink"/>
          </w:rPr>
          <w:t xml:space="preserve">https://www.ncbi.nlm.nih.gov/pmc/articles/PMC5758920/</w:t>
        </w:r>
      </w:hyperlink>
      <w:r>
        <w:t xml:space="preserve"> </w:t>
      </w:r>
      <w:r>
        <w:br/>
      </w:r>
      <w:r>
        <w:t xml:space="preserve">DOI:</w:t>
      </w:r>
      <w:r>
        <w:t xml:space="preserve"> </w:t>
      </w:r>
      <w:hyperlink r:id="rId139">
        <w:r>
          <w:rPr>
            <w:rStyle w:val="Hyperlink"/>
          </w:rPr>
          <w:t xml:space="preserve">10.1093/ve/vex042</w:t>
        </w:r>
      </w:hyperlink>
      <w:r>
        <w:t xml:space="preserve"> </w:t>
      </w:r>
      <w:r>
        <w:t xml:space="preserve">· PMID:</w:t>
      </w:r>
      <w:r>
        <w:t xml:space="preserve"> </w:t>
      </w:r>
      <w:hyperlink r:id="rId140">
        <w:r>
          <w:rPr>
            <w:rStyle w:val="Hyperlink"/>
          </w:rPr>
          <w:t xml:space="preserve">29340210</w:t>
        </w:r>
      </w:hyperlink>
      <w:r>
        <w:t xml:space="preserve"> </w:t>
      </w:r>
      <w:r>
        <w:t xml:space="preserve">· PMCID:</w:t>
      </w:r>
      <w:r>
        <w:t xml:space="preserve"> </w:t>
      </w:r>
      <w:hyperlink r:id="rId141">
        <w:r>
          <w:rPr>
            <w:rStyle w:val="Hyperlink"/>
          </w:rPr>
          <w:t xml:space="preserve">PMC5758920</w:t>
        </w:r>
      </w:hyperlink>
    </w:p>
    <w:bookmarkEnd w:id="142"/>
    <w:bookmarkStart w:id="146" w:name="ref-pjjiQi2H"/>
    <w:p>
      <w:pPr>
        <w:pStyle w:val="Bibliography"/>
      </w:pPr>
      <w:r>
        <w:t xml:space="preserve">24.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43">
        <w:r>
          <w:rPr>
            <w:rStyle w:val="Hyperlink"/>
          </w:rPr>
          <w:t xml:space="preserve">https://www.pnas.org/content/116/24/11833</w:t>
        </w:r>
      </w:hyperlink>
      <w:r>
        <w:t xml:space="preserve"> </w:t>
      </w:r>
      <w:r>
        <w:br/>
      </w:r>
      <w:r>
        <w:t xml:space="preserve">DOI:</w:t>
      </w:r>
      <w:r>
        <w:t xml:space="preserve"> </w:t>
      </w:r>
      <w:hyperlink r:id="rId144">
        <w:r>
          <w:rPr>
            <w:rStyle w:val="Hyperlink"/>
          </w:rPr>
          <w:t xml:space="preserve">10.1073/pnas.1901366116</w:t>
        </w:r>
      </w:hyperlink>
      <w:r>
        <w:t xml:space="preserve"> </w:t>
      </w:r>
      <w:r>
        <w:t xml:space="preserve">· PMID:</w:t>
      </w:r>
      <w:r>
        <w:t xml:space="preserve"> </w:t>
      </w:r>
      <w:hyperlink r:id="rId145">
        <w:r>
          <w:rPr>
            <w:rStyle w:val="Hyperlink"/>
          </w:rPr>
          <w:t xml:space="preserve">31138696</w:t>
        </w:r>
      </w:hyperlink>
    </w:p>
    <w:bookmarkEnd w:id="146"/>
    <w:bookmarkStart w:id="149" w:name="ref-39QXTupk"/>
    <w:p>
      <w:pPr>
        <w:pStyle w:val="Bibliography"/>
      </w:pPr>
      <w:r>
        <w:t xml:space="preserve">25.</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47">
        <w:r>
          <w:rPr>
            <w:rStyle w:val="Hyperlink"/>
          </w:rPr>
          <w:t xml:space="preserve">http://linkinghub.elsevier.com/retrieve/pii/S1931312816302086</w:t>
        </w:r>
      </w:hyperlink>
      <w:r>
        <w:t xml:space="preserve"> </w:t>
      </w:r>
      <w:r>
        <w:br/>
      </w:r>
      <w:r>
        <w:t xml:space="preserve">DOI:</w:t>
      </w:r>
      <w:r>
        <w:t xml:space="preserve"> </w:t>
      </w:r>
      <w:hyperlink r:id="rId148">
        <w:r>
          <w:rPr>
            <w:rStyle w:val="Hyperlink"/>
          </w:rPr>
          <w:t xml:space="preserve">10.1016/j.chom.2016.05.012</w:t>
        </w:r>
      </w:hyperlink>
    </w:p>
    <w:bookmarkEnd w:id="149"/>
    <w:bookmarkStart w:id="153" w:name="ref-Y4CIJOZW"/>
    <w:p>
      <w:pPr>
        <w:pStyle w:val="Bibliography"/>
      </w:pPr>
      <w:r>
        <w:t xml:space="preserve">26.</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50">
        <w:r>
          <w:rPr>
            <w:rStyle w:val="Hyperlink"/>
          </w:rPr>
          <w:t xml:space="preserve">10.1038/ng.705</w:t>
        </w:r>
      </w:hyperlink>
      <w:r>
        <w:t xml:space="preserve"> </w:t>
      </w:r>
      <w:r>
        <w:t xml:space="preserve">· PMID:</w:t>
      </w:r>
      <w:r>
        <w:t xml:space="preserve"> </w:t>
      </w:r>
      <w:hyperlink r:id="rId151">
        <w:r>
          <w:rPr>
            <w:rStyle w:val="Hyperlink"/>
          </w:rPr>
          <w:t xml:space="preserve">21037571</w:t>
        </w:r>
      </w:hyperlink>
      <w:r>
        <w:t xml:space="preserve"> </w:t>
      </w:r>
      <w:r>
        <w:t xml:space="preserve">· PMCID:</w:t>
      </w:r>
      <w:r>
        <w:t xml:space="preserve"> </w:t>
      </w:r>
      <w:hyperlink r:id="rId152">
        <w:r>
          <w:rPr>
            <w:rStyle w:val="Hyperlink"/>
          </w:rPr>
          <w:t xml:space="preserve">PMC2999892</w:t>
        </w:r>
      </w:hyperlink>
    </w:p>
    <w:bookmarkEnd w:id="153"/>
    <w:bookmarkEnd w:id="15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47" Target="http://linkinghub.elsevier.com/retrieve/pii/S1931312816302086" TargetMode="External" /><Relationship Type="http://schemas.openxmlformats.org/officeDocument/2006/relationships/hyperlink" Id="rId99" Target="http://reviverestore.org/wp-content/uploads/2015/02/Gage-and-Kosoy_USGS-Blk-footed-ferret-symp_2006-copy.pdf" TargetMode="External" /><Relationship Type="http://schemas.openxmlformats.org/officeDocument/2006/relationships/hyperlink" Id="rId126" Target="http://www.nature.com/articles/nmeth.4285" TargetMode="External" /><Relationship Type="http://schemas.openxmlformats.org/officeDocument/2006/relationships/hyperlink" Id="rId105" Target="http://www.pnas.org/cgi/doi/10.1073/pnas.0404012101" TargetMode="External" /><Relationship Type="http://schemas.openxmlformats.org/officeDocument/2006/relationships/hyperlink" Id="rId123" Target="http://www.pnas.org/cgi/doi/10.1073/pnas.1205750110" TargetMode="External" /><Relationship Type="http://schemas.openxmlformats.org/officeDocument/2006/relationships/hyperlink" Id="rId132" Target="https://academic.oup.com/mbe/article/35/2/518/4565479" TargetMode="External" /><Relationship Type="http://schemas.openxmlformats.org/officeDocument/2006/relationships/hyperlink" Id="rId129" Target="https://academic.oup.com/mbe/article/37/5/1530/5721363" TargetMode="External" /><Relationship Type="http://schemas.openxmlformats.org/officeDocument/2006/relationships/hyperlink" Id="rId135" Target="https://academic.oup.com/sysbio/article-lookup/doi/10.1093/sysbio/syv068" TargetMode="External" /><Relationship Type="http://schemas.openxmlformats.org/officeDocument/2006/relationships/hyperlink" Id="rId97" Target="https://apps.who.int/iris/bitstream/handle/10665/325481/WER9425-en-fr.pdf" TargetMode="External" /><Relationship Type="http://schemas.openxmlformats.org/officeDocument/2006/relationships/hyperlink" Id="rId82" Target="https://doi.org/10.1016/j.cell.2018.11.005" TargetMode="External" /><Relationship Type="http://schemas.openxmlformats.org/officeDocument/2006/relationships/hyperlink" Id="rId148" Target="https://doi.org/10.1016/j.chom.2016.05.012" TargetMode="External" /><Relationship Type="http://schemas.openxmlformats.org/officeDocument/2006/relationships/hyperlink" Id="rId78" Target="https://doi.org/10.1016/j.cub.2017.10.025" TargetMode="External" /><Relationship Type="http://schemas.openxmlformats.org/officeDocument/2006/relationships/hyperlink" Id="rId150" Target="https://doi.org/10.1038/ng.705" TargetMode="External" /><Relationship Type="http://schemas.openxmlformats.org/officeDocument/2006/relationships/hyperlink" Id="rId127" Target="https://doi.org/10.1038/nmeth.4285" TargetMode="External" /><Relationship Type="http://schemas.openxmlformats.org/officeDocument/2006/relationships/hyperlink" Id="rId86" Target="https://doi.org/10.1038/s41598-017-13481-2" TargetMode="External" /><Relationship Type="http://schemas.openxmlformats.org/officeDocument/2006/relationships/hyperlink" Id="rId106" Target="https://doi.org/10.1073/pnas.0404012101" TargetMode="External" /><Relationship Type="http://schemas.openxmlformats.org/officeDocument/2006/relationships/hyperlink" Id="rId124" Target="https://doi.org/10.1073/pnas.1205750110" TargetMode="External" /><Relationship Type="http://schemas.openxmlformats.org/officeDocument/2006/relationships/hyperlink" Id="rId144" Target="https://doi.org/10.1073/pnas.1901366116" TargetMode="External" /><Relationship Type="http://schemas.openxmlformats.org/officeDocument/2006/relationships/hyperlink" Id="rId101" Target="https://doi.org/10.1073/pnas.96.24.14043" TargetMode="External" /><Relationship Type="http://schemas.openxmlformats.org/officeDocument/2006/relationships/hyperlink" Id="rId130" Target="https://doi.org/10.1093/molbev/msaa015" TargetMode="External" /><Relationship Type="http://schemas.openxmlformats.org/officeDocument/2006/relationships/hyperlink" Id="rId133" Target="https://doi.org/10.1093/molbev/msx281" TargetMode="External" /><Relationship Type="http://schemas.openxmlformats.org/officeDocument/2006/relationships/hyperlink" Id="rId136" Target="https://doi.org/10.1093/sysbio/syv068" TargetMode="External" /><Relationship Type="http://schemas.openxmlformats.org/officeDocument/2006/relationships/hyperlink" Id="rId139" Target="https://doi.org/10.1093/ve/vex042" TargetMode="External" /><Relationship Type="http://schemas.openxmlformats.org/officeDocument/2006/relationships/hyperlink" Id="rId121" Target="https://doi.org/10.7717/peerj.10947" TargetMode="External" /><Relationship Type="http://schemas.openxmlformats.org/officeDocument/2006/relationships/hyperlink" Id="rId110"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8" Target="https://github.com/ktmeaton/NCBImeta" TargetMode="External" /><Relationship Type="http://schemas.openxmlformats.org/officeDocument/2006/relationships/hyperlink" Id="rId21" Target="https://github.com/ktmeaton/obsidian-public/tree/540f66f6" TargetMode="External" /><Relationship Type="http://schemas.openxmlformats.org/officeDocument/2006/relationships/hyperlink" Id="rId118" Target="https://github.com/ncbi/sra-tools" TargetMode="External" /><Relationship Type="http://schemas.openxmlformats.org/officeDocument/2006/relationships/hyperlink" Id="rId112"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16"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20" Target="https://peerj.com/articles/10947" TargetMode="External" /><Relationship Type="http://schemas.openxmlformats.org/officeDocument/2006/relationships/hyperlink" Id="rId20" Target="https://rawcdn.githack.com/ktmeaton/obsidian-public/540f66f6/academic/Plague%20Phylodynamics%20and%20Phylogeography%20Paper.html" TargetMode="External" /><Relationship Type="http://schemas.openxmlformats.org/officeDocument/2006/relationships/hyperlink" Id="rId95" Target="https://worldcat.org/isbn/0-85115-943-5" TargetMode="External" /><Relationship Type="http://schemas.openxmlformats.org/officeDocument/2006/relationships/hyperlink" Id="rId81" Target="https://www.cell.com/cell/abstract/S0092-8674(18)31464-8" TargetMode="External" /><Relationship Type="http://schemas.openxmlformats.org/officeDocument/2006/relationships/hyperlink" Id="rId91" Target="https://www.ncbi.nlm.nih.gov/pmc/articles/PMC172914" TargetMode="External" /><Relationship Type="http://schemas.openxmlformats.org/officeDocument/2006/relationships/hyperlink" Id="rId103" Target="https://www.ncbi.nlm.nih.gov/pmc/articles/PMC24187" TargetMode="External" /><Relationship Type="http://schemas.openxmlformats.org/officeDocument/2006/relationships/hyperlink" Id="rId152" Target="https://www.ncbi.nlm.nih.gov/pmc/articles/PMC2999892" TargetMode="External" /><Relationship Type="http://schemas.openxmlformats.org/officeDocument/2006/relationships/hyperlink" Id="rId88" Target="https://www.ncbi.nlm.nih.gov/pmc/articles/PMC5636801" TargetMode="External" /><Relationship Type="http://schemas.openxmlformats.org/officeDocument/2006/relationships/hyperlink" Id="rId85" Target="https://www.ncbi.nlm.nih.gov/pmc/articles/PMC5636801/" TargetMode="External" /><Relationship Type="http://schemas.openxmlformats.org/officeDocument/2006/relationships/hyperlink" Id="rId141" Target="https://www.ncbi.nlm.nih.gov/pmc/articles/PMC5758920" TargetMode="External" /><Relationship Type="http://schemas.openxmlformats.org/officeDocument/2006/relationships/hyperlink" Id="rId138" Target="https://www.ncbi.nlm.nih.gov/pmc/articles/PMC5758920/" TargetMode="External" /><Relationship Type="http://schemas.openxmlformats.org/officeDocument/2006/relationships/hyperlink" Id="rId102" Target="https://www.ncbi.nlm.nih.gov/pubmed/10570195" TargetMode="External" /><Relationship Type="http://schemas.openxmlformats.org/officeDocument/2006/relationships/hyperlink" Id="rId151" Target="https://www.ncbi.nlm.nih.gov/pubmed/21037571" TargetMode="External" /><Relationship Type="http://schemas.openxmlformats.org/officeDocument/2006/relationships/hyperlink" Id="rId87" Target="https://www.ncbi.nlm.nih.gov/pubmed/29021541" TargetMode="External" /><Relationship Type="http://schemas.openxmlformats.org/officeDocument/2006/relationships/hyperlink" Id="rId79" Target="https://www.ncbi.nlm.nih.gov/pubmed/29174893" TargetMode="External" /><Relationship Type="http://schemas.openxmlformats.org/officeDocument/2006/relationships/hyperlink" Id="rId140" Target="https://www.ncbi.nlm.nih.gov/pubmed/29340210" TargetMode="External" /><Relationship Type="http://schemas.openxmlformats.org/officeDocument/2006/relationships/hyperlink" Id="rId83" Target="https://www.ncbi.nlm.nih.gov/pubmed/30528431" TargetMode="External" /><Relationship Type="http://schemas.openxmlformats.org/officeDocument/2006/relationships/hyperlink" Id="rId145" Target="https://www.ncbi.nlm.nih.gov/pubmed/31138696" TargetMode="External" /><Relationship Type="http://schemas.openxmlformats.org/officeDocument/2006/relationships/hyperlink" Id="rId90" Target="https://www.ncbi.nlm.nih.gov/pubmed/8993858" TargetMode="External" /><Relationship Type="http://schemas.openxmlformats.org/officeDocument/2006/relationships/hyperlink" Id="rId114" Target="https://www.openstreetmap.org" TargetMode="External" /><Relationship Type="http://schemas.openxmlformats.org/officeDocument/2006/relationships/hyperlink" Id="rId143" Target="https://www.pnas.org/content/116/24/11833" TargetMode="External" /><Relationship Type="http://schemas.openxmlformats.org/officeDocument/2006/relationships/hyperlink" Id="rId93"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47" Target="http://linkinghub.elsevier.com/retrieve/pii/S1931312816302086" TargetMode="External" /><Relationship Type="http://schemas.openxmlformats.org/officeDocument/2006/relationships/hyperlink" Id="rId99" Target="http://reviverestore.org/wp-content/uploads/2015/02/Gage-and-Kosoy_USGS-Blk-footed-ferret-symp_2006-copy.pdf" TargetMode="External" /><Relationship Type="http://schemas.openxmlformats.org/officeDocument/2006/relationships/hyperlink" Id="rId126" Target="http://www.nature.com/articles/nmeth.4285" TargetMode="External" /><Relationship Type="http://schemas.openxmlformats.org/officeDocument/2006/relationships/hyperlink" Id="rId105" Target="http://www.pnas.org/cgi/doi/10.1073/pnas.0404012101" TargetMode="External" /><Relationship Type="http://schemas.openxmlformats.org/officeDocument/2006/relationships/hyperlink" Id="rId123" Target="http://www.pnas.org/cgi/doi/10.1073/pnas.1205750110" TargetMode="External" /><Relationship Type="http://schemas.openxmlformats.org/officeDocument/2006/relationships/hyperlink" Id="rId132" Target="https://academic.oup.com/mbe/article/35/2/518/4565479" TargetMode="External" /><Relationship Type="http://schemas.openxmlformats.org/officeDocument/2006/relationships/hyperlink" Id="rId129" Target="https://academic.oup.com/mbe/article/37/5/1530/5721363" TargetMode="External" /><Relationship Type="http://schemas.openxmlformats.org/officeDocument/2006/relationships/hyperlink" Id="rId135" Target="https://academic.oup.com/sysbio/article-lookup/doi/10.1093/sysbio/syv068" TargetMode="External" /><Relationship Type="http://schemas.openxmlformats.org/officeDocument/2006/relationships/hyperlink" Id="rId97" Target="https://apps.who.int/iris/bitstream/handle/10665/325481/WER9425-en-fr.pdf" TargetMode="External" /><Relationship Type="http://schemas.openxmlformats.org/officeDocument/2006/relationships/hyperlink" Id="rId82" Target="https://doi.org/10.1016/j.cell.2018.11.005" TargetMode="External" /><Relationship Type="http://schemas.openxmlformats.org/officeDocument/2006/relationships/hyperlink" Id="rId148" Target="https://doi.org/10.1016/j.chom.2016.05.012" TargetMode="External" /><Relationship Type="http://schemas.openxmlformats.org/officeDocument/2006/relationships/hyperlink" Id="rId78" Target="https://doi.org/10.1016/j.cub.2017.10.025" TargetMode="External" /><Relationship Type="http://schemas.openxmlformats.org/officeDocument/2006/relationships/hyperlink" Id="rId150" Target="https://doi.org/10.1038/ng.705" TargetMode="External" /><Relationship Type="http://schemas.openxmlformats.org/officeDocument/2006/relationships/hyperlink" Id="rId127" Target="https://doi.org/10.1038/nmeth.4285" TargetMode="External" /><Relationship Type="http://schemas.openxmlformats.org/officeDocument/2006/relationships/hyperlink" Id="rId86" Target="https://doi.org/10.1038/s41598-017-13481-2" TargetMode="External" /><Relationship Type="http://schemas.openxmlformats.org/officeDocument/2006/relationships/hyperlink" Id="rId106" Target="https://doi.org/10.1073/pnas.0404012101" TargetMode="External" /><Relationship Type="http://schemas.openxmlformats.org/officeDocument/2006/relationships/hyperlink" Id="rId124" Target="https://doi.org/10.1073/pnas.1205750110" TargetMode="External" /><Relationship Type="http://schemas.openxmlformats.org/officeDocument/2006/relationships/hyperlink" Id="rId144" Target="https://doi.org/10.1073/pnas.1901366116" TargetMode="External" /><Relationship Type="http://schemas.openxmlformats.org/officeDocument/2006/relationships/hyperlink" Id="rId101" Target="https://doi.org/10.1073/pnas.96.24.14043" TargetMode="External" /><Relationship Type="http://schemas.openxmlformats.org/officeDocument/2006/relationships/hyperlink" Id="rId130" Target="https://doi.org/10.1093/molbev/msaa015" TargetMode="External" /><Relationship Type="http://schemas.openxmlformats.org/officeDocument/2006/relationships/hyperlink" Id="rId133" Target="https://doi.org/10.1093/molbev/msx281" TargetMode="External" /><Relationship Type="http://schemas.openxmlformats.org/officeDocument/2006/relationships/hyperlink" Id="rId136" Target="https://doi.org/10.1093/sysbio/syv068" TargetMode="External" /><Relationship Type="http://schemas.openxmlformats.org/officeDocument/2006/relationships/hyperlink" Id="rId139" Target="https://doi.org/10.1093/ve/vex042" TargetMode="External" /><Relationship Type="http://schemas.openxmlformats.org/officeDocument/2006/relationships/hyperlink" Id="rId121" Target="https://doi.org/10.7717/peerj.10947" TargetMode="External" /><Relationship Type="http://schemas.openxmlformats.org/officeDocument/2006/relationships/hyperlink" Id="rId110"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8" Target="https://github.com/ktmeaton/NCBImeta" TargetMode="External" /><Relationship Type="http://schemas.openxmlformats.org/officeDocument/2006/relationships/hyperlink" Id="rId21" Target="https://github.com/ktmeaton/obsidian-public/tree/540f66f6" TargetMode="External" /><Relationship Type="http://schemas.openxmlformats.org/officeDocument/2006/relationships/hyperlink" Id="rId118" Target="https://github.com/ncbi/sra-tools" TargetMode="External" /><Relationship Type="http://schemas.openxmlformats.org/officeDocument/2006/relationships/hyperlink" Id="rId112"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16"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20" Target="https://peerj.com/articles/10947" TargetMode="External" /><Relationship Type="http://schemas.openxmlformats.org/officeDocument/2006/relationships/hyperlink" Id="rId20" Target="https://rawcdn.githack.com/ktmeaton/obsidian-public/540f66f6/academic/Plague%20Phylodynamics%20and%20Phylogeography%20Paper.html" TargetMode="External" /><Relationship Type="http://schemas.openxmlformats.org/officeDocument/2006/relationships/hyperlink" Id="rId95" Target="https://worldcat.org/isbn/0-85115-943-5" TargetMode="External" /><Relationship Type="http://schemas.openxmlformats.org/officeDocument/2006/relationships/hyperlink" Id="rId81" Target="https://www.cell.com/cell/abstract/S0092-8674(18)31464-8" TargetMode="External" /><Relationship Type="http://schemas.openxmlformats.org/officeDocument/2006/relationships/hyperlink" Id="rId91" Target="https://www.ncbi.nlm.nih.gov/pmc/articles/PMC172914" TargetMode="External" /><Relationship Type="http://schemas.openxmlformats.org/officeDocument/2006/relationships/hyperlink" Id="rId103" Target="https://www.ncbi.nlm.nih.gov/pmc/articles/PMC24187" TargetMode="External" /><Relationship Type="http://schemas.openxmlformats.org/officeDocument/2006/relationships/hyperlink" Id="rId152" Target="https://www.ncbi.nlm.nih.gov/pmc/articles/PMC2999892" TargetMode="External" /><Relationship Type="http://schemas.openxmlformats.org/officeDocument/2006/relationships/hyperlink" Id="rId88" Target="https://www.ncbi.nlm.nih.gov/pmc/articles/PMC5636801" TargetMode="External" /><Relationship Type="http://schemas.openxmlformats.org/officeDocument/2006/relationships/hyperlink" Id="rId85" Target="https://www.ncbi.nlm.nih.gov/pmc/articles/PMC5636801/" TargetMode="External" /><Relationship Type="http://schemas.openxmlformats.org/officeDocument/2006/relationships/hyperlink" Id="rId141" Target="https://www.ncbi.nlm.nih.gov/pmc/articles/PMC5758920" TargetMode="External" /><Relationship Type="http://schemas.openxmlformats.org/officeDocument/2006/relationships/hyperlink" Id="rId138" Target="https://www.ncbi.nlm.nih.gov/pmc/articles/PMC5758920/" TargetMode="External" /><Relationship Type="http://schemas.openxmlformats.org/officeDocument/2006/relationships/hyperlink" Id="rId102" Target="https://www.ncbi.nlm.nih.gov/pubmed/10570195" TargetMode="External" /><Relationship Type="http://schemas.openxmlformats.org/officeDocument/2006/relationships/hyperlink" Id="rId151" Target="https://www.ncbi.nlm.nih.gov/pubmed/21037571" TargetMode="External" /><Relationship Type="http://schemas.openxmlformats.org/officeDocument/2006/relationships/hyperlink" Id="rId87" Target="https://www.ncbi.nlm.nih.gov/pubmed/29021541" TargetMode="External" /><Relationship Type="http://schemas.openxmlformats.org/officeDocument/2006/relationships/hyperlink" Id="rId79" Target="https://www.ncbi.nlm.nih.gov/pubmed/29174893" TargetMode="External" /><Relationship Type="http://schemas.openxmlformats.org/officeDocument/2006/relationships/hyperlink" Id="rId140" Target="https://www.ncbi.nlm.nih.gov/pubmed/29340210" TargetMode="External" /><Relationship Type="http://schemas.openxmlformats.org/officeDocument/2006/relationships/hyperlink" Id="rId83" Target="https://www.ncbi.nlm.nih.gov/pubmed/30528431" TargetMode="External" /><Relationship Type="http://schemas.openxmlformats.org/officeDocument/2006/relationships/hyperlink" Id="rId145" Target="https://www.ncbi.nlm.nih.gov/pubmed/31138696" TargetMode="External" /><Relationship Type="http://schemas.openxmlformats.org/officeDocument/2006/relationships/hyperlink" Id="rId90" Target="https://www.ncbi.nlm.nih.gov/pubmed/8993858" TargetMode="External" /><Relationship Type="http://schemas.openxmlformats.org/officeDocument/2006/relationships/hyperlink" Id="rId114" Target="https://www.openstreetmap.org" TargetMode="External" /><Relationship Type="http://schemas.openxmlformats.org/officeDocument/2006/relationships/hyperlink" Id="rId143" Target="https://www.pnas.org/content/116/24/11833" TargetMode="External" /><Relationship Type="http://schemas.openxmlformats.org/officeDocument/2006/relationships/hyperlink" Id="rId93"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2021-05-25T21:37:56Z</dcterms:created>
  <dcterms:modified xsi:type="dcterms:W3CDTF">2021-05-25T21:37:56Z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