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6.png" ContentType="image/png"/>
  <Override PartName="/word/media/rId68.png" ContentType="image/png"/>
  <Override PartName="/word/media/rId82.png" ContentType="image/png"/>
  <Override PartName="/word/media/rId85.png" ContentType="image/png"/>
  <Override PartName="/word/media/rId94.png" ContentType="image/png"/>
  <Override PartName="/word/media/rId79.png" ContentType="image/png"/>
  <Override PartName="/word/media/rId88.png" ContentType="image/png"/>
  <Override PartName="/word/media/rId91.png" ContentType="image/png"/>
  <Override PartName="/word/media/rId54.png" ContentType="image/png"/>
  <Override PartName="/word/media/rId58.png" ContentType="image/png"/>
  <Override PartName="/word/media/rId73.png" ContentType="image/png"/>
  <Override PartName="/word/media/rId61.png" ContentType="image/png"/>
  <Override PartName="/word/media/rId47.png" ContentType="image/png"/>
  <Override PartName="/word/media/rId37.png" ContentType="image/png"/>
  <Override PartName="/word/media/rId51.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ktmeaton/obsidian-public@7defc6b7</w:t>
        </w:r>
      </w:hyperlink>
      <w:r>
        <w:t xml:space="preserve"> </w:t>
      </w:r>
      <w:r>
        <w:t xml:space="preserve">on May 31,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datasets 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The partitioning of data by clade is a relatively new approach in Yersinia research and has been implemented used to… study epidemics of interest</w:t>
      </w:r>
      <w:r>
        <w:t xml:space="preserve"> </w:t>
      </w:r>
      <w:r>
        <w:t xml:space="preserve">[</w:t>
      </w:r>
      <w:hyperlink w:anchor="ref-MDriN15G">
        <w:r>
          <w:rPr>
            <w:rStyle w:val="Hyperlink"/>
          </w:rPr>
          <w:t xml:space="preserve">21</w:t>
        </w:r>
      </w:hyperlink>
      <w:r>
        <w:t xml:space="preserve">,</w:t>
      </w:r>
      <w:hyperlink w:anchor="ref-1CPIgshmC">
        <w:r>
          <w:rPr>
            <w:rStyle w:val="Hyperlink"/>
          </w:rPr>
          <w:t xml:space="preserve">22</w:t>
        </w:r>
      </w:hyperlink>
      <w:r>
        <w:t xml:space="preserve">]</w:t>
      </w:r>
      <w:r>
        <w:t xml:space="preserve">.</w:t>
      </w:r>
    </w:p>
    <w:p>
      <w:pPr>
        <w:pStyle w:val="BodyText"/>
      </w:pPr>
      <w:r>
        <w:t xml:space="preserve">Clade and subclade labeling was derived from the five-branch population structure accompanied by a biovar abbreviation (</w:t>
      </w:r>
      <w:r>
        <w:t xml:space="preserve">[</w:t>
      </w:r>
      <w:hyperlink w:anchor="ref-ONhNS9aO">
        <w:r>
          <w:rPr>
            <w:rStyle w:val="Hyperlink"/>
          </w:rPr>
          <w:t xml:space="preserve">23</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2</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26</w:t>
        </w:r>
      </w:hyperlink>
      <w:r>
        <w:t xml:space="preserve">]</w:t>
      </w:r>
      <w:r>
        <w:t xml:space="preserve">.</w:t>
      </w:r>
    </w:p>
    <w:p>
      <w:pPr>
        <w:pStyle w:val="Heading3"/>
      </w:pPr>
      <w:bookmarkStart w:id="43" w:name="phylodynamics"/>
      <w:r>
        <w:t xml:space="preserve">Phylodynamics</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BodyText"/>
      </w:pPr>
      <w:r>
        <w:t xml:space="preserve">A bayesian timetree was estimated using … as implemented in BEAST.</w:t>
      </w:r>
    </w:p>
    <w:p>
      <w:pPr>
        <w:pStyle w:val="BodyText"/>
      </w:pPr>
      <w:r>
        <w:t xml:space="preserve">A maximum-likelihood timetree was estimated using a least-squares approach as implemented in LSD2</w:t>
      </w:r>
      <w:r>
        <w:t xml:space="preserve"> </w:t>
      </w:r>
      <w:r>
        <w:t xml:space="preserve">[</w:t>
      </w:r>
      <w:hyperlink w:anchor="ref-VomZnwKw">
        <w:r>
          <w:rPr>
            <w:rStyle w:val="Hyperlink"/>
          </w:rPr>
          <w:t xml:space="preserve">27</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4" w:name="phylogeography"/>
      <w:r>
        <w:t xml:space="preserve">Phylogeography</w:t>
      </w:r>
      <w:bookmarkEnd w:id="44"/>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28</w:t>
        </w:r>
      </w:hyperlink>
      <w:r>
        <w:t xml:space="preserve">]</w:t>
      </w:r>
      <w:r>
        <w:t xml:space="preserve">. A node was considered to have strong support if the inferred probability of the mugration state was &gt;= 95% and the topological branch support (UFboot) was &gt;= 95%.</w:t>
      </w:r>
    </w:p>
    <w:p>
      <w:pPr>
        <w:pStyle w:val="Heading2"/>
      </w:pPr>
      <w:bookmarkStart w:id="45" w:name="results"/>
      <w:r>
        <w:t xml:space="preserve">Results</w:t>
      </w:r>
      <w:bookmarkEnd w:id="45"/>
    </w:p>
    <w:p>
      <w:pPr>
        <w:pStyle w:val="Heading3"/>
      </w:pPr>
      <w:bookmarkStart w:id="46" w:name="population-structure"/>
      <w:r>
        <w:t xml:space="preserve">Population Structure</w:t>
      </w:r>
      <w:bookmarkEnd w:id="46"/>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48"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47"/>
                    <a:stretch>
                      <a:fillRect/>
                    </a:stretch>
                  </pic:blipFill>
                  <pic:spPr bwMode="auto">
                    <a:xfrm>
                      <a:off x="0" y="0"/>
                      <a:ext cx="5943600" cy="4309410"/>
                    </a:xfrm>
                    <a:prstGeom prst="rect">
                      <a:avLst/>
                    </a:prstGeom>
                    <a:noFill/>
                    <a:ln w="9525">
                      <a:noFill/>
                      <a:headEnd/>
                      <a:tailEnd/>
                    </a:ln>
                  </pic:spPr>
                </pic:pic>
              </a:graphicData>
            </a:graphic>
          </wp:inline>
        </w:drawing>
      </w:r>
      <w:bookmarkEnd w:id="48"/>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29</w:t>
        </w:r>
      </w:hyperlink>
      <w:r>
        <w:t xml:space="preserve">,</w:t>
      </w:r>
      <w:hyperlink w:anchor="ref-66GmpEaG">
        <w:r>
          <w:rPr>
            <w:rStyle w:val="Hyperlink"/>
          </w:rPr>
          <w:t xml:space="preserve">30</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31</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49" w:name="pandemics-of-plague"/>
      <w:r>
        <w:t xml:space="preserve">Pandemics of Plague</w:t>
      </w:r>
      <w:bookmarkEnd w:id="49"/>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32</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0" w:name="the-three-pandemic-problem"/>
      <w:r>
        <w:t xml:space="preserve">The Three Pandemic Problem</w:t>
      </w:r>
      <w:bookmarkEnd w:id="50"/>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33</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34</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2"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1"/>
                    <a:stretch>
                      <a:fillRect/>
                    </a:stretch>
                  </pic:blipFill>
                  <pic:spPr bwMode="auto">
                    <a:xfrm>
                      <a:off x="0" y="0"/>
                      <a:ext cx="5943600" cy="3499761"/>
                    </a:xfrm>
                    <a:prstGeom prst="rect">
                      <a:avLst/>
                    </a:prstGeom>
                    <a:noFill/>
                    <a:ln w="9525">
                      <a:noFill/>
                      <a:headEnd/>
                      <a:tailEnd/>
                    </a:ln>
                  </pic:spPr>
                </pic:pic>
              </a:graphicData>
            </a:graphic>
          </wp:inline>
        </w:drawing>
      </w:r>
      <w:bookmarkEnd w:id="52"/>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4"/>
      </w:pPr>
      <w:bookmarkStart w:id="53" w:name="hosts"/>
      <w:r>
        <w:t xml:space="preserve">Hosts</w:t>
      </w:r>
      <w:bookmarkEnd w:id="53"/>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55" w:name="fig:fig_divtree_map_host"/>
      <w:r>
        <w:drawing>
          <wp:inline>
            <wp:extent cx="5943600" cy="2213829"/>
            <wp:effectExtent b="0" l="0" r="0" t="0"/>
            <wp:docPr descr="Figure 4: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54"/>
                    <a:stretch>
                      <a:fillRect/>
                    </a:stretch>
                  </pic:blipFill>
                  <pic:spPr bwMode="auto">
                    <a:xfrm>
                      <a:off x="0" y="0"/>
                      <a:ext cx="5943600" cy="2213829"/>
                    </a:xfrm>
                    <a:prstGeom prst="rect">
                      <a:avLst/>
                    </a:prstGeom>
                    <a:noFill/>
                    <a:ln w="9525">
                      <a:noFill/>
                      <a:headEnd/>
                      <a:tailEnd/>
                    </a:ln>
                  </pic:spPr>
                </pic:pic>
              </a:graphicData>
            </a:graphic>
          </wp:inline>
        </w:drawing>
      </w:r>
      <w:bookmarkEnd w:id="55"/>
    </w:p>
    <w:p>
      <w:pPr>
        <w:pStyle w:val="ImageCaption"/>
      </w:pPr>
      <w:r>
        <w:t xml:space="preserve">Figure 4: Distribution of human vs. non-human samples.</w:t>
      </w:r>
    </w:p>
    <w:bookmarkEnd w:id="0"/>
    <w:p>
      <w:pPr>
        <w:pStyle w:val="Heading3"/>
      </w:pPr>
      <w:bookmarkStart w:id="56" w:name="phylodynamics-1"/>
      <w:r>
        <w:t xml:space="preserve">Phylodynamics</w:t>
      </w:r>
      <w:bookmarkEnd w:id="56"/>
    </w:p>
    <w:p>
      <w:pPr>
        <w:pStyle w:val="BlockText"/>
      </w:pPr>
      <w:r>
        <w:t xml:space="preserve">How has the known diversity of plague changed over time?</w:t>
      </w:r>
    </w:p>
    <w:p>
      <w:pPr>
        <w:pStyle w:val="Heading4"/>
      </w:pPr>
      <w:bookmarkStart w:id="57" w:name="temporal-distribution"/>
      <w:r>
        <w:t xml:space="preserve">Temporal Distribution</w:t>
      </w:r>
      <w:bookmarkEnd w:id="57"/>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5</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9" w:name="fig:fig_timeline"/>
      <w:r>
        <w:drawing>
          <wp:inline>
            <wp:extent cx="5026902" cy="1281997"/>
            <wp:effectExtent b="0" l="0" r="0" t="0"/>
            <wp:docPr descr="Figure 5: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8"/>
                    <a:stretch>
                      <a:fillRect/>
                    </a:stretch>
                  </pic:blipFill>
                  <pic:spPr bwMode="auto">
                    <a:xfrm>
                      <a:off x="0" y="0"/>
                      <a:ext cx="5026902" cy="1281997"/>
                    </a:xfrm>
                    <a:prstGeom prst="rect">
                      <a:avLst/>
                    </a:prstGeom>
                    <a:noFill/>
                    <a:ln w="9525">
                      <a:noFill/>
                      <a:headEnd/>
                      <a:tailEnd/>
                    </a:ln>
                  </pic:spPr>
                </pic:pic>
              </a:graphicData>
            </a:graphic>
          </wp:inline>
        </w:drawing>
      </w:r>
      <w:bookmarkEnd w:id="59"/>
    </w:p>
    <w:p>
      <w:pPr>
        <w:pStyle w:val="ImageCaption"/>
      </w:pPr>
      <w:r>
        <w:t xml:space="preserve">Figure 5: Temporal distribution of</w:t>
      </w:r>
      <w:r>
        <w:t xml:space="preserve"> </w:t>
      </w:r>
      <w:r>
        <w:rPr>
          <w:i/>
        </w:rPr>
        <w:t xml:space="preserve">Y. pestis</w:t>
      </w:r>
      <w:r>
        <w:t xml:space="preserve"> </w:t>
      </w:r>
      <w:r>
        <w:t xml:space="preserve">genomes.</w:t>
      </w:r>
    </w:p>
    <w:bookmarkEnd w:id="0"/>
    <w:p>
      <w:pPr>
        <w:pStyle w:val="Heading4"/>
      </w:pPr>
      <w:bookmarkStart w:id="60" w:name="sec:temporal_signal"/>
      <w:r>
        <w:t xml:space="preserve">Temporal Signal</w:t>
      </w:r>
      <w:bookmarkEnd w:id="60"/>
    </w:p>
    <w:p>
      <w:pPr>
        <w:pStyle w:val="BlockText"/>
      </w:pPr>
      <w:r>
        <w:rPr>
          <w:b/>
        </w:rPr>
        <w:t xml:space="preserve">TDLR;</w:t>
      </w:r>
    </w:p>
    <w:p>
      <w:pPr>
        <w:numPr>
          <w:ilvl w:val="0"/>
          <w:numId w:val="1007"/>
        </w:numPr>
        <w:pStyle w:val="Compact"/>
      </w:pPr>
      <w:r>
        <w:rPr>
          <w:i/>
        </w:rPr>
        <w:t xml:space="preserve">Y. pestis</w:t>
      </w:r>
      <w:r>
        <w:t xml:space="preserve"> </w:t>
      </w:r>
      <w:r>
        <w:t xml:space="preserve">has more temporal signal than previously thought.</w:t>
      </w:r>
    </w:p>
    <w:p>
      <w:pPr>
        <w:numPr>
          <w:ilvl w:val="0"/>
          <w:numId w:val="1007"/>
        </w:numPr>
        <w:pStyle w:val="Compact"/>
      </w:pPr>
      <w:r>
        <w:t xml:space="preserve">A root-to-tip regression is a poor measure of temporal signal.</w:t>
      </w:r>
    </w:p>
    <w:p>
      <w:pPr>
        <w:pStyle w:val="FirstParagraph"/>
      </w:pPr>
      <w:r>
        <w:rPr>
          <w:i/>
        </w:rPr>
        <w:t xml:space="preserve">Y. pestis</w:t>
      </w:r>
      <w:r>
        <w:t xml:space="preserve"> </w:t>
      </w:r>
      <w:r>
        <w:t xml:space="preserve">has been unambiguously shown to exhibit substantial rate variation both between and within clades</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 It is therefore unsurprising that extreme rate variation is also observed in this study. The Coefficient of Determination (R</w:t>
      </w:r>
      <w:r>
        <w:t xml:space="preserve">2</w:t>
      </w:r>
      <w:r>
        <w:t xml:space="preserve">) of the linear regression for the full dataset is extremely low at 0.09 (Table</w:t>
      </w:r>
      <w:r>
        <w:t xml:space="preserve"> </w:t>
      </w:r>
      <w:hyperlink w:anchor="tbl:table_temporal_signal">
        <w:r>
          <w:rPr>
            <w:rStyle w:val="Hyperlink"/>
          </w:rPr>
          <w:t xml:space="preserve">2</w:t>
        </w:r>
      </w:hyperlink>
      <w:r>
        <w:t xml:space="preserve">). This suggests that a simple linear model, such as the strict clock model, is overall a poor fit for the data.</w:t>
      </w:r>
    </w:p>
    <w:p>
      <w:pPr>
        <w:pStyle w:val="BlockText"/>
      </w:pPr>
      <w:r>
        <w:t xml:space="preserve">What were the BETS results for the reduced dataset?</w:t>
      </w:r>
    </w:p>
    <w:p>
      <w:pPr>
        <w:pStyle w:val="FirstParagraph"/>
      </w:pPr>
      <w:r>
        <w:t xml:space="preserve">Taken together, these findings seem to support the observation that</w:t>
      </w:r>
      <w:r>
        <w:t xml:space="preserve"> </w:t>
      </w:r>
      <w:r>
        <w:rPr>
          <w:i/>
        </w:rPr>
        <w:t xml:space="preserve">Y. pestis</w:t>
      </w:r>
      <w:r>
        <w:t xml:space="preserve"> </w:t>
      </w:r>
      <w:r>
        <w:t xml:space="preserve">as a whole does not demonstrate temporal signal.</w:t>
      </w:r>
    </w:p>
    <w:p>
      <w:pPr>
        <w:pStyle w:val="BodyText"/>
      </w:pPr>
      <w:r>
        <w:t xml:space="preserve">However, visual inspection of the Root to Tip Regression hints that rate variation may be partially explained by clade-specific clocks (Figure</w:t>
      </w:r>
      <w:r>
        <w:t xml:space="preserve"> </w:t>
      </w:r>
      <w:hyperlink w:anchor="fig:fig_rtt_all">
        <w:r>
          <w:rPr>
            <w:rStyle w:val="Hyperlink"/>
          </w:rPr>
          <w:t xml:space="preserve">6</w:t>
        </w:r>
      </w:hyperlink>
      <w:r>
        <w:t xml:space="preserve">). When examining each clade in isolation, evidence of strict clock-like behavior is recovered in both the Root to Tip Regression and the BETS Bayes factors (Table</w:t>
      </w:r>
      <w:r>
        <w:t xml:space="preserve"> </w:t>
      </w:r>
      <w:hyperlink w:anchor="tbl:table_temporal_signal">
        <w:r>
          <w:rPr>
            <w:rStyle w:val="Hyperlink"/>
          </w:rPr>
          <w:t xml:space="preserve">2</w:t>
        </w:r>
      </w:hyperlink>
      <w:r>
        <w:t xml:space="preserve">, Figure</w:t>
      </w:r>
      <w:r>
        <w:t xml:space="preserve"> </w:t>
      </w:r>
      <w:hyperlink w:anchor="fig:fig_rate_boxplot_all">
        <w:r>
          <w:rPr>
            <w:rStyle w:val="Hyperlink"/>
          </w:rPr>
          <w:t xml:space="preserve">15</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 It may be a useful avenue of research to investigate to what extent rate variation is a useful predictor for</w:t>
      </w:r>
      <w:r>
        <w:t xml:space="preserve"> </w:t>
      </w:r>
      <w:r>
        <w:t xml:space="preserve">‘</w:t>
      </w:r>
      <w:r>
        <w:t xml:space="preserve">pandemic potential</w:t>
      </w:r>
      <w:r>
        <w:t xml:space="preserve">’</w:t>
      </w:r>
      <w:r>
        <w:t xml:space="preserve">.</w:t>
      </w:r>
    </w:p>
    <w:p>
      <w:pPr>
        <w:pStyle w:val="BodyText"/>
      </w:pPr>
      <w:r>
        <w:t xml:space="preserve">While a Root to Tip Regression can be useful tool to explore temporal signal, it has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 A BETS analysis counters both of these limitations, and is overall more sensitive given that multiple clock models can be tested. The superior performance of the BETS test can be seen in (Table</w:t>
      </w:r>
      <w:r>
        <w:t xml:space="preserve"> </w:t>
      </w:r>
      <w:hyperlink w:anchor="tbl:table_temporal_signal">
        <w:r>
          <w:rPr>
            <w:rStyle w:val="Hyperlink"/>
          </w:rPr>
          <w:t xml:space="preserve">2</w:t>
        </w:r>
      </w:hyperlink>
      <w:r>
        <w:t xml:space="preserve">). The Root to Tip Regression detects temporal signal in 5/12 clades while BETS detects signal in 7/12 clades. Furthermore, in all cases the [[Clock Model|relaxed clock]] proves to have stronger support, even when the regression Coefficient of Determination is high. The conclusion is that a root-to-tip regression is a relatively poor measure of temporal signal in</w:t>
      </w:r>
      <w:r>
        <w:t xml:space="preserve"> </w:t>
      </w:r>
      <w:r>
        <w:rPr>
          <w:i/>
        </w:rPr>
        <w:t xml:space="preserve">Y. pestis</w:t>
      </w:r>
      <w:r>
        <w:t xml:space="preserve">.</w:t>
      </w:r>
    </w:p>
    <w:p>
      <w:pPr>
        <w:pStyle w:val="BlockText"/>
      </w:pPr>
      <w:r>
        <w:t xml:space="preserve">Wait for an update on 0.PRE to confirm this.</w:t>
      </w:r>
    </w:p>
    <w:bookmarkStart w:id="0" w:name="fig:fig_rtt_all"/>
    <w:p>
      <w:pPr>
        <w:pStyle w:val="CaptionedFigure"/>
      </w:pPr>
      <w:bookmarkStart w:id="62" w:name="fig:fig_rtt_all"/>
      <w:r>
        <w:drawing>
          <wp:inline>
            <wp:extent cx="3119155" cy="1781009"/>
            <wp:effectExtent b="0" l="0" r="0" t="0"/>
            <wp:docPr descr="Figure 6: Root to Tip Regression of Y. pestis on sampling date, colored by clade." title="" id="1" name="Picture"/>
            <a:graphic>
              <a:graphicData uri="http://schemas.openxmlformats.org/drawingml/2006/picture">
                <pic:pic>
                  <pic:nvPicPr>
                    <pic:cNvPr descr="https://rawcdn.githack.com/ktmeaton/plague-phylogeography-projects/4dcc459/main/iqtree/all/chromosome/full/filter5/filter-taxa/rtt_all_branch_major.png" id="0" name="Picture"/>
                    <pic:cNvPicPr>
                      <a:picLocks noChangeArrowheads="1" noChangeAspect="1"/>
                    </pic:cNvPicPr>
                  </pic:nvPicPr>
                  <pic:blipFill>
                    <a:blip r:embed="rId61"/>
                    <a:stretch>
                      <a:fillRect/>
                    </a:stretch>
                  </pic:blipFill>
                  <pic:spPr bwMode="auto">
                    <a:xfrm>
                      <a:off x="0" y="0"/>
                      <a:ext cx="3119155" cy="1781009"/>
                    </a:xfrm>
                    <a:prstGeom prst="rect">
                      <a:avLst/>
                    </a:prstGeom>
                    <a:noFill/>
                    <a:ln w="9525">
                      <a:noFill/>
                      <a:headEnd/>
                      <a:tailEnd/>
                    </a:ln>
                  </pic:spPr>
                </pic:pic>
              </a:graphicData>
            </a:graphic>
          </wp:inline>
        </w:drawing>
      </w:r>
      <w:bookmarkEnd w:id="62"/>
    </w:p>
    <w:p>
      <w:pPr>
        <w:pStyle w:val="ImageCaption"/>
      </w:pPr>
      <w:r>
        <w:t xml:space="preserve">Figure 6: Root to Tip Regression of Y. pestis on sampling date, colored by clade.</w:t>
      </w:r>
    </w:p>
    <w:bookmarkEnd w:id="0"/>
    <w:p>
      <w:pPr>
        <w:pStyle w:val="BlockText"/>
      </w:pPr>
      <w:r>
        <w:t xml:space="preserve">So what about Branch 2, since I was so adamant that it could be an undocumented historical pandemic?</w:t>
      </w:r>
    </w:p>
    <w:p>
      <w:pPr>
        <w:pStyle w:val="Heading4"/>
      </w:pPr>
      <w:bookmarkStart w:id="63" w:name="clock-model"/>
      <w:r>
        <w:t xml:space="preserve">Clock Model</w:t>
      </w:r>
      <w:bookmarkEnd w:id="63"/>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7</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65" w:name="fig:fig_coefficient_variation"/>
      <w:r>
        <w:drawing>
          <wp:inline>
            <wp:extent cx="5943600" cy="3097258"/>
            <wp:effectExtent b="0" l="0" r="0" t="0"/>
            <wp:docPr descr="Figure 7: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4"/>
                    <a:stretch>
                      <a:fillRect/>
                    </a:stretch>
                  </pic:blipFill>
                  <pic:spPr bwMode="auto">
                    <a:xfrm>
                      <a:off x="0" y="0"/>
                      <a:ext cx="5943600" cy="3097258"/>
                    </a:xfrm>
                    <a:prstGeom prst="rect">
                      <a:avLst/>
                    </a:prstGeom>
                    <a:noFill/>
                    <a:ln w="9525">
                      <a:noFill/>
                      <a:headEnd/>
                      <a:tailEnd/>
                    </a:ln>
                  </pic:spPr>
                </pic:pic>
              </a:graphicData>
            </a:graphic>
          </wp:inline>
        </w:drawing>
      </w:r>
      <w:bookmarkEnd w:id="65"/>
    </w:p>
    <w:p>
      <w:pPr>
        <w:pStyle w:val="ImageCaption"/>
      </w:pPr>
      <w:r>
        <w:t xml:space="preserve">Figure 7: Coefficient of variation.</w:t>
      </w:r>
    </w:p>
    <w:bookmarkEnd w:id="0"/>
    <w:p>
      <w:pPr>
        <w:numPr>
          <w:ilvl w:val="0"/>
          <w:numId w:val="1009"/>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This is observed in a Bayesian framework, where the strict clock underestimates the mean and the relaxed clock is multi-modal (Figure</w:t>
      </w:r>
      <w:r>
        <w:t xml:space="preserve"> </w:t>
      </w:r>
      <w:hyperlink w:anchor="fig:fig_sub_rate_compare">
        <w:r>
          <w:rPr>
            <w:rStyle w:val="Hyperlink"/>
          </w:rPr>
          <w:t xml:space="preserve">8</w:t>
        </w:r>
      </w:hyperlink>
      <w:r>
        <w:t xml:space="preserve">). Also in a maximum likelihood framework (strict: 7.86E-09, relaxed: 1.63E-08)</w:t>
      </w:r>
    </w:p>
    <w:bookmarkStart w:id="0" w:name="fig:fig_sub_rate_compare"/>
    <w:p>
      <w:pPr>
        <w:pStyle w:val="CaptionedFigure"/>
      </w:pPr>
      <w:bookmarkStart w:id="67" w:name="fig:fig_sub_rate_compare"/>
      <w:r>
        <w:drawing>
          <wp:inline>
            <wp:extent cx="5943600" cy="4842083"/>
            <wp:effectExtent b="0" l="0" r="0" t="0"/>
            <wp:docPr descr="Figure 8: Substitution rate comparison (green: strict clock, orange: relaxed clock."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66"/>
                    <a:stretch>
                      <a:fillRect/>
                    </a:stretch>
                  </pic:blipFill>
                  <pic:spPr bwMode="auto">
                    <a:xfrm>
                      <a:off x="0" y="0"/>
                      <a:ext cx="5943600" cy="4842083"/>
                    </a:xfrm>
                    <a:prstGeom prst="rect">
                      <a:avLst/>
                    </a:prstGeom>
                    <a:noFill/>
                    <a:ln w="9525">
                      <a:noFill/>
                      <a:headEnd/>
                      <a:tailEnd/>
                    </a:ln>
                  </pic:spPr>
                </pic:pic>
              </a:graphicData>
            </a:graphic>
          </wp:inline>
        </w:drawing>
      </w:r>
      <w:bookmarkEnd w:id="67"/>
    </w:p>
    <w:p>
      <w:pPr>
        <w:pStyle w:val="ImageCaption"/>
      </w:pPr>
      <w:r>
        <w:t xml:space="preserve">Figure 8: Substitution rate comparison (green: strict clock, orange: relaxed clock.</w:t>
      </w:r>
    </w:p>
    <w:bookmarkEnd w:id="0"/>
    <w:p>
      <w:pPr>
        <w:numPr>
          <w:ilvl w:val="0"/>
          <w:numId w:val="1010"/>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9</w:t>
        </w:r>
      </w:hyperlink>
      <w:r>
        <w:t xml:space="preserve">).</w:t>
      </w:r>
    </w:p>
    <w:bookmarkStart w:id="0" w:name="fig:fig_timetree_color_rate"/>
    <w:p>
      <w:pPr>
        <w:pStyle w:val="CaptionedFigure"/>
      </w:pPr>
      <w:bookmarkStart w:id="69" w:name="fig:fig_timetree_color_rate"/>
      <w:r>
        <w:drawing>
          <wp:inline>
            <wp:extent cx="5943600" cy="3041862"/>
            <wp:effectExtent b="0" l="0" r="0" t="0"/>
            <wp:docPr descr="Figure 9: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68"/>
                    <a:stretch>
                      <a:fillRect/>
                    </a:stretch>
                  </pic:blipFill>
                  <pic:spPr bwMode="auto">
                    <a:xfrm>
                      <a:off x="0" y="0"/>
                      <a:ext cx="5943600" cy="3041862"/>
                    </a:xfrm>
                    <a:prstGeom prst="rect">
                      <a:avLst/>
                    </a:prstGeom>
                    <a:noFill/>
                    <a:ln w="9525">
                      <a:noFill/>
                      <a:headEnd/>
                      <a:tailEnd/>
                    </a:ln>
                  </pic:spPr>
                </pic:pic>
              </a:graphicData>
            </a:graphic>
          </wp:inline>
        </w:drawing>
      </w:r>
      <w:bookmarkEnd w:id="69"/>
    </w:p>
    <w:p>
      <w:pPr>
        <w:pStyle w:val="ImageCaption"/>
      </w:pPr>
      <w:r>
        <w:t xml:space="preserve">Figure 9: Time tree colored by rate.</w:t>
      </w:r>
    </w:p>
    <w:bookmarkEnd w:id="0"/>
    <w:p>
      <w:pPr>
        <w:pStyle w:val="Heading4"/>
      </w:pPr>
      <w:bookmarkStart w:id="70" w:name="mean-substitution-rate"/>
      <w:r>
        <w:t xml:space="preserve">Mean Substitution Rate</w:t>
      </w:r>
      <w:bookmarkEnd w:id="70"/>
    </w:p>
    <w:p>
      <w:pPr>
        <w:pStyle w:val="BlockText"/>
      </w:pPr>
      <w:r>
        <w:rPr>
          <w:b/>
        </w:rPr>
        <w:t xml:space="preserve">TLDR;</w:t>
      </w:r>
    </w:p>
    <w:p>
      <w:pPr>
        <w:numPr>
          <w:ilvl w:val="0"/>
          <w:numId w:val="1011"/>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1</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Furthermore, given that the full dataset shows no temporal signal, likely due to the lineage-specific variation showed in Figure</w:t>
      </w:r>
      <w:r>
        <w:t xml:space="preserve"> </w:t>
      </w:r>
      <w:hyperlink w:anchor="fig:fig_rate_boxplot_all">
        <w:r>
          <w:rPr>
            <w:rStyle w:val="Hyperlink"/>
          </w:rPr>
          <w:t xml:space="preserve">15</w:t>
        </w:r>
      </w:hyperlink>
      <w:r>
        <w:t xml:space="preserve">, the mean substitution rate is of little interpretive value.</w:t>
      </w:r>
    </w:p>
    <w:p>
      <w:pPr>
        <w:pStyle w:val="BlockText"/>
      </w:pPr>
      <w:r>
        <w:t xml:space="preserve">The time-dependency does not hold in the clade datasets! (Figure</w:t>
      </w:r>
      <w:r>
        <w:t xml:space="preserve"> </w:t>
      </w:r>
      <w:hyperlink w:anchor="fig:fig_time-dependency_clades">
        <w:r>
          <w:rPr>
            <w:rStyle w:val="Hyperlink"/>
          </w:rPr>
          <w:t xml:space="preserve">13</w:t>
        </w:r>
      </w:hyperlink>
      <w:r>
        <w:t xml:space="preserve">)</w:t>
      </w:r>
    </w:p>
    <w:bookmarkStart w:id="0" w:name="tbl:table_bacterial_rate_comparison"/>
    <w:p>
      <w:pPr>
        <w:pStyle w:val="TableCaption"/>
      </w:pPr>
      <w:r>
        <w:t xml:space="preserve">Table 1: Substitution rates of bacterial pathogens.</w:t>
      </w:r>
      <w:r>
        <w:t xml:space="preserve"> </w:t>
      </w:r>
    </w:p>
    <w:tbl>
      <w:tblPr>
        <w:tblStyle w:val="Table"/>
        <w:tblW w:type="pct" w:w="5000.0"/>
        <w:tblLook w:firstRow="1"/>
        <w:tblCaption w:val="Table 1: Substitution rates of bacterial pathogens. "/>
      </w:tblPr>
      <w:tblGrid>
        <w:gridCol w:w="1242"/>
        <w:gridCol w:w="465"/>
        <w:gridCol w:w="1824"/>
        <w:gridCol w:w="815"/>
        <w:gridCol w:w="3571"/>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1.63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pStyle w:val="BlockText"/>
      </w:pP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23</w:t>
        </w:r>
      </w:hyperlink>
      <w:r>
        <w:t xml:space="preserve">]</w:t>
      </w:r>
      <w:r>
        <w:t xml:space="preserve"> </w:t>
      </w:r>
      <w:r>
        <w:t xml:space="preserve">show some of the most dramatic rate acceleration to accomodate.</w:t>
      </w:r>
    </w:p>
    <w:p>
      <w:pPr>
        <w:pStyle w:val="Heading3"/>
      </w:pPr>
      <w:bookmarkStart w:id="71" w:name="phylogeography-1"/>
      <w:r>
        <w:t xml:space="preserve">Phylogeography</w:t>
      </w:r>
      <w:bookmarkEnd w:id="71"/>
    </w:p>
    <w:p>
      <w:pPr>
        <w:pStyle w:val="Heading4"/>
      </w:pPr>
      <w:bookmarkStart w:id="72" w:name="geographic-distribution"/>
      <w:r>
        <w:t xml:space="preserve">Geographic Distribution</w:t>
      </w:r>
      <w:bookmarkEnd w:id="72"/>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10</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10</w:t>
        </w:r>
      </w:hyperlink>
      <w:r>
        <w:t xml:space="preserve"> </w:t>
      </w:r>
      <w:r>
        <w:t xml:space="preserve">.A) does not reflect the known distribution of modern plague</w:t>
      </w:r>
      <w:r>
        <w:t xml:space="preserve"> </w:t>
      </w:r>
      <w:r>
        <w:t xml:space="preserve">[</w:t>
      </w:r>
      <w:hyperlink w:anchor="ref-pjjiQi2H">
        <w:r>
          <w:rPr>
            <w:rStyle w:val="Hyperlink"/>
          </w:rPr>
          <w:t xml:space="preserve">34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36</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23</w:t>
        </w:r>
      </w:hyperlink>
      <w:r>
        <w:t xml:space="preserve">,</w:t>
      </w:r>
      <w:hyperlink w:anchor="ref-Y4CIJOZW">
        <w:r>
          <w:rPr>
            <w:rStyle w:val="Hyperlink"/>
          </w:rPr>
          <w:t xml:space="preserve">37</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74" w:name="fig:fig_map_ibd_timeline"/>
      <w:r>
        <w:drawing>
          <wp:inline>
            <wp:extent cx="5943600" cy="4895663"/>
            <wp:effectExtent b="0" l="0" r="0" t="0"/>
            <wp:docPr descr="Figure 10: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3"/>
                    <a:stretch>
                      <a:fillRect/>
                    </a:stretch>
                  </pic:blipFill>
                  <pic:spPr bwMode="auto">
                    <a:xfrm>
                      <a:off x="0" y="0"/>
                      <a:ext cx="5943600" cy="4895663"/>
                    </a:xfrm>
                    <a:prstGeom prst="rect">
                      <a:avLst/>
                    </a:prstGeom>
                    <a:noFill/>
                    <a:ln w="9525">
                      <a:noFill/>
                      <a:headEnd/>
                      <a:tailEnd/>
                    </a:ln>
                  </pic:spPr>
                </pic:pic>
              </a:graphicData>
            </a:graphic>
          </wp:inline>
        </w:drawing>
      </w:r>
      <w:bookmarkEnd w:id="74"/>
    </w:p>
    <w:p>
      <w:pPr>
        <w:pStyle w:val="ImageCaption"/>
      </w:pPr>
      <w:r>
        <w:t xml:space="preserve">Figure 10: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75" w:name="ancestral-reconstruction"/>
      <w:r>
        <w:t xml:space="preserve">Ancestral Reconstruction</w:t>
      </w:r>
      <w:bookmarkEnd w:id="75"/>
    </w:p>
    <w:p>
      <w:pPr>
        <w:pStyle w:val="FirstParagraph"/>
      </w:pPr>
      <w:r>
        <w:t xml:space="preserve">The confidence with which ancestral location could be estimated is described in Table</w:t>
      </w:r>
      <w:r>
        <w:t xml:space="preserve"> </w:t>
      </w:r>
      <w:hyperlink w:anchor="Xf4c163450137af682a70d86f84b1a6764229489">
        <w:r>
          <w:rPr>
            <w:rStyle w:val="Hyperlink"/>
          </w:rPr>
          <w:t xml:space="preserve">3</w:t>
        </w:r>
      </w:hyperlink>
      <w:r>
        <w:t xml:space="preserve"> </w:t>
      </w:r>
      <w:r>
        <w:t xml:space="preserve">and visualized in Figure</w:t>
      </w:r>
      <w:r>
        <w:t xml:space="preserve"> </w:t>
      </w:r>
      <w:hyperlink w:anchor="fig:fig_phylogeography_confidence">
        <w:r>
          <w:rPr>
            <w:rStyle w:val="Hyperlink"/>
          </w:rPr>
          <w:t xml:space="preserve">16</w:t>
        </w:r>
      </w:hyperlink>
      <w:r>
        <w:t xml:space="preserve">. Across the entire phylogeny, the location of 34% of internal nodes could be estimated with high confidence given the data. Uncertainty derives from X sources:</w:t>
      </w:r>
    </w:p>
    <w:p>
      <w:pPr>
        <w:numPr>
          <w:ilvl w:val="0"/>
          <w:numId w:val="1012"/>
        </w:numPr>
        <w:pStyle w:val="Compact"/>
      </w:pPr>
      <w:r>
        <w:t xml:space="preserve">Overall slow substitution rate.</w:t>
      </w:r>
    </w:p>
    <w:p>
      <w:pPr>
        <w:numPr>
          <w:ilvl w:val="0"/>
          <w:numId w:val="1012"/>
        </w:numPr>
        <w:pStyle w:val="Compact"/>
      </w:pPr>
      <w:r>
        <w:t xml:space="preserve">Rapid geographic spread with little SNP differentiation.</w:t>
      </w:r>
    </w:p>
    <w:p>
      <w:pPr>
        <w:pStyle w:val="FirstParagraph"/>
      </w:pPr>
      <w:r>
        <w:t xml:space="preserve">ie. Not great for pandemic spread, not measurable evolving across the landscape. Phylogeography is better suited to …</w:t>
      </w:r>
    </w:p>
    <w:p>
      <w:pPr>
        <w:pStyle w:val="Heading2"/>
      </w:pPr>
      <w:bookmarkStart w:id="76" w:name="conclusion"/>
      <w:r>
        <w:t xml:space="preserve">Conclusion</w:t>
      </w:r>
      <w:bookmarkEnd w:id="76"/>
    </w:p>
    <w:p>
      <w:pPr>
        <w:pStyle w:val="Heading2"/>
      </w:pPr>
      <w:bookmarkStart w:id="77" w:name="appendix"/>
      <w:r>
        <w:t xml:space="preserve">Appendix</w:t>
      </w:r>
      <w:bookmarkEnd w:id="77"/>
    </w:p>
    <w:p>
      <w:pPr>
        <w:pStyle w:val="Heading3"/>
      </w:pPr>
      <w:bookmarkStart w:id="78" w:name="root-to-tip-regression"/>
      <w:r>
        <w:t xml:space="preserve">Root to Tip Regression</w:t>
      </w:r>
      <w:bookmarkEnd w:id="78"/>
    </w:p>
    <w:bookmarkStart w:id="0" w:name="fig:fig_tmrca_boxplot_all"/>
    <w:p>
      <w:pPr>
        <w:pStyle w:val="CaptionedFigure"/>
      </w:pPr>
      <w:bookmarkStart w:id="80" w:name="fig:fig_tmrca_boxplot_all"/>
      <w:r>
        <w:drawing>
          <wp:inline>
            <wp:extent cx="4985547" cy="5412880"/>
            <wp:effectExtent b="0" l="0" r="0" t="0"/>
            <wp:docPr descr="Figure 11: Time to Most Recent Common Ancestor (tMRCA) by clade." title="" id="1" name="Picture"/>
            <a:graphic>
              <a:graphicData uri="http://schemas.openxmlformats.org/drawingml/2006/picture">
                <pic:pic>
                  <pic:nvPicPr>
                    <pic:cNvPr descr="https://raw.githubusercontent.com/ktmeaton/plague-phylogeography-projects/b1bcfbc/main/iqtree/all/chromosome/full/filter5/filter-taxa/rtt_clades.png" id="0" name="Picture"/>
                    <pic:cNvPicPr>
                      <a:picLocks noChangeArrowheads="1" noChangeAspect="1"/>
                    </pic:cNvPicPr>
                  </pic:nvPicPr>
                  <pic:blipFill>
                    <a:blip r:embed="rId79"/>
                    <a:stretch>
                      <a:fillRect/>
                    </a:stretch>
                  </pic:blipFill>
                  <pic:spPr bwMode="auto">
                    <a:xfrm>
                      <a:off x="0" y="0"/>
                      <a:ext cx="4985547" cy="5412880"/>
                    </a:xfrm>
                    <a:prstGeom prst="rect">
                      <a:avLst/>
                    </a:prstGeom>
                    <a:noFill/>
                    <a:ln w="9525">
                      <a:noFill/>
                      <a:headEnd/>
                      <a:tailEnd/>
                    </a:ln>
                  </pic:spPr>
                </pic:pic>
              </a:graphicData>
            </a:graphic>
          </wp:inline>
        </w:drawing>
      </w:r>
      <w:bookmarkEnd w:id="80"/>
    </w:p>
    <w:p>
      <w:pPr>
        <w:pStyle w:val="ImageCaption"/>
      </w:pPr>
      <w:r>
        <w:t xml:space="preserve">Figure 11: Time to Most Recent Common Ancestor (tMRCA) by clade.</w:t>
      </w:r>
    </w:p>
    <w:bookmarkEnd w:id="0"/>
    <w:p>
      <w:pPr>
        <w:pStyle w:val="Heading3"/>
      </w:pPr>
      <w:bookmarkStart w:id="81" w:name="isolation-by-distance"/>
      <w:r>
        <w:t xml:space="preserve">Isolation By Distance</w:t>
      </w:r>
      <w:bookmarkEnd w:id="81"/>
    </w:p>
    <w:bookmarkStart w:id="0" w:name="fig:fig_tmrca_boxplot_all"/>
    <w:p>
      <w:pPr>
        <w:pStyle w:val="CaptionedFigure"/>
      </w:pPr>
      <w:bookmarkStart w:id="83" w:name="fig:fig_tmrca_boxplot_all"/>
      <w:r>
        <w:drawing>
          <wp:inline>
            <wp:extent cx="5192321" cy="5238271"/>
            <wp:effectExtent b="0" l="0" r="0" t="0"/>
            <wp:docPr descr="Figure 12: Isolation By Distance (IBD) by clade." title="" id="1" name="Picture"/>
            <a:graphic>
              <a:graphicData uri="http://schemas.openxmlformats.org/drawingml/2006/picture">
                <pic:pic>
                  <pic:nvPicPr>
                    <pic:cNvPr descr="https://raw.githubusercontent.com/ktmeaton/plague-phylogeography-projects/4dcc459/main/iqtree/all/chromosome/full/filter5/filter-taxa/ibd_clades.png" id="0" name="Picture"/>
                    <pic:cNvPicPr>
                      <a:picLocks noChangeArrowheads="1" noChangeAspect="1"/>
                    </pic:cNvPicPr>
                  </pic:nvPicPr>
                  <pic:blipFill>
                    <a:blip r:embed="rId82"/>
                    <a:stretch>
                      <a:fillRect/>
                    </a:stretch>
                  </pic:blipFill>
                  <pic:spPr bwMode="auto">
                    <a:xfrm>
                      <a:off x="0" y="0"/>
                      <a:ext cx="5192321" cy="5238271"/>
                    </a:xfrm>
                    <a:prstGeom prst="rect">
                      <a:avLst/>
                    </a:prstGeom>
                    <a:noFill/>
                    <a:ln w="9525">
                      <a:noFill/>
                      <a:headEnd/>
                      <a:tailEnd/>
                    </a:ln>
                  </pic:spPr>
                </pic:pic>
              </a:graphicData>
            </a:graphic>
          </wp:inline>
        </w:drawing>
      </w:r>
      <w:bookmarkEnd w:id="83"/>
    </w:p>
    <w:p>
      <w:pPr>
        <w:pStyle w:val="ImageCaption"/>
      </w:pPr>
      <w:r>
        <w:t xml:space="preserve">Figure 12: Isolation By Distance (IBD) by clade.</w:t>
      </w:r>
    </w:p>
    <w:bookmarkEnd w:id="0"/>
    <w:p>
      <w:pPr>
        <w:pStyle w:val="Heading3"/>
      </w:pPr>
      <w:bookmarkStart w:id="84" w:name="time-dependency"/>
      <w:r>
        <w:t xml:space="preserve">Time-Dependency</w:t>
      </w:r>
      <w:bookmarkEnd w:id="84"/>
    </w:p>
    <w:bookmarkStart w:id="0" w:name="fig:fig_time-dependency_clades"/>
    <w:p>
      <w:pPr>
        <w:pStyle w:val="CaptionedFigure"/>
      </w:pPr>
      <w:bookmarkStart w:id="86" w:name="fig:fig_time-dependency_clades"/>
      <w:r>
        <w:drawing>
          <wp:inline>
            <wp:extent cx="3262432" cy="1787445"/>
            <wp:effectExtent b="0" l="0" r="0" t="0"/>
            <wp:docPr descr="Figure 13: Time-dependency of substitution rate on sampling time frame by clade." title="" id="1" name="Picture"/>
            <a:graphic>
              <a:graphicData uri="http://schemas.openxmlformats.org/drawingml/2006/picture">
                <pic:pic>
                  <pic:nvPicPr>
                    <pic:cNvPr descr="https://raw.githubusercontent.com/ktmeaton/plague-phylogeography-projects/4dcc459/main/iqtree/all/chromosome/full/filter5/filter-taxa/time-dependency_clades.png" id="0" name="Picture"/>
                    <pic:cNvPicPr>
                      <a:picLocks noChangeArrowheads="1" noChangeAspect="1"/>
                    </pic:cNvPicPr>
                  </pic:nvPicPr>
                  <pic:blipFill>
                    <a:blip r:embed="rId85"/>
                    <a:stretch>
                      <a:fillRect/>
                    </a:stretch>
                  </pic:blipFill>
                  <pic:spPr bwMode="auto">
                    <a:xfrm>
                      <a:off x="0" y="0"/>
                      <a:ext cx="3262432" cy="1787445"/>
                    </a:xfrm>
                    <a:prstGeom prst="rect">
                      <a:avLst/>
                    </a:prstGeom>
                    <a:noFill/>
                    <a:ln w="9525">
                      <a:noFill/>
                      <a:headEnd/>
                      <a:tailEnd/>
                    </a:ln>
                  </pic:spPr>
                </pic:pic>
              </a:graphicData>
            </a:graphic>
          </wp:inline>
        </w:drawing>
      </w:r>
      <w:bookmarkEnd w:id="86"/>
    </w:p>
    <w:p>
      <w:pPr>
        <w:pStyle w:val="ImageCaption"/>
      </w:pPr>
      <w:r>
        <w:t xml:space="preserve">Figure 13: Time-dependency of substitution rate on sampling time frame by clade.</w:t>
      </w:r>
    </w:p>
    <w:bookmarkEnd w:id="0"/>
    <w:p>
      <w:pPr>
        <w:pStyle w:val="Heading3"/>
      </w:pPr>
      <w:bookmarkStart w:id="87" w:name="tmrca"/>
      <w:r>
        <w:t xml:space="preserve">tMRCA</w:t>
      </w:r>
      <w:bookmarkEnd w:id="87"/>
    </w:p>
    <w:bookmarkStart w:id="0" w:name="fig:fig_tmrca_boxplot_all"/>
    <w:p>
      <w:pPr>
        <w:pStyle w:val="CaptionedFigure"/>
      </w:pPr>
      <w:bookmarkStart w:id="89" w:name="fig:fig_tmrca_boxplot_all"/>
      <w:r>
        <w:drawing>
          <wp:inline>
            <wp:extent cx="5201511" cy="1713925"/>
            <wp:effectExtent b="0" l="0" r="0" t="0"/>
            <wp:docPr descr="Figure 14: Time to Most Recent Common Ancestory (tMRCA) by clade." title="" id="1" name="Picture"/>
            <a:graphic>
              <a:graphicData uri="http://schemas.openxmlformats.org/drawingml/2006/picture">
                <pic:pic>
                  <pic:nvPicPr>
                    <pic:cNvPr descr="https://raw.githubusercontent.com/ktmeaton/plague-phylogeography-projects/b1bcfbc/main/iqtree/all/chromosome/full/filter5/filter-taxa/tmrca_boxplot_all.png" id="0" name="Picture"/>
                    <pic:cNvPicPr>
                      <a:picLocks noChangeArrowheads="1" noChangeAspect="1"/>
                    </pic:cNvPicPr>
                  </pic:nvPicPr>
                  <pic:blipFill>
                    <a:blip r:embed="rId88"/>
                    <a:stretch>
                      <a:fillRect/>
                    </a:stretch>
                  </pic:blipFill>
                  <pic:spPr bwMode="auto">
                    <a:xfrm>
                      <a:off x="0" y="0"/>
                      <a:ext cx="5201511" cy="1713925"/>
                    </a:xfrm>
                    <a:prstGeom prst="rect">
                      <a:avLst/>
                    </a:prstGeom>
                    <a:noFill/>
                    <a:ln w="9525">
                      <a:noFill/>
                      <a:headEnd/>
                      <a:tailEnd/>
                    </a:ln>
                  </pic:spPr>
                </pic:pic>
              </a:graphicData>
            </a:graphic>
          </wp:inline>
        </w:drawing>
      </w:r>
      <w:bookmarkEnd w:id="89"/>
    </w:p>
    <w:p>
      <w:pPr>
        <w:pStyle w:val="ImageCaption"/>
      </w:pPr>
      <w:r>
        <w:t xml:space="preserve">Figure 14: Time to Most Recent Common Ancestory (tMRCA) by clade.</w:t>
      </w:r>
    </w:p>
    <w:bookmarkEnd w:id="0"/>
    <w:p>
      <w:pPr>
        <w:pStyle w:val="Heading3"/>
      </w:pPr>
      <w:bookmarkStart w:id="90" w:name="phylodynamics-2"/>
      <w:r>
        <w:t xml:space="preserve">Phylodynamics</w:t>
      </w:r>
      <w:bookmarkEnd w:id="90"/>
    </w:p>
    <w:bookmarkStart w:id="0" w:name="tbl:table_temporal_signal"/>
    <w:p>
      <w:pPr>
        <w:pStyle w:val="TableCaption"/>
      </w:pPr>
      <w:r>
        <w:t xml:space="preserve">Table 2: Temporal signal statistics by clade based on a root-to-tip linear regression. A * indicates a significant p-value or bayes factor.</w:t>
      </w:r>
      <w:r>
        <w:t xml:space="preserve"> </w:t>
      </w:r>
    </w:p>
    <w:tbl>
      <w:tblPr>
        <w:tblStyle w:val="Table"/>
        <w:tblW w:type="pct" w:w="0.0"/>
        <w:tblLook w:firstRow="1"/>
        <w:tblCaption w:val="Table 2: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bl>
    <w:bookmarkEnd w:id="0"/>
    <w:bookmarkStart w:id="0" w:name="fig:fig_rate_boxplot_all"/>
    <w:p>
      <w:pPr>
        <w:pStyle w:val="CaptionedFigure"/>
      </w:pPr>
      <w:bookmarkStart w:id="92" w:name="fig:fig_rate_boxplot_all"/>
      <w:r>
        <w:drawing>
          <wp:inline>
            <wp:extent cx="4850295" cy="1584144"/>
            <wp:effectExtent b="0" l="0" r="0" t="0"/>
            <wp:docPr descr="Figure 15: Mean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91"/>
                    <a:stretch>
                      <a:fillRect/>
                    </a:stretch>
                  </pic:blipFill>
                  <pic:spPr bwMode="auto">
                    <a:xfrm>
                      <a:off x="0" y="0"/>
                      <a:ext cx="4850295" cy="1584144"/>
                    </a:xfrm>
                    <a:prstGeom prst="rect">
                      <a:avLst/>
                    </a:prstGeom>
                    <a:noFill/>
                    <a:ln w="9525">
                      <a:noFill/>
                      <a:headEnd/>
                      <a:tailEnd/>
                    </a:ln>
                  </pic:spPr>
                </pic:pic>
              </a:graphicData>
            </a:graphic>
          </wp:inline>
        </w:drawing>
      </w:r>
      <w:bookmarkEnd w:id="92"/>
    </w:p>
    <w:p>
      <w:pPr>
        <w:pStyle w:val="ImageCaption"/>
      </w:pPr>
      <w:r>
        <w:t xml:space="preserve">Figure 15: Mean substitition rate uncertainty by clade based on a non-parametric bootstrap of the root-to-tip linear regression. Highlighted clades show statistical support for a strict clock.</w:t>
      </w:r>
    </w:p>
    <w:bookmarkEnd w:id="0"/>
    <w:p>
      <w:pPr>
        <w:pStyle w:val="Heading3"/>
      </w:pPr>
      <w:bookmarkStart w:id="93" w:name="phylogeography-2"/>
      <w:r>
        <w:t xml:space="preserve">Phylogeography</w:t>
      </w:r>
      <w:bookmarkEnd w:id="93"/>
    </w:p>
    <w:bookmarkStart w:id="0" w:name="fig:fig_phylogeography_confidence"/>
    <w:p>
      <w:pPr>
        <w:pStyle w:val="CaptionedFigure"/>
      </w:pPr>
      <w:bookmarkStart w:id="95" w:name="fig:fig_phylogeography_confidence"/>
      <w:r>
        <w:drawing>
          <wp:inline>
            <wp:extent cx="5943600" cy="4309479"/>
            <wp:effectExtent b="0" l="0" r="0" t="0"/>
            <wp:docPr descr="Figure 16: Discrete state phylogeography confidence. High confidence branches (&gt;=0.95) are colored black, low confidence branches are colored light grey." title="" id="1" name="Picture"/>
            <a:graphic>
              <a:graphicData uri="http://schemas.openxmlformats.org/drawingml/2006/picture">
                <pic:pic>
                  <pic:nvPicPr>
                    <pic:cNvPr descr="https://raw.githubusercontent.com/ktmeaton/plague-phylogeography-projects/69cbfd3/main/auspice/all/chromosome/full/filter5/divtree_mugration_confidence.png" id="0" name="Picture"/>
                    <pic:cNvPicPr>
                      <a:picLocks noChangeArrowheads="1" noChangeAspect="1"/>
                    </pic:cNvPicPr>
                  </pic:nvPicPr>
                  <pic:blipFill>
                    <a:blip r:embed="rId94"/>
                    <a:stretch>
                      <a:fillRect/>
                    </a:stretch>
                  </pic:blipFill>
                  <pic:spPr bwMode="auto">
                    <a:xfrm>
                      <a:off x="0" y="0"/>
                      <a:ext cx="5943600" cy="4309479"/>
                    </a:xfrm>
                    <a:prstGeom prst="rect">
                      <a:avLst/>
                    </a:prstGeom>
                    <a:noFill/>
                    <a:ln w="9525">
                      <a:noFill/>
                      <a:headEnd/>
                      <a:tailEnd/>
                    </a:ln>
                  </pic:spPr>
                </pic:pic>
              </a:graphicData>
            </a:graphic>
          </wp:inline>
        </w:drawing>
      </w:r>
      <w:bookmarkEnd w:id="95"/>
    </w:p>
    <w:p>
      <w:pPr>
        <w:pStyle w:val="ImageCaption"/>
      </w:pPr>
      <w:r>
        <w:t xml:space="preserve">Figure 16: Discrete state phylogeography confidence. High confidence branches (&gt;=0.95) are colored black, low confidence branches are colored light grey.</w:t>
      </w:r>
    </w:p>
    <w:bookmarkEnd w:id="0"/>
    <w:bookmarkStart w:id="0" w:name="tbl:table_discrete_phylogeography_confidence"/>
    <w:p>
      <w:pPr>
        <w:pStyle w:val="TableCaption"/>
      </w:pPr>
      <w:r>
        <w:t xml:space="preserve">Table 3: Discrete state phylogeography confidence.</w:t>
      </w:r>
      <w:r>
        <w:t xml:space="preserve"> </w:t>
      </w:r>
    </w:p>
    <w:tbl>
      <w:tblPr>
        <w:tblStyle w:val="Table"/>
        <w:tblW w:type="pct" w:w="5000.0"/>
        <w:tblLook w:firstRow="1"/>
        <w:tblCaption w:val="Table 3: Discrete state phylogeography confidence. "/>
      </w:tblPr>
      <w:tblGrid>
        <w:gridCol w:w="480"/>
        <w:gridCol w:w="1200"/>
        <w:gridCol w:w="1920"/>
        <w:gridCol w:w="2080"/>
        <w:gridCol w:w="1360"/>
        <w:gridCol w:w="880"/>
      </w:tblGrid>
      <w:tr>
        <w:trPr>
          <w:cnfStyle w:firstRow="1"/>
        </w:trPr>
        <w:tc>
          <w:tcPr>
            <w:tcBorders>
              <w:bottom w:val="single"/>
            </w:tcBorders>
            <w:vAlign w:val="bottom"/>
          </w:tcPr>
          <w:p>
            <w:pPr>
              <w:pStyle w:val="Compact"/>
              <w:jc w:val="left"/>
            </w:pPr>
            <w:r>
              <w:t xml:space="preserve">Clade</w:t>
            </w:r>
          </w:p>
        </w:tc>
        <w:tc>
          <w:tcPr>
            <w:tcBorders>
              <w:bottom w:val="single"/>
            </w:tcBorders>
            <w:vAlign w:val="bottom"/>
          </w:tcPr>
          <w:p>
            <w:pPr>
              <w:pStyle w:val="Compact"/>
              <w:jc w:val="right"/>
            </w:pPr>
            <w:r>
              <w:t xml:space="preserve">Internal Nodes</w:t>
            </w:r>
          </w:p>
        </w:tc>
        <w:tc>
          <w:tcPr>
            <w:tcBorders>
              <w:bottom w:val="single"/>
            </w:tcBorders>
            <w:vAlign w:val="bottom"/>
          </w:tcPr>
          <w:p>
            <w:pPr>
              <w:pStyle w:val="Compact"/>
              <w:jc w:val="right"/>
            </w:pPr>
            <w:r>
              <w:t xml:space="preserve">High Confidence (Nodes)</w:t>
            </w:r>
          </w:p>
        </w:tc>
        <w:tc>
          <w:tcPr>
            <w:tcBorders>
              <w:bottom w:val="single"/>
            </w:tcBorders>
            <w:vAlign w:val="bottom"/>
          </w:tcPr>
          <w:p>
            <w:pPr>
              <w:pStyle w:val="Compact"/>
              <w:jc w:val="right"/>
            </w:pPr>
            <w:r>
              <w:t xml:space="preserve">High Confidence (Percent)</w:t>
            </w:r>
          </w:p>
        </w:tc>
        <w:tc>
          <w:tcPr>
            <w:tcBorders>
              <w:bottom w:val="single"/>
            </w:tcBorders>
            <w:vAlign w:val="bottom"/>
          </w:tcPr>
          <w:p>
            <w:pPr>
              <w:pStyle w:val="Compact"/>
              <w:jc w:val="left"/>
            </w:pPr>
            <w:r>
              <w:t xml:space="preserve">IBD R</w:t>
            </w:r>
            <w:r>
              <w:t xml:space="preserve">2</w:t>
            </w:r>
          </w:p>
        </w:tc>
        <w:tc>
          <w:tcPr>
            <w:tcBorders>
              <w:bottom w:val="single"/>
            </w:tcBorders>
            <w:vAlign w:val="bottom"/>
          </w:tcPr>
          <w:p>
            <w:pPr>
              <w:pStyle w:val="Compact"/>
              <w:jc w:val="left"/>
            </w:pPr>
            <w:r>
              <w:t xml:space="preserve">IBD p-value</w:t>
            </w:r>
          </w:p>
        </w:tc>
      </w:tr>
      <w:tr>
        <w:tc>
          <w:p>
            <w:pPr>
              <w:pStyle w:val="Compact"/>
              <w:jc w:val="left"/>
            </w:pPr>
            <w:r>
              <w:t xml:space="preserve">All</w:t>
            </w:r>
          </w:p>
        </w:tc>
        <w:tc>
          <w:p>
            <w:pPr>
              <w:pStyle w:val="Compact"/>
              <w:jc w:val="right"/>
            </w:pPr>
            <w:r>
              <w:t xml:space="preserve">600</w:t>
            </w:r>
          </w:p>
        </w:tc>
        <w:tc>
          <w:p>
            <w:pPr>
              <w:pStyle w:val="Compact"/>
              <w:jc w:val="right"/>
            </w:pPr>
            <w:r>
              <w:t xml:space="preserve">202</w:t>
            </w:r>
          </w:p>
        </w:tc>
        <w:tc>
          <w:p>
            <w:pPr>
              <w:pStyle w:val="Compact"/>
              <w:jc w:val="right"/>
            </w:pPr>
            <w:r>
              <w:t xml:space="preserve">33.67</w:t>
            </w:r>
          </w:p>
        </w:tc>
        <w:tc>
          <w:p>
            <w:pPr>
              <w:pStyle w:val="Compact"/>
              <w:jc w:val="left"/>
            </w:pPr>
            <w:r>
              <w:t xml:space="preserve">–</w:t>
            </w:r>
          </w:p>
        </w:tc>
        <w:tc>
          <w:p>
            <w:pPr>
              <w:pStyle w:val="Compact"/>
              <w:jc w:val="left"/>
            </w:pPr>
            <w:r>
              <w:t xml:space="preserve">–</w:t>
            </w:r>
          </w:p>
        </w:tc>
      </w:tr>
      <w:tr>
        <w:tc>
          <w:p>
            <w:pPr>
              <w:pStyle w:val="Compact"/>
              <w:jc w:val="left"/>
            </w:pPr>
            <w:r>
              <w:t xml:space="preserve">1.ORI</w:t>
            </w:r>
          </w:p>
        </w:tc>
        <w:tc>
          <w:p>
            <w:pPr>
              <w:pStyle w:val="Compact"/>
              <w:jc w:val="right"/>
            </w:pPr>
            <w:r>
              <w:t xml:space="preserve">116</w:t>
            </w:r>
          </w:p>
        </w:tc>
        <w:tc>
          <w:p>
            <w:pPr>
              <w:pStyle w:val="Compact"/>
              <w:jc w:val="right"/>
            </w:pPr>
            <w:r>
              <w:t xml:space="preserve">29</w:t>
            </w:r>
          </w:p>
        </w:tc>
        <w:tc>
          <w:p>
            <w:pPr>
              <w:pStyle w:val="Compact"/>
              <w:jc w:val="right"/>
            </w:pPr>
            <w:r>
              <w:t xml:space="preserve">25.00</w:t>
            </w:r>
          </w:p>
        </w:tc>
        <w:tc>
          <w:p>
            <w:pPr>
              <w:pStyle w:val="Compact"/>
              <w:jc w:val="left"/>
            </w:pPr>
            <w:r>
              <w:t xml:space="preserve">0.35</w:t>
            </w:r>
          </w:p>
        </w:tc>
        <w:tc>
          <w:p>
            <w:pPr>
              <w:pStyle w:val="Compact"/>
              <w:jc w:val="left"/>
            </w:pPr>
            <w:r>
              <w:t xml:space="preserve">0.00E+00*</w:t>
            </w:r>
          </w:p>
        </w:tc>
      </w:tr>
      <w:tr>
        <w:tc>
          <w:p>
            <w:pPr>
              <w:pStyle w:val="Compact"/>
              <w:jc w:val="left"/>
            </w:pPr>
            <w:r>
              <w:t xml:space="preserve">1.IN</w:t>
            </w:r>
          </w:p>
        </w:tc>
        <w:tc>
          <w:p>
            <w:pPr>
              <w:pStyle w:val="Compact"/>
              <w:jc w:val="right"/>
            </w:pPr>
            <w:r>
              <w:t xml:space="preserve">39</w:t>
            </w:r>
          </w:p>
        </w:tc>
        <w:tc>
          <w:p>
            <w:pPr>
              <w:pStyle w:val="Compact"/>
              <w:jc w:val="right"/>
            </w:pPr>
            <w:r>
              <w:t xml:space="preserve">17</w:t>
            </w:r>
          </w:p>
        </w:tc>
        <w:tc>
          <w:p>
            <w:pPr>
              <w:pStyle w:val="Compact"/>
              <w:jc w:val="right"/>
            </w:pPr>
            <w:r>
              <w:t xml:space="preserve">43.59</w:t>
            </w:r>
          </w:p>
        </w:tc>
        <w:tc>
          <w:p>
            <w:pPr>
              <w:pStyle w:val="Compact"/>
              <w:jc w:val="left"/>
            </w:pPr>
            <w:r>
              <w:t xml:space="preserve">0.08</w:t>
            </w:r>
          </w:p>
        </w:tc>
        <w:tc>
          <w:p>
            <w:pPr>
              <w:pStyle w:val="Compact"/>
              <w:jc w:val="left"/>
            </w:pPr>
            <w:r>
              <w:t xml:space="preserve">6.68E-15*</w:t>
            </w:r>
          </w:p>
        </w:tc>
      </w:tr>
      <w:tr>
        <w:tc>
          <w:p>
            <w:pPr>
              <w:pStyle w:val="Compact"/>
              <w:jc w:val="left"/>
            </w:pPr>
            <w:r>
              <w:t xml:space="preserve">1.ANT</w:t>
            </w:r>
          </w:p>
        </w:tc>
        <w:tc>
          <w:p>
            <w:pPr>
              <w:pStyle w:val="Compact"/>
              <w:jc w:val="right"/>
            </w:pPr>
            <w:r>
              <w:t xml:space="preserve">3</w:t>
            </w:r>
          </w:p>
        </w:tc>
        <w:tc>
          <w:p>
            <w:pPr>
              <w:pStyle w:val="Compact"/>
              <w:jc w:val="right"/>
            </w:pPr>
            <w:r>
              <w:t xml:space="preserve">0</w:t>
            </w:r>
          </w:p>
        </w:tc>
        <w:tc>
          <w:p>
            <w:pPr>
              <w:pStyle w:val="Compact"/>
              <w:jc w:val="right"/>
            </w:pPr>
            <w:r>
              <w:t xml:space="preserve">0.00</w:t>
            </w:r>
          </w:p>
        </w:tc>
        <w:tc>
          <w:p>
            <w:pPr>
              <w:pStyle w:val="Compact"/>
              <w:jc w:val="left"/>
            </w:pPr>
            <w:r>
              <w:t xml:space="preserve">0.21</w:t>
            </w:r>
          </w:p>
        </w:tc>
        <w:tc>
          <w:p>
            <w:pPr>
              <w:pStyle w:val="Compact"/>
              <w:jc w:val="left"/>
            </w:pPr>
            <w:r>
              <w:t xml:space="preserve">3.55E-01</w:t>
            </w:r>
          </w:p>
        </w:tc>
      </w:tr>
      <w:tr>
        <w:tc>
          <w:p>
            <w:pPr>
              <w:pStyle w:val="Compact"/>
              <w:jc w:val="left"/>
            </w:pPr>
            <w:r>
              <w:t xml:space="preserve">1.PRE</w:t>
            </w:r>
          </w:p>
        </w:tc>
        <w:tc>
          <w:p>
            <w:pPr>
              <w:pStyle w:val="Compact"/>
              <w:jc w:val="right"/>
            </w:pPr>
            <w:r>
              <w:t xml:space="preserve">40</w:t>
            </w:r>
          </w:p>
        </w:tc>
        <w:tc>
          <w:p>
            <w:pPr>
              <w:pStyle w:val="Compact"/>
              <w:jc w:val="right"/>
            </w:pPr>
            <w:r>
              <w:t xml:space="preserve">13</w:t>
            </w:r>
          </w:p>
        </w:tc>
        <w:tc>
          <w:p>
            <w:pPr>
              <w:pStyle w:val="Compact"/>
              <w:jc w:val="right"/>
            </w:pPr>
            <w:r>
              <w:t xml:space="preserve">32.50</w:t>
            </w:r>
          </w:p>
        </w:tc>
        <w:tc>
          <w:p>
            <w:pPr>
              <w:pStyle w:val="Compact"/>
              <w:jc w:val="left"/>
            </w:pPr>
            <w:r>
              <w:t xml:space="preserve">0.05</w:t>
            </w:r>
          </w:p>
        </w:tc>
        <w:tc>
          <w:p>
            <w:pPr>
              <w:pStyle w:val="Compact"/>
              <w:jc w:val="left"/>
            </w:pPr>
            <w:r>
              <w:t xml:space="preserve">6.23E-11*</w:t>
            </w:r>
          </w:p>
        </w:tc>
      </w:tr>
      <w:tr>
        <w:tc>
          <w:p>
            <w:pPr>
              <w:pStyle w:val="Compact"/>
              <w:jc w:val="left"/>
            </w:pPr>
            <w:r>
              <w:t xml:space="preserve">2.MED</w:t>
            </w:r>
          </w:p>
        </w:tc>
        <w:tc>
          <w:p>
            <w:pPr>
              <w:pStyle w:val="Compact"/>
              <w:jc w:val="right"/>
            </w:pPr>
            <w:r>
              <w:t xml:space="preserve">115</w:t>
            </w:r>
          </w:p>
        </w:tc>
        <w:tc>
          <w:p>
            <w:pPr>
              <w:pStyle w:val="Compact"/>
              <w:jc w:val="right"/>
            </w:pPr>
            <w:r>
              <w:t xml:space="preserve">34</w:t>
            </w:r>
          </w:p>
        </w:tc>
        <w:tc>
          <w:p>
            <w:pPr>
              <w:pStyle w:val="Compact"/>
              <w:jc w:val="right"/>
            </w:pPr>
            <w:r>
              <w:t xml:space="preserve">29.57</w:t>
            </w:r>
          </w:p>
        </w:tc>
        <w:tc>
          <w:p>
            <w:pPr>
              <w:pStyle w:val="Compact"/>
              <w:jc w:val="left"/>
            </w:pPr>
            <w:r>
              <w:t xml:space="preserve">0.0</w:t>
            </w:r>
          </w:p>
        </w:tc>
        <w:tc>
          <w:p>
            <w:pPr>
              <w:pStyle w:val="Compact"/>
              <w:jc w:val="left"/>
            </w:pPr>
            <w:r>
              <w:t xml:space="preserve">5.38E-06*</w:t>
            </w:r>
          </w:p>
        </w:tc>
      </w:tr>
      <w:tr>
        <w:tc>
          <w:p>
            <w:pPr>
              <w:pStyle w:val="Compact"/>
              <w:jc w:val="left"/>
            </w:pPr>
            <w:r>
              <w:t xml:space="preserve">2.ANT</w:t>
            </w:r>
          </w:p>
        </w:tc>
        <w:tc>
          <w:p>
            <w:pPr>
              <w:pStyle w:val="Compact"/>
              <w:jc w:val="right"/>
            </w:pPr>
            <w:r>
              <w:t xml:space="preserve">53</w:t>
            </w:r>
          </w:p>
        </w:tc>
        <w:tc>
          <w:p>
            <w:pPr>
              <w:pStyle w:val="Compact"/>
              <w:jc w:val="right"/>
            </w:pPr>
            <w:r>
              <w:t xml:space="preserve">23</w:t>
            </w:r>
          </w:p>
        </w:tc>
        <w:tc>
          <w:p>
            <w:pPr>
              <w:pStyle w:val="Compact"/>
              <w:jc w:val="right"/>
            </w:pPr>
            <w:r>
              <w:t xml:space="preserve">43.40</w:t>
            </w:r>
          </w:p>
        </w:tc>
        <w:tc>
          <w:p>
            <w:pPr>
              <w:pStyle w:val="Compact"/>
              <w:jc w:val="left"/>
            </w:pPr>
            <w:r>
              <w:t xml:space="preserve">0.21</w:t>
            </w:r>
          </w:p>
        </w:tc>
        <w:tc>
          <w:p>
            <w:pPr>
              <w:pStyle w:val="Compact"/>
              <w:jc w:val="left"/>
            </w:pPr>
            <w:r>
              <w:t xml:space="preserve">8.15E-76*</w:t>
            </w:r>
          </w:p>
        </w:tc>
      </w:tr>
      <w:tr>
        <w:tc>
          <w:p>
            <w:pPr>
              <w:pStyle w:val="Compact"/>
              <w:jc w:val="left"/>
            </w:pPr>
            <w:r>
              <w:t xml:space="preserve">4.ANT</w:t>
            </w:r>
          </w:p>
        </w:tc>
        <w:tc>
          <w:p>
            <w:pPr>
              <w:pStyle w:val="Compact"/>
              <w:jc w:val="right"/>
            </w:pPr>
            <w:r>
              <w:t xml:space="preserve">10</w:t>
            </w:r>
          </w:p>
        </w:tc>
        <w:tc>
          <w:p>
            <w:pPr>
              <w:pStyle w:val="Compact"/>
              <w:jc w:val="right"/>
            </w:pPr>
            <w:r>
              <w:t xml:space="preserve">3</w:t>
            </w:r>
          </w:p>
        </w:tc>
        <w:tc>
          <w:p>
            <w:pPr>
              <w:pStyle w:val="Compact"/>
              <w:jc w:val="right"/>
            </w:pPr>
            <w:r>
              <w:t xml:space="preserve">30.00</w:t>
            </w:r>
          </w:p>
        </w:tc>
        <w:tc>
          <w:p>
            <w:pPr>
              <w:pStyle w:val="Compact"/>
              <w:jc w:val="left"/>
            </w:pPr>
            <w:r>
              <w:t xml:space="preserve">0.21</w:t>
            </w:r>
          </w:p>
        </w:tc>
        <w:tc>
          <w:p>
            <w:pPr>
              <w:pStyle w:val="Compact"/>
              <w:jc w:val="left"/>
            </w:pPr>
            <w:r>
              <w:t xml:space="preserve">3.69E-04*</w:t>
            </w:r>
          </w:p>
        </w:tc>
      </w:tr>
      <w:tr>
        <w:tc>
          <w:p>
            <w:pPr>
              <w:pStyle w:val="Compact"/>
              <w:jc w:val="left"/>
            </w:pPr>
            <w:r>
              <w:t xml:space="preserve">3.ANT</w:t>
            </w:r>
          </w:p>
        </w:tc>
        <w:tc>
          <w:p>
            <w:pPr>
              <w:pStyle w:val="Compact"/>
              <w:jc w:val="right"/>
            </w:pPr>
            <w:r>
              <w:t xml:space="preserve">10</w:t>
            </w:r>
          </w:p>
        </w:tc>
        <w:tc>
          <w:p>
            <w:pPr>
              <w:pStyle w:val="Compact"/>
              <w:jc w:val="right"/>
            </w:pPr>
            <w:r>
              <w:t xml:space="preserve">6</w:t>
            </w:r>
          </w:p>
        </w:tc>
        <w:tc>
          <w:p>
            <w:pPr>
              <w:pStyle w:val="Compact"/>
              <w:jc w:val="right"/>
            </w:pPr>
            <w:r>
              <w:t xml:space="preserve">60.00</w:t>
            </w:r>
          </w:p>
        </w:tc>
        <w:tc>
          <w:p>
            <w:pPr>
              <w:pStyle w:val="Compact"/>
              <w:jc w:val="left"/>
            </w:pPr>
            <w:r>
              <w:t xml:space="preserve">0.31</w:t>
            </w:r>
          </w:p>
        </w:tc>
        <w:tc>
          <w:p>
            <w:pPr>
              <w:pStyle w:val="Compact"/>
              <w:jc w:val="left"/>
            </w:pPr>
            <w:r>
              <w:t xml:space="preserve">9.98E-06*</w:t>
            </w:r>
          </w:p>
        </w:tc>
      </w:tr>
      <w:tr>
        <w:tc>
          <w:p>
            <w:pPr>
              <w:pStyle w:val="Compact"/>
              <w:jc w:val="left"/>
            </w:pPr>
            <w:r>
              <w:t xml:space="preserve">0.ANT</w:t>
            </w:r>
          </w:p>
        </w:tc>
        <w:tc>
          <w:p>
            <w:pPr>
              <w:pStyle w:val="Compact"/>
              <w:jc w:val="right"/>
            </w:pPr>
            <w:r>
              <w:t xml:space="preserve">104</w:t>
            </w:r>
          </w:p>
        </w:tc>
        <w:tc>
          <w:p>
            <w:pPr>
              <w:pStyle w:val="Compact"/>
              <w:jc w:val="right"/>
            </w:pPr>
            <w:r>
              <w:t xml:space="preserve">26</w:t>
            </w:r>
          </w:p>
        </w:tc>
        <w:tc>
          <w:p>
            <w:pPr>
              <w:pStyle w:val="Compact"/>
              <w:jc w:val="right"/>
            </w:pPr>
            <w:r>
              <w:t xml:space="preserve">25.00</w:t>
            </w:r>
          </w:p>
        </w:tc>
        <w:tc>
          <w:p>
            <w:pPr>
              <w:pStyle w:val="Compact"/>
              <w:jc w:val="left"/>
            </w:pPr>
            <w:r>
              <w:t xml:space="preserve">0.27</w:t>
            </w:r>
          </w:p>
        </w:tc>
        <w:tc>
          <w:p>
            <w:pPr>
              <w:pStyle w:val="Compact"/>
              <w:jc w:val="left"/>
            </w:pPr>
            <w:r>
              <w:t xml:space="preserve">0.00E+00*</w:t>
            </w:r>
          </w:p>
        </w:tc>
      </w:tr>
      <w:tr>
        <w:tc>
          <w:p>
            <w:pPr>
              <w:pStyle w:val="Compact"/>
              <w:jc w:val="left"/>
            </w:pPr>
            <w:r>
              <w:t xml:space="preserve">0.ANT4</w:t>
            </w:r>
          </w:p>
        </w:tc>
        <w:tc>
          <w:p>
            <w:pPr>
              <w:pStyle w:val="Compact"/>
              <w:jc w:val="right"/>
            </w:pPr>
            <w:r>
              <w:t xml:space="preserve">11</w:t>
            </w:r>
          </w:p>
        </w:tc>
        <w:tc>
          <w:p>
            <w:pPr>
              <w:pStyle w:val="Compact"/>
              <w:jc w:val="right"/>
            </w:pPr>
            <w:r>
              <w:t xml:space="preserve">4</w:t>
            </w:r>
          </w:p>
        </w:tc>
        <w:tc>
          <w:p>
            <w:pPr>
              <w:pStyle w:val="Compact"/>
              <w:jc w:val="right"/>
            </w:pPr>
            <w:r>
              <w:t xml:space="preserve">36.36</w:t>
            </w:r>
          </w:p>
        </w:tc>
        <w:tc>
          <w:p>
            <w:pPr>
              <w:pStyle w:val="Compact"/>
              <w:jc w:val="left"/>
            </w:pPr>
            <w:r>
              <w:t xml:space="preserve">–</w:t>
            </w:r>
          </w:p>
        </w:tc>
        <w:tc>
          <w:p>
            <w:pPr>
              <w:pStyle w:val="Compact"/>
              <w:jc w:val="left"/>
            </w:pPr>
            <w:r>
              <w:t xml:space="preserve">–</w:t>
            </w:r>
          </w:p>
        </w:tc>
      </w:tr>
      <w:tr>
        <w:tc>
          <w:p>
            <w:pPr>
              <w:pStyle w:val="Compact"/>
              <w:jc w:val="left"/>
            </w:pPr>
            <w:r>
              <w:t xml:space="preserve">0.PE</w:t>
            </w:r>
          </w:p>
        </w:tc>
        <w:tc>
          <w:p>
            <w:pPr>
              <w:pStyle w:val="Compact"/>
              <w:jc w:val="right"/>
            </w:pPr>
            <w:r>
              <w:t xml:space="preserve">85</w:t>
            </w:r>
          </w:p>
        </w:tc>
        <w:tc>
          <w:p>
            <w:pPr>
              <w:pStyle w:val="Compact"/>
              <w:jc w:val="right"/>
            </w:pPr>
            <w:r>
              <w:t xml:space="preserve">43</w:t>
            </w:r>
          </w:p>
        </w:tc>
        <w:tc>
          <w:p>
            <w:pPr>
              <w:pStyle w:val="Compact"/>
              <w:jc w:val="right"/>
            </w:pPr>
            <w:r>
              <w:t xml:space="preserve">50.59</w:t>
            </w:r>
          </w:p>
        </w:tc>
        <w:tc>
          <w:p>
            <w:pPr>
              <w:pStyle w:val="Compact"/>
              <w:jc w:val="left"/>
            </w:pPr>
            <w:r>
              <w:t xml:space="preserve">0.46</w:t>
            </w:r>
          </w:p>
        </w:tc>
        <w:tc>
          <w:p>
            <w:pPr>
              <w:pStyle w:val="Compact"/>
              <w:jc w:val="left"/>
            </w:pPr>
            <w:r>
              <w:t xml:space="preserve">0.00E+00*</w:t>
            </w:r>
          </w:p>
        </w:tc>
      </w:tr>
      <w:tr>
        <w:tc>
          <w:p>
            <w:pPr>
              <w:pStyle w:val="Compact"/>
              <w:jc w:val="left"/>
            </w:pPr>
            <w:r>
              <w:t xml:space="preserve">0.PRE</w:t>
            </w:r>
          </w:p>
        </w:tc>
        <w:tc>
          <w:p>
            <w:pPr>
              <w:pStyle w:val="Compact"/>
              <w:jc w:val="right"/>
            </w:pPr>
            <w:r>
              <w:t xml:space="preserve">7</w:t>
            </w:r>
          </w:p>
        </w:tc>
        <w:tc>
          <w:p>
            <w:pPr>
              <w:pStyle w:val="Compact"/>
              <w:jc w:val="right"/>
            </w:pPr>
            <w:r>
              <w:t xml:space="preserve">3</w:t>
            </w:r>
          </w:p>
        </w:tc>
        <w:tc>
          <w:p>
            <w:pPr>
              <w:pStyle w:val="Compact"/>
              <w:jc w:val="right"/>
            </w:pPr>
            <w:r>
              <w:t xml:space="preserve">42.86</w:t>
            </w:r>
          </w:p>
        </w:tc>
        <w:tc>
          <w:p>
            <w:pPr>
              <w:pStyle w:val="Compact"/>
              <w:jc w:val="left"/>
            </w:pPr>
            <w:r>
              <w:t xml:space="preserve">0.01</w:t>
            </w:r>
          </w:p>
        </w:tc>
        <w:tc>
          <w:p>
            <w:pPr>
              <w:pStyle w:val="Compact"/>
              <w:jc w:val="left"/>
            </w:pPr>
            <w:r>
              <w:t xml:space="preserve">7.16E-01</w:t>
            </w:r>
          </w:p>
        </w:tc>
      </w:tr>
    </w:tbl>
    <w:bookmarkEnd w:id="0"/>
    <w:p>
      <w:pPr>
        <w:pStyle w:val="Heading2"/>
      </w:pPr>
      <w:bookmarkStart w:id="96" w:name="references"/>
      <w:r>
        <w:t xml:space="preserve">References</w:t>
      </w:r>
      <w:bookmarkEnd w:id="96"/>
    </w:p>
    <w:bookmarkStart w:id="211" w:name="refs"/>
    <w:bookmarkStart w:id="99"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97">
        <w:r>
          <w:rPr>
            <w:rStyle w:val="Hyperlink"/>
          </w:rPr>
          <w:t xml:space="preserve">10.1016/j.cub.2017.10.025</w:t>
        </w:r>
      </w:hyperlink>
      <w:r>
        <w:t xml:space="preserve"> </w:t>
      </w:r>
      <w:r>
        <w:t xml:space="preserve">· PMID:</w:t>
      </w:r>
      <w:r>
        <w:t xml:space="preserve"> </w:t>
      </w:r>
      <w:hyperlink r:id="rId98">
        <w:r>
          <w:rPr>
            <w:rStyle w:val="Hyperlink"/>
          </w:rPr>
          <w:t xml:space="preserve">29174893</w:t>
        </w:r>
      </w:hyperlink>
    </w:p>
    <w:bookmarkEnd w:id="99"/>
    <w:bookmarkStart w:id="103"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100">
        <w:r>
          <w:rPr>
            <w:rStyle w:val="Hyperlink"/>
          </w:rPr>
          <w:t xml:space="preserve">https://www.cell.com/cell/abstract/S0092-8674(18)31464-8</w:t>
        </w:r>
      </w:hyperlink>
      <w:r>
        <w:t xml:space="preserve"> </w:t>
      </w:r>
      <w:r>
        <w:br/>
      </w:r>
      <w:r>
        <w:t xml:space="preserve">DOI:</w:t>
      </w:r>
      <w:r>
        <w:t xml:space="preserve"> </w:t>
      </w:r>
      <w:hyperlink r:id="rId101">
        <w:r>
          <w:rPr>
            <w:rStyle w:val="Hyperlink"/>
          </w:rPr>
          <w:t xml:space="preserve">10.1016/j.cell.2018.11.005</w:t>
        </w:r>
      </w:hyperlink>
      <w:r>
        <w:t xml:space="preserve"> </w:t>
      </w:r>
      <w:r>
        <w:t xml:space="preserve">· PMID:</w:t>
      </w:r>
      <w:r>
        <w:t xml:space="preserve"> </w:t>
      </w:r>
      <w:hyperlink r:id="rId102">
        <w:r>
          <w:rPr>
            <w:rStyle w:val="Hyperlink"/>
          </w:rPr>
          <w:t xml:space="preserve">30528431</w:t>
        </w:r>
      </w:hyperlink>
    </w:p>
    <w:bookmarkEnd w:id="103"/>
    <w:bookmarkStart w:id="108"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104">
        <w:r>
          <w:rPr>
            <w:rStyle w:val="Hyperlink"/>
          </w:rPr>
          <w:t xml:space="preserve">https://www.ncbi.nlm.nih.gov/pmc/articles/PMC5636801/</w:t>
        </w:r>
      </w:hyperlink>
      <w:r>
        <w:t xml:space="preserve"> </w:t>
      </w:r>
      <w:r>
        <w:br/>
      </w:r>
      <w:r>
        <w:t xml:space="preserve">DOI:</w:t>
      </w:r>
      <w:r>
        <w:t xml:space="preserve"> </w:t>
      </w:r>
      <w:hyperlink r:id="rId105">
        <w:r>
          <w:rPr>
            <w:rStyle w:val="Hyperlink"/>
          </w:rPr>
          <w:t xml:space="preserve">10.1038/s41598-017-13481-2</w:t>
        </w:r>
      </w:hyperlink>
      <w:r>
        <w:t xml:space="preserve"> </w:t>
      </w:r>
      <w:r>
        <w:t xml:space="preserve">· PMID:</w:t>
      </w:r>
      <w:r>
        <w:t xml:space="preserve"> </w:t>
      </w:r>
      <w:hyperlink r:id="rId106">
        <w:r>
          <w:rPr>
            <w:rStyle w:val="Hyperlink"/>
          </w:rPr>
          <w:t xml:space="preserve">29021541</w:t>
        </w:r>
      </w:hyperlink>
      <w:r>
        <w:t xml:space="preserve"> </w:t>
      </w:r>
      <w:r>
        <w:t xml:space="preserve">· PMCID:</w:t>
      </w:r>
      <w:r>
        <w:t xml:space="preserve"> </w:t>
      </w:r>
      <w:hyperlink r:id="rId107">
        <w:r>
          <w:rPr>
            <w:rStyle w:val="Hyperlink"/>
          </w:rPr>
          <w:t xml:space="preserve">PMC5636801</w:t>
        </w:r>
      </w:hyperlink>
    </w:p>
    <w:bookmarkEnd w:id="108"/>
    <w:bookmarkStart w:id="111"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109">
        <w:r>
          <w:rPr>
            <w:rStyle w:val="Hyperlink"/>
          </w:rPr>
          <w:t xml:space="preserve">8993858</w:t>
        </w:r>
      </w:hyperlink>
      <w:r>
        <w:t xml:space="preserve"> </w:t>
      </w:r>
      <w:r>
        <w:t xml:space="preserve">· PMCID:</w:t>
      </w:r>
      <w:r>
        <w:t xml:space="preserve"> </w:t>
      </w:r>
      <w:hyperlink r:id="rId110">
        <w:r>
          <w:rPr>
            <w:rStyle w:val="Hyperlink"/>
          </w:rPr>
          <w:t xml:space="preserve">PMC172914</w:t>
        </w:r>
      </w:hyperlink>
    </w:p>
    <w:bookmarkEnd w:id="111"/>
    <w:bookmarkStart w:id="113"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112">
        <w:r>
          <w:rPr>
            <w:rStyle w:val="Hyperlink"/>
          </w:rPr>
          <w:t xml:space="preserve">https://www.who.int/news-room/fact-sheets/detail/plague</w:t>
        </w:r>
      </w:hyperlink>
    </w:p>
    <w:bookmarkEnd w:id="113"/>
    <w:bookmarkStart w:id="115"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14">
        <w:r>
          <w:rPr>
            <w:rStyle w:val="Hyperlink"/>
          </w:rPr>
          <w:t xml:space="preserve">0-85115-943-5</w:t>
        </w:r>
      </w:hyperlink>
    </w:p>
    <w:bookmarkEnd w:id="115"/>
    <w:bookmarkStart w:id="117"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16">
        <w:r>
          <w:rPr>
            <w:rStyle w:val="Hyperlink"/>
          </w:rPr>
          <w:t xml:space="preserve">https://apps.who.int/iris/bitstream/handle/10665/325481/WER9425-en-fr.pdf</w:t>
        </w:r>
      </w:hyperlink>
    </w:p>
    <w:bookmarkEnd w:id="117"/>
    <w:bookmarkStart w:id="119"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18">
        <w:r>
          <w:rPr>
            <w:rStyle w:val="Hyperlink"/>
          </w:rPr>
          <w:t xml:space="preserve">http://reviverestore.org/wp-content/uploads/2015/02/Gage-and-Kosoy_USGS-Blk-footed-ferret-symp_2006-copy.pdf</w:t>
        </w:r>
      </w:hyperlink>
    </w:p>
    <w:bookmarkEnd w:id="119"/>
    <w:bookmarkStart w:id="123"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20">
        <w:r>
          <w:rPr>
            <w:rStyle w:val="Hyperlink"/>
          </w:rPr>
          <w:t xml:space="preserve">10.1073/pnas.96.24.14043</w:t>
        </w:r>
      </w:hyperlink>
      <w:r>
        <w:t xml:space="preserve"> </w:t>
      </w:r>
      <w:r>
        <w:t xml:space="preserve">· PMID:</w:t>
      </w:r>
      <w:r>
        <w:t xml:space="preserve"> </w:t>
      </w:r>
      <w:hyperlink r:id="rId121">
        <w:r>
          <w:rPr>
            <w:rStyle w:val="Hyperlink"/>
          </w:rPr>
          <w:t xml:space="preserve">10570195</w:t>
        </w:r>
      </w:hyperlink>
      <w:r>
        <w:t xml:space="preserve"> </w:t>
      </w:r>
      <w:r>
        <w:t xml:space="preserve">· PMCID:</w:t>
      </w:r>
      <w:r>
        <w:t xml:space="preserve"> </w:t>
      </w:r>
      <w:hyperlink r:id="rId122">
        <w:r>
          <w:rPr>
            <w:rStyle w:val="Hyperlink"/>
          </w:rPr>
          <w:t xml:space="preserve">PMC24187</w:t>
        </w:r>
      </w:hyperlink>
    </w:p>
    <w:bookmarkEnd w:id="123"/>
    <w:bookmarkStart w:id="126"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24">
        <w:r>
          <w:rPr>
            <w:rStyle w:val="Hyperlink"/>
          </w:rPr>
          <w:t xml:space="preserve">http://www.pnas.org/cgi/doi/10.1073/pnas.0404012101</w:t>
        </w:r>
      </w:hyperlink>
      <w:r>
        <w:t xml:space="preserve"> </w:t>
      </w:r>
      <w:r>
        <w:br/>
      </w:r>
      <w:r>
        <w:t xml:space="preserve">DOI:</w:t>
      </w:r>
      <w:r>
        <w:t xml:space="preserve"> </w:t>
      </w:r>
      <w:hyperlink r:id="rId125">
        <w:r>
          <w:rPr>
            <w:rStyle w:val="Hyperlink"/>
          </w:rPr>
          <w:t xml:space="preserve">10.1073/pnas.0404012101</w:t>
        </w:r>
      </w:hyperlink>
    </w:p>
    <w:bookmarkEnd w:id="126"/>
    <w:bookmarkStart w:id="131"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27">
        <w:r>
          <w:rPr>
            <w:rStyle w:val="Hyperlink"/>
          </w:rPr>
          <w:t xml:space="preserve">https://www.ncbi.nlm.nih.gov/pmc/articles/PMC6961584/</w:t>
        </w:r>
      </w:hyperlink>
      <w:r>
        <w:t xml:space="preserve"> </w:t>
      </w:r>
      <w:r>
        <w:br/>
      </w:r>
      <w:r>
        <w:t xml:space="preserve">DOI:</w:t>
      </w:r>
      <w:r>
        <w:t xml:space="preserve"> </w:t>
      </w:r>
      <w:hyperlink r:id="rId128">
        <w:r>
          <w:rPr>
            <w:rStyle w:val="Hyperlink"/>
          </w:rPr>
          <w:t xml:space="preserve">10.1101/gr.251678.119</w:t>
        </w:r>
      </w:hyperlink>
      <w:r>
        <w:t xml:space="preserve"> </w:t>
      </w:r>
      <w:r>
        <w:t xml:space="preserve">· PMID:</w:t>
      </w:r>
      <w:r>
        <w:t xml:space="preserve"> </w:t>
      </w:r>
      <w:hyperlink r:id="rId129">
        <w:r>
          <w:rPr>
            <w:rStyle w:val="Hyperlink"/>
          </w:rPr>
          <w:t xml:space="preserve">31809257</w:t>
        </w:r>
      </w:hyperlink>
      <w:r>
        <w:t xml:space="preserve"> </w:t>
      </w:r>
      <w:r>
        <w:t xml:space="preserve">· PMCID:</w:t>
      </w:r>
      <w:r>
        <w:t xml:space="preserve"> </w:t>
      </w:r>
      <w:hyperlink r:id="rId130">
        <w:r>
          <w:rPr>
            <w:rStyle w:val="Hyperlink"/>
          </w:rPr>
          <w:t xml:space="preserve">PMC6961584</w:t>
        </w:r>
      </w:hyperlink>
    </w:p>
    <w:bookmarkEnd w:id="131"/>
    <w:bookmarkStart w:id="134"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32">
        <w:r>
          <w:rPr>
            <w:rStyle w:val="Hyperlink"/>
          </w:rPr>
          <w:t xml:space="preserve">https://linkinghub.elsevier.com/retrieve/pii/S1473309913703232</w:t>
        </w:r>
      </w:hyperlink>
      <w:r>
        <w:t xml:space="preserve"> </w:t>
      </w:r>
      <w:r>
        <w:br/>
      </w:r>
      <w:r>
        <w:t xml:space="preserve">DOI:</w:t>
      </w:r>
      <w:r>
        <w:t xml:space="preserve"> </w:t>
      </w:r>
      <w:hyperlink r:id="rId133">
        <w:r>
          <w:rPr>
            <w:rStyle w:val="Hyperlink"/>
          </w:rPr>
          <w:t xml:space="preserve">10.1016/s1473-3099(13)70323-2</w:t>
        </w:r>
      </w:hyperlink>
    </w:p>
    <w:bookmarkEnd w:id="134"/>
    <w:bookmarkStart w:id="139"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35">
        <w:r>
          <w:rPr>
            <w:rStyle w:val="Hyperlink"/>
          </w:rPr>
          <w:t xml:space="preserve">https://www.ncbi.nlm.nih.gov/pmc/articles/PMC5320706/</w:t>
        </w:r>
      </w:hyperlink>
      <w:r>
        <w:t xml:space="preserve"> </w:t>
      </w:r>
      <w:r>
        <w:br/>
      </w:r>
      <w:r>
        <w:t xml:space="preserve">DOI:</w:t>
      </w:r>
      <w:r>
        <w:t xml:space="preserve"> </w:t>
      </w:r>
      <w:hyperlink r:id="rId136">
        <w:r>
          <w:rPr>
            <w:rStyle w:val="Hyperlink"/>
          </w:rPr>
          <w:t xml:space="preserve">10.1099/mgen.0.000094</w:t>
        </w:r>
      </w:hyperlink>
      <w:r>
        <w:t xml:space="preserve"> </w:t>
      </w:r>
      <w:r>
        <w:t xml:space="preserve">· PMID:</w:t>
      </w:r>
      <w:r>
        <w:t xml:space="preserve"> </w:t>
      </w:r>
      <w:hyperlink r:id="rId137">
        <w:r>
          <w:rPr>
            <w:rStyle w:val="Hyperlink"/>
          </w:rPr>
          <w:t xml:space="preserve">28348834</w:t>
        </w:r>
      </w:hyperlink>
      <w:r>
        <w:t xml:space="preserve"> </w:t>
      </w:r>
      <w:r>
        <w:t xml:space="preserve">· PMCID:</w:t>
      </w:r>
      <w:r>
        <w:t xml:space="preserve"> </w:t>
      </w:r>
      <w:hyperlink r:id="rId138">
        <w:r>
          <w:rPr>
            <w:rStyle w:val="Hyperlink"/>
          </w:rPr>
          <w:t xml:space="preserve">PMC5320706</w:t>
        </w:r>
      </w:hyperlink>
    </w:p>
    <w:bookmarkEnd w:id="139"/>
    <w:bookmarkStart w:id="141"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40">
        <w:r>
          <w:rPr>
            <w:rStyle w:val="Hyperlink"/>
          </w:rPr>
          <w:t xml:space="preserve">https://github.com/ktmeaton/NCBImeta</w:t>
        </w:r>
      </w:hyperlink>
    </w:p>
    <w:bookmarkEnd w:id="141"/>
    <w:bookmarkStart w:id="143"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42">
        <w:r>
          <w:rPr>
            <w:rStyle w:val="Hyperlink"/>
          </w:rPr>
          <w:t xml:space="preserve">https://github.com/geopy/geopy</w:t>
        </w:r>
      </w:hyperlink>
    </w:p>
    <w:bookmarkEnd w:id="143"/>
    <w:bookmarkStart w:id="145"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44">
        <w:r>
          <w:rPr>
            <w:rStyle w:val="Hyperlink"/>
          </w:rPr>
          <w:t xml:space="preserve">https://github.com/osm-search/Nominatim</w:t>
        </w:r>
      </w:hyperlink>
    </w:p>
    <w:bookmarkEnd w:id="145"/>
    <w:bookmarkStart w:id="147"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46">
        <w:r>
          <w:rPr>
            <w:rStyle w:val="Hyperlink"/>
          </w:rPr>
          <w:t xml:space="preserve">https://www.openstreetmap.org</w:t>
        </w:r>
      </w:hyperlink>
    </w:p>
    <w:bookmarkEnd w:id="147"/>
    <w:bookmarkStart w:id="149"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8">
        <w:r>
          <w:rPr>
            <w:rStyle w:val="Hyperlink"/>
          </w:rPr>
          <w:t xml:space="preserve">https://github.com/tseemann/snippy</w:t>
        </w:r>
      </w:hyperlink>
    </w:p>
    <w:bookmarkEnd w:id="149"/>
    <w:bookmarkStart w:id="151"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50">
        <w:r>
          <w:rPr>
            <w:rStyle w:val="Hyperlink"/>
          </w:rPr>
          <w:t xml:space="preserve">https://github.com/ncbi/sra-tools</w:t>
        </w:r>
      </w:hyperlink>
    </w:p>
    <w:bookmarkEnd w:id="151"/>
    <w:bookmarkStart w:id="154"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52">
        <w:r>
          <w:rPr>
            <w:rStyle w:val="Hyperlink"/>
          </w:rPr>
          <w:t xml:space="preserve">https://peerj.com/articles/10947</w:t>
        </w:r>
      </w:hyperlink>
      <w:r>
        <w:t xml:space="preserve"> </w:t>
      </w:r>
      <w:r>
        <w:br/>
      </w:r>
      <w:r>
        <w:t xml:space="preserve">DOI:</w:t>
      </w:r>
      <w:r>
        <w:t xml:space="preserve"> </w:t>
      </w:r>
      <w:hyperlink r:id="rId153">
        <w:r>
          <w:rPr>
            <w:rStyle w:val="Hyperlink"/>
          </w:rPr>
          <w:t xml:space="preserve">10.7717/peerj.10947</w:t>
        </w:r>
      </w:hyperlink>
    </w:p>
    <w:bookmarkEnd w:id="154"/>
    <w:bookmarkStart w:id="156" w:name="ref-MDriN15G"/>
    <w:p>
      <w:pPr>
        <w:pStyle w:val="Bibliography"/>
      </w:pPr>
      <w:r>
        <w:t xml:space="preserve">21.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55">
        <w:r>
          <w:rPr>
            <w:rStyle w:val="Hyperlink"/>
          </w:rPr>
          <w:t xml:space="preserve">https://doi.org/10.1093/gbe/evw285</w:t>
        </w:r>
      </w:hyperlink>
      <w:r>
        <w:t xml:space="preserve"> </w:t>
      </w:r>
      <w:r>
        <w:br/>
      </w:r>
      <w:r>
        <w:t xml:space="preserve">DOI:</w:t>
      </w:r>
      <w:r>
        <w:t xml:space="preserve"> </w:t>
      </w:r>
      <w:hyperlink r:id="rId155">
        <w:r>
          <w:rPr>
            <w:rStyle w:val="Hyperlink"/>
          </w:rPr>
          <w:t xml:space="preserve">10.1093/gbe/evw285</w:t>
        </w:r>
      </w:hyperlink>
    </w:p>
    <w:bookmarkEnd w:id="156"/>
    <w:bookmarkStart w:id="159"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7">
        <w:r>
          <w:rPr>
            <w:rStyle w:val="Hyperlink"/>
          </w:rPr>
          <w:t xml:space="preserve">https://www.nature.com/articles/s41467-019-12154-0</w:t>
        </w:r>
      </w:hyperlink>
      <w:r>
        <w:t xml:space="preserve"> </w:t>
      </w:r>
      <w:r>
        <w:br/>
      </w:r>
      <w:r>
        <w:t xml:space="preserve">DOI:</w:t>
      </w:r>
      <w:r>
        <w:t xml:space="preserve"> </w:t>
      </w:r>
      <w:hyperlink r:id="rId158">
        <w:r>
          <w:rPr>
            <w:rStyle w:val="Hyperlink"/>
          </w:rPr>
          <w:t xml:space="preserve">10.1038/s41467-019-12154-0</w:t>
        </w:r>
      </w:hyperlink>
    </w:p>
    <w:bookmarkEnd w:id="159"/>
    <w:bookmarkStart w:id="162" w:name="ref-ONhNS9aO"/>
    <w:p>
      <w:pPr>
        <w:pStyle w:val="Bibliography"/>
      </w:pPr>
      <w:r>
        <w:t xml:space="preserve">23.</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60">
        <w:r>
          <w:rPr>
            <w:rStyle w:val="Hyperlink"/>
          </w:rPr>
          <w:t xml:space="preserve">http://www.pnas.org/cgi/doi/10.1073/pnas.1205750110</w:t>
        </w:r>
      </w:hyperlink>
      <w:r>
        <w:t xml:space="preserve"> </w:t>
      </w:r>
      <w:r>
        <w:br/>
      </w:r>
      <w:r>
        <w:t xml:space="preserve">DOI:</w:t>
      </w:r>
      <w:r>
        <w:t xml:space="preserve"> </w:t>
      </w:r>
      <w:hyperlink r:id="rId161">
        <w:r>
          <w:rPr>
            <w:rStyle w:val="Hyperlink"/>
          </w:rPr>
          <w:t xml:space="preserve">10.1073/pnas.1205750110</w:t>
        </w:r>
      </w:hyperlink>
    </w:p>
    <w:bookmarkEnd w:id="162"/>
    <w:bookmarkStart w:id="165" w:name="ref-QZIPWLUx"/>
    <w:p>
      <w:pPr>
        <w:pStyle w:val="Bibliography"/>
      </w:pPr>
      <w:r>
        <w:t xml:space="preserve">24.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63">
        <w:r>
          <w:rPr>
            <w:rStyle w:val="Hyperlink"/>
          </w:rPr>
          <w:t xml:space="preserve">http://www.nature.com/articles/nmeth.4285</w:t>
        </w:r>
      </w:hyperlink>
      <w:r>
        <w:t xml:space="preserve"> </w:t>
      </w:r>
      <w:r>
        <w:br/>
      </w:r>
      <w:r>
        <w:t xml:space="preserve">DOI:</w:t>
      </w:r>
      <w:r>
        <w:t xml:space="preserve"> </w:t>
      </w:r>
      <w:hyperlink r:id="rId164">
        <w:r>
          <w:rPr>
            <w:rStyle w:val="Hyperlink"/>
          </w:rPr>
          <w:t xml:space="preserve">10.1038/nmeth.4285</w:t>
        </w:r>
      </w:hyperlink>
    </w:p>
    <w:bookmarkEnd w:id="165"/>
    <w:bookmarkStart w:id="168" w:name="ref-mkkgRhHT"/>
    <w:p>
      <w:pPr>
        <w:pStyle w:val="Bibliography"/>
      </w:pPr>
      <w:r>
        <w:t xml:space="preserve">25.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66">
        <w:r>
          <w:rPr>
            <w:rStyle w:val="Hyperlink"/>
          </w:rPr>
          <w:t xml:space="preserve">https://academic.oup.com/mbe/article/37/5/1530/5721363</w:t>
        </w:r>
      </w:hyperlink>
      <w:r>
        <w:t xml:space="preserve"> </w:t>
      </w:r>
      <w:r>
        <w:br/>
      </w:r>
      <w:r>
        <w:t xml:space="preserve">DOI:</w:t>
      </w:r>
      <w:r>
        <w:t xml:space="preserve"> </w:t>
      </w:r>
      <w:hyperlink r:id="rId167">
        <w:r>
          <w:rPr>
            <w:rStyle w:val="Hyperlink"/>
          </w:rPr>
          <w:t xml:space="preserve">10.1093/molbev/msaa015</w:t>
        </w:r>
      </w:hyperlink>
    </w:p>
    <w:bookmarkEnd w:id="168"/>
    <w:bookmarkStart w:id="171" w:name="ref-12SvE6y3A"/>
    <w:p>
      <w:pPr>
        <w:pStyle w:val="Bibliography"/>
      </w:pPr>
      <w:r>
        <w:t xml:space="preserve">26.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69">
        <w:r>
          <w:rPr>
            <w:rStyle w:val="Hyperlink"/>
          </w:rPr>
          <w:t xml:space="preserve">https://academic.oup.com/mbe/article/35/2/518/4565479</w:t>
        </w:r>
      </w:hyperlink>
      <w:r>
        <w:t xml:space="preserve"> </w:t>
      </w:r>
      <w:r>
        <w:br/>
      </w:r>
      <w:r>
        <w:t xml:space="preserve">DOI:</w:t>
      </w:r>
      <w:r>
        <w:t xml:space="preserve"> </w:t>
      </w:r>
      <w:hyperlink r:id="rId170">
        <w:r>
          <w:rPr>
            <w:rStyle w:val="Hyperlink"/>
          </w:rPr>
          <w:t xml:space="preserve">10.1093/molbev/msx281</w:t>
        </w:r>
      </w:hyperlink>
    </w:p>
    <w:bookmarkEnd w:id="171"/>
    <w:bookmarkStart w:id="174" w:name="ref-VomZnwKw"/>
    <w:p>
      <w:pPr>
        <w:pStyle w:val="Bibliography"/>
      </w:pPr>
      <w:r>
        <w:t xml:space="preserve">27.</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72">
        <w:r>
          <w:rPr>
            <w:rStyle w:val="Hyperlink"/>
          </w:rPr>
          <w:t xml:space="preserve">https://academic.oup.com/sysbio/article-lookup/doi/10.1093/sysbio/syv068</w:t>
        </w:r>
      </w:hyperlink>
      <w:r>
        <w:t xml:space="preserve"> </w:t>
      </w:r>
      <w:r>
        <w:br/>
      </w:r>
      <w:r>
        <w:t xml:space="preserve">DOI:</w:t>
      </w:r>
      <w:r>
        <w:t xml:space="preserve"> </w:t>
      </w:r>
      <w:hyperlink r:id="rId173">
        <w:r>
          <w:rPr>
            <w:rStyle w:val="Hyperlink"/>
          </w:rPr>
          <w:t xml:space="preserve">10.1093/sysbio/syv068</w:t>
        </w:r>
      </w:hyperlink>
    </w:p>
    <w:bookmarkEnd w:id="174"/>
    <w:bookmarkStart w:id="179" w:name="ref-11JaQggrG"/>
    <w:p>
      <w:pPr>
        <w:pStyle w:val="Bibliography"/>
      </w:pPr>
      <w:r>
        <w:t xml:space="preserve">28.</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75">
        <w:r>
          <w:rPr>
            <w:rStyle w:val="Hyperlink"/>
          </w:rPr>
          <w:t xml:space="preserve">https://www.ncbi.nlm.nih.gov/pmc/articles/PMC5758920/</w:t>
        </w:r>
      </w:hyperlink>
      <w:r>
        <w:t xml:space="preserve"> </w:t>
      </w:r>
      <w:r>
        <w:br/>
      </w:r>
      <w:r>
        <w:t xml:space="preserve">DOI:</w:t>
      </w:r>
      <w:r>
        <w:t xml:space="preserve"> </w:t>
      </w:r>
      <w:hyperlink r:id="rId176">
        <w:r>
          <w:rPr>
            <w:rStyle w:val="Hyperlink"/>
          </w:rPr>
          <w:t xml:space="preserve">10.1093/ve/vex042</w:t>
        </w:r>
      </w:hyperlink>
      <w:r>
        <w:t xml:space="preserve"> </w:t>
      </w:r>
      <w:r>
        <w:t xml:space="preserve">· PMID:</w:t>
      </w:r>
      <w:r>
        <w:t xml:space="preserve"> </w:t>
      </w:r>
      <w:hyperlink r:id="rId177">
        <w:r>
          <w:rPr>
            <w:rStyle w:val="Hyperlink"/>
          </w:rPr>
          <w:t xml:space="preserve">29340210</w:t>
        </w:r>
      </w:hyperlink>
      <w:r>
        <w:t xml:space="preserve"> </w:t>
      </w:r>
      <w:r>
        <w:t xml:space="preserve">· PMCID:</w:t>
      </w:r>
      <w:r>
        <w:t xml:space="preserve"> </w:t>
      </w:r>
      <w:hyperlink r:id="rId178">
        <w:r>
          <w:rPr>
            <w:rStyle w:val="Hyperlink"/>
          </w:rPr>
          <w:t xml:space="preserve">PMC5758920</w:t>
        </w:r>
      </w:hyperlink>
    </w:p>
    <w:bookmarkEnd w:id="179"/>
    <w:bookmarkStart w:id="182" w:name="ref-cIuFxbEY"/>
    <w:p>
      <w:pPr>
        <w:pStyle w:val="Bibliography"/>
      </w:pPr>
      <w:r>
        <w:t xml:space="preserve">29.</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80">
        <w:r>
          <w:rPr>
            <w:rStyle w:val="Hyperlink"/>
          </w:rPr>
          <w:t xml:space="preserve">http://www.sciencedirect.com/science/article/pii/S1286457904002357</w:t>
        </w:r>
      </w:hyperlink>
      <w:r>
        <w:t xml:space="preserve"> </w:t>
      </w:r>
      <w:r>
        <w:br/>
      </w:r>
      <w:r>
        <w:t xml:space="preserve">DOI:</w:t>
      </w:r>
      <w:r>
        <w:t xml:space="preserve"> </w:t>
      </w:r>
      <w:hyperlink r:id="rId181">
        <w:r>
          <w:rPr>
            <w:rStyle w:val="Hyperlink"/>
          </w:rPr>
          <w:t xml:space="preserve">10.1016/j.micinf.2004.08.002</w:t>
        </w:r>
      </w:hyperlink>
    </w:p>
    <w:bookmarkEnd w:id="182"/>
    <w:bookmarkStart w:id="185" w:name="ref-66GmpEaG"/>
    <w:p>
      <w:pPr>
        <w:pStyle w:val="Bibliography"/>
      </w:pPr>
      <w:r>
        <w:t xml:space="preserve">30.</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83">
        <w:r>
          <w:rPr>
            <w:rStyle w:val="Hyperlink"/>
          </w:rPr>
          <w:t xml:space="preserve">https://journals.plos.org/plosone/article?id=10.1371/journal.pone.0006000</w:t>
        </w:r>
      </w:hyperlink>
      <w:r>
        <w:t xml:space="preserve"> </w:t>
      </w:r>
      <w:r>
        <w:br/>
      </w:r>
      <w:r>
        <w:t xml:space="preserve">DOI:</w:t>
      </w:r>
      <w:r>
        <w:t xml:space="preserve"> </w:t>
      </w:r>
      <w:hyperlink r:id="rId184">
        <w:r>
          <w:rPr>
            <w:rStyle w:val="Hyperlink"/>
          </w:rPr>
          <w:t xml:space="preserve">10.1371/journal.pone.0006000</w:t>
        </w:r>
      </w:hyperlink>
    </w:p>
    <w:bookmarkEnd w:id="185"/>
    <w:bookmarkStart w:id="190" w:name="ref-ZvyYZ3sx"/>
    <w:p>
      <w:pPr>
        <w:pStyle w:val="Bibliography"/>
      </w:pPr>
      <w:r>
        <w:t xml:space="preserve">31.</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86">
        <w:r>
          <w:rPr>
            <w:rStyle w:val="Hyperlink"/>
          </w:rPr>
          <w:t xml:space="preserve">https://www.ncbi.nlm.nih.gov/pmc/articles/PMC4644222/</w:t>
        </w:r>
      </w:hyperlink>
      <w:r>
        <w:t xml:space="preserve"> </w:t>
      </w:r>
      <w:r>
        <w:br/>
      </w:r>
      <w:r>
        <w:t xml:space="preserve">DOI:</w:t>
      </w:r>
      <w:r>
        <w:t xml:space="preserve"> </w:t>
      </w:r>
      <w:hyperlink r:id="rId187">
        <w:r>
          <w:rPr>
            <w:rStyle w:val="Hyperlink"/>
          </w:rPr>
          <w:t xml:space="preserve">10.1016/j.cell.2015.10.009</w:t>
        </w:r>
      </w:hyperlink>
      <w:r>
        <w:t xml:space="preserve"> </w:t>
      </w:r>
      <w:r>
        <w:t xml:space="preserve">· PMID:</w:t>
      </w:r>
      <w:r>
        <w:t xml:space="preserve"> </w:t>
      </w:r>
      <w:hyperlink r:id="rId188">
        <w:r>
          <w:rPr>
            <w:rStyle w:val="Hyperlink"/>
          </w:rPr>
          <w:t xml:space="preserve">26496604</w:t>
        </w:r>
      </w:hyperlink>
      <w:r>
        <w:t xml:space="preserve"> </w:t>
      </w:r>
      <w:r>
        <w:t xml:space="preserve">· PMCID:</w:t>
      </w:r>
      <w:r>
        <w:t xml:space="preserve"> </w:t>
      </w:r>
      <w:hyperlink r:id="rId189">
        <w:r>
          <w:rPr>
            <w:rStyle w:val="Hyperlink"/>
          </w:rPr>
          <w:t xml:space="preserve">PMC4644222</w:t>
        </w:r>
      </w:hyperlink>
    </w:p>
    <w:bookmarkEnd w:id="190"/>
    <w:bookmarkStart w:id="194" w:name="ref-19LMpiGZs"/>
    <w:p>
      <w:pPr>
        <w:pStyle w:val="Bibliography"/>
      </w:pPr>
      <w:r>
        <w:t xml:space="preserve">32.</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91">
        <w:r>
          <w:rPr>
            <w:rStyle w:val="Hyperlink"/>
          </w:rPr>
          <w:t xml:space="preserve">https://www.pnas.org/content/116/25/12363</w:t>
        </w:r>
      </w:hyperlink>
      <w:r>
        <w:t xml:space="preserve"> </w:t>
      </w:r>
      <w:r>
        <w:br/>
      </w:r>
      <w:r>
        <w:t xml:space="preserve">DOI:</w:t>
      </w:r>
      <w:r>
        <w:t xml:space="preserve"> </w:t>
      </w:r>
      <w:hyperlink r:id="rId192">
        <w:r>
          <w:rPr>
            <w:rStyle w:val="Hyperlink"/>
          </w:rPr>
          <w:t xml:space="preserve">10.1073/pnas.1820447116</w:t>
        </w:r>
      </w:hyperlink>
      <w:r>
        <w:t xml:space="preserve"> </w:t>
      </w:r>
      <w:r>
        <w:t xml:space="preserve">· PMID:</w:t>
      </w:r>
      <w:r>
        <w:t xml:space="preserve"> </w:t>
      </w:r>
      <w:hyperlink r:id="rId193">
        <w:r>
          <w:rPr>
            <w:rStyle w:val="Hyperlink"/>
          </w:rPr>
          <w:t xml:space="preserve">31164419</w:t>
        </w:r>
      </w:hyperlink>
    </w:p>
    <w:bookmarkEnd w:id="194"/>
    <w:bookmarkStart w:id="197" w:name="ref-RWkOSyzX"/>
    <w:p>
      <w:pPr>
        <w:pStyle w:val="Bibliography"/>
      </w:pPr>
      <w:r>
        <w:t xml:space="preserve">33.</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95">
        <w:r>
          <w:rPr>
            <w:rStyle w:val="Hyperlink"/>
          </w:rPr>
          <w:t xml:space="preserve">https://royalsocietypublishing.org/doi/10.1098/rspb.2013.3159</w:t>
        </w:r>
      </w:hyperlink>
      <w:r>
        <w:t xml:space="preserve"> </w:t>
      </w:r>
      <w:r>
        <w:br/>
      </w:r>
      <w:r>
        <w:t xml:space="preserve">DOI:</w:t>
      </w:r>
      <w:r>
        <w:t xml:space="preserve"> </w:t>
      </w:r>
      <w:hyperlink r:id="rId196">
        <w:r>
          <w:rPr>
            <w:rStyle w:val="Hyperlink"/>
          </w:rPr>
          <w:t xml:space="preserve">10.1098/rspb.2013.3159</w:t>
        </w:r>
      </w:hyperlink>
    </w:p>
    <w:bookmarkEnd w:id="197"/>
    <w:bookmarkStart w:id="201" w:name="ref-pjjiQi2H"/>
    <w:p>
      <w:pPr>
        <w:pStyle w:val="Bibliography"/>
      </w:pPr>
      <w:r>
        <w:t xml:space="preserve">34.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98">
        <w:r>
          <w:rPr>
            <w:rStyle w:val="Hyperlink"/>
          </w:rPr>
          <w:t xml:space="preserve">https://www.pnas.org/content/116/24/11833</w:t>
        </w:r>
      </w:hyperlink>
      <w:r>
        <w:t xml:space="preserve"> </w:t>
      </w:r>
      <w:r>
        <w:br/>
      </w:r>
      <w:r>
        <w:t xml:space="preserve">DOI:</w:t>
      </w:r>
      <w:r>
        <w:t xml:space="preserve"> </w:t>
      </w:r>
      <w:hyperlink r:id="rId199">
        <w:r>
          <w:rPr>
            <w:rStyle w:val="Hyperlink"/>
          </w:rPr>
          <w:t xml:space="preserve">10.1073/pnas.1901366116</w:t>
        </w:r>
      </w:hyperlink>
      <w:r>
        <w:t xml:space="preserve"> </w:t>
      </w:r>
      <w:r>
        <w:t xml:space="preserve">· PMID:</w:t>
      </w:r>
      <w:r>
        <w:t xml:space="preserve"> </w:t>
      </w:r>
      <w:hyperlink r:id="rId200">
        <w:r>
          <w:rPr>
            <w:rStyle w:val="Hyperlink"/>
          </w:rPr>
          <w:t xml:space="preserve">31138696</w:t>
        </w:r>
      </w:hyperlink>
    </w:p>
    <w:bookmarkEnd w:id="201"/>
    <w:bookmarkStart w:id="203"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202">
        <w:r>
          <w:rPr>
            <w:rStyle w:val="Hyperlink"/>
          </w:rPr>
          <w:t xml:space="preserve">https://doi.org/10.1093/molbev/msaa163</w:t>
        </w:r>
      </w:hyperlink>
      <w:r>
        <w:t xml:space="preserve"> </w:t>
      </w:r>
      <w:r>
        <w:br/>
      </w:r>
      <w:r>
        <w:t xml:space="preserve">DOI:</w:t>
      </w:r>
      <w:r>
        <w:t xml:space="preserve"> </w:t>
      </w:r>
      <w:hyperlink r:id="rId202">
        <w:r>
          <w:rPr>
            <w:rStyle w:val="Hyperlink"/>
          </w:rPr>
          <w:t xml:space="preserve">10.1093/molbev/msaa163</w:t>
        </w:r>
      </w:hyperlink>
    </w:p>
    <w:bookmarkEnd w:id="203"/>
    <w:bookmarkStart w:id="206" w:name="ref-39QXTupk"/>
    <w:p>
      <w:pPr>
        <w:pStyle w:val="Bibliography"/>
      </w:pPr>
      <w:r>
        <w:t xml:space="preserve">36.</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204">
        <w:r>
          <w:rPr>
            <w:rStyle w:val="Hyperlink"/>
          </w:rPr>
          <w:t xml:space="preserve">http://linkinghub.elsevier.com/retrieve/pii/S1931312816302086</w:t>
        </w:r>
      </w:hyperlink>
      <w:r>
        <w:t xml:space="preserve"> </w:t>
      </w:r>
      <w:r>
        <w:br/>
      </w:r>
      <w:r>
        <w:t xml:space="preserve">DOI:</w:t>
      </w:r>
      <w:r>
        <w:t xml:space="preserve"> </w:t>
      </w:r>
      <w:hyperlink r:id="rId205">
        <w:r>
          <w:rPr>
            <w:rStyle w:val="Hyperlink"/>
          </w:rPr>
          <w:t xml:space="preserve">10.1016/j.chom.2016.05.012</w:t>
        </w:r>
      </w:hyperlink>
    </w:p>
    <w:bookmarkEnd w:id="206"/>
    <w:bookmarkStart w:id="210" w:name="ref-Y4CIJOZW"/>
    <w:p>
      <w:pPr>
        <w:pStyle w:val="Bibliography"/>
      </w:pPr>
      <w:r>
        <w:t xml:space="preserve">37.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207">
        <w:r>
          <w:rPr>
            <w:rStyle w:val="Hyperlink"/>
          </w:rPr>
          <w:t xml:space="preserve">10.1038/ng.705</w:t>
        </w:r>
      </w:hyperlink>
      <w:r>
        <w:t xml:space="preserve"> </w:t>
      </w:r>
      <w:r>
        <w:t xml:space="preserve">· PMID:</w:t>
      </w:r>
      <w:r>
        <w:t xml:space="preserve"> </w:t>
      </w:r>
      <w:hyperlink r:id="rId208">
        <w:r>
          <w:rPr>
            <w:rStyle w:val="Hyperlink"/>
          </w:rPr>
          <w:t xml:space="preserve">21037571</w:t>
        </w:r>
      </w:hyperlink>
      <w:r>
        <w:t xml:space="preserve"> </w:t>
      </w:r>
      <w:r>
        <w:t xml:space="preserve">· PMCID:</w:t>
      </w:r>
      <w:r>
        <w:t xml:space="preserve"> </w:t>
      </w:r>
      <w:hyperlink r:id="rId209">
        <w:r>
          <w:rPr>
            <w:rStyle w:val="Hyperlink"/>
          </w:rPr>
          <w:t xml:space="preserve">PMC2999892</w:t>
        </w:r>
      </w:hyperlink>
    </w:p>
    <w:bookmarkEnd w:id="210"/>
    <w:bookmarkEnd w:id="21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4" Target="media/rId94.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204" Target="http://linkinghub.elsevier.com/retrieve/pii/S1931312816302086" TargetMode="External" /><Relationship Type="http://schemas.openxmlformats.org/officeDocument/2006/relationships/hyperlink" Id="rId118" Target="http://reviverestore.org/wp-content/uploads/2015/02/Gage-and-Kosoy_USGS-Blk-footed-ferret-symp_2006-copy.pdf" TargetMode="External" /><Relationship Type="http://schemas.openxmlformats.org/officeDocument/2006/relationships/hyperlink" Id="rId163" Target="http://www.nature.com/articles/nmeth.4285" TargetMode="External" /><Relationship Type="http://schemas.openxmlformats.org/officeDocument/2006/relationships/hyperlink" Id="rId124" Target="http://www.pnas.org/cgi/doi/10.1073/pnas.0404012101" TargetMode="External" /><Relationship Type="http://schemas.openxmlformats.org/officeDocument/2006/relationships/hyperlink" Id="rId160" Target="http://www.pnas.org/cgi/doi/10.1073/pnas.1205750110" TargetMode="External" /><Relationship Type="http://schemas.openxmlformats.org/officeDocument/2006/relationships/hyperlink" Id="rId180" Target="http://www.sciencedirect.com/science/article/pii/S1286457904002357" TargetMode="External" /><Relationship Type="http://schemas.openxmlformats.org/officeDocument/2006/relationships/hyperlink" Id="rId169" Target="https://academic.oup.com/mbe/article/35/2/518/4565479" TargetMode="External" /><Relationship Type="http://schemas.openxmlformats.org/officeDocument/2006/relationships/hyperlink" Id="rId166" Target="https://academic.oup.com/mbe/article/37/5/1530/5721363" TargetMode="External" /><Relationship Type="http://schemas.openxmlformats.org/officeDocument/2006/relationships/hyperlink" Id="rId172" Target="https://academic.oup.com/sysbio/article-lookup/doi/10.1093/sysbio/syv068" TargetMode="External" /><Relationship Type="http://schemas.openxmlformats.org/officeDocument/2006/relationships/hyperlink" Id="rId116" Target="https://apps.who.int/iris/bitstream/handle/10665/325481/WER9425-en-fr.pdf" TargetMode="External" /><Relationship Type="http://schemas.openxmlformats.org/officeDocument/2006/relationships/hyperlink" Id="rId133" Target="https://doi.org/10.1016/S1473-3099(13)70323-2" TargetMode="External" /><Relationship Type="http://schemas.openxmlformats.org/officeDocument/2006/relationships/hyperlink" Id="rId187" Target="https://doi.org/10.1016/j.cell.2015.10.009" TargetMode="External" /><Relationship Type="http://schemas.openxmlformats.org/officeDocument/2006/relationships/hyperlink" Id="rId101" Target="https://doi.org/10.1016/j.cell.2018.11.005" TargetMode="External" /><Relationship Type="http://schemas.openxmlformats.org/officeDocument/2006/relationships/hyperlink" Id="rId205" Target="https://doi.org/10.1016/j.chom.2016.05.012" TargetMode="External" /><Relationship Type="http://schemas.openxmlformats.org/officeDocument/2006/relationships/hyperlink" Id="rId97" Target="https://doi.org/10.1016/j.cub.2017.10.025" TargetMode="External" /><Relationship Type="http://schemas.openxmlformats.org/officeDocument/2006/relationships/hyperlink" Id="rId181" Target="https://doi.org/10.1016/j.micinf.2004.08.002" TargetMode="External" /><Relationship Type="http://schemas.openxmlformats.org/officeDocument/2006/relationships/hyperlink" Id="rId207" Target="https://doi.org/10.1038/ng.705" TargetMode="External" /><Relationship Type="http://schemas.openxmlformats.org/officeDocument/2006/relationships/hyperlink" Id="rId164"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05" Target="https://doi.org/10.1038/s41598-017-13481-2" TargetMode="External" /><Relationship Type="http://schemas.openxmlformats.org/officeDocument/2006/relationships/hyperlink" Id="rId125" Target="https://doi.org/10.1073/pnas.0404012101" TargetMode="External" /><Relationship Type="http://schemas.openxmlformats.org/officeDocument/2006/relationships/hyperlink" Id="rId161" Target="https://doi.org/10.1073/pnas.1205750110" TargetMode="External" /><Relationship Type="http://schemas.openxmlformats.org/officeDocument/2006/relationships/hyperlink" Id="rId192" Target="https://doi.org/10.1073/pnas.1820447116" TargetMode="External" /><Relationship Type="http://schemas.openxmlformats.org/officeDocument/2006/relationships/hyperlink" Id="rId199" Target="https://doi.org/10.1073/pnas.1901366116" TargetMode="External" /><Relationship Type="http://schemas.openxmlformats.org/officeDocument/2006/relationships/hyperlink" Id="rId120" Target="https://doi.org/10.1073/pnas.96.24.14043" TargetMode="External" /><Relationship Type="http://schemas.openxmlformats.org/officeDocument/2006/relationships/hyperlink" Id="rId155" Target="https://doi.org/10.1093/gbe/evw285" TargetMode="External" /><Relationship Type="http://schemas.openxmlformats.org/officeDocument/2006/relationships/hyperlink" Id="rId167" Target="https://doi.org/10.1093/molbev/msaa015" TargetMode="External" /><Relationship Type="http://schemas.openxmlformats.org/officeDocument/2006/relationships/hyperlink" Id="rId202" Target="https://doi.org/10.1093/molbev/msaa163" TargetMode="External" /><Relationship Type="http://schemas.openxmlformats.org/officeDocument/2006/relationships/hyperlink" Id="rId170" Target="https://doi.org/10.1093/molbev/msx281" TargetMode="External" /><Relationship Type="http://schemas.openxmlformats.org/officeDocument/2006/relationships/hyperlink" Id="rId173" Target="https://doi.org/10.1093/sysbio/syv068" TargetMode="External" /><Relationship Type="http://schemas.openxmlformats.org/officeDocument/2006/relationships/hyperlink" Id="rId176" Target="https://doi.org/10.1093/ve/vex042" TargetMode="External" /><Relationship Type="http://schemas.openxmlformats.org/officeDocument/2006/relationships/hyperlink" Id="rId196" Target="https://doi.org/10.1098/rspb.2013.3159" TargetMode="External" /><Relationship Type="http://schemas.openxmlformats.org/officeDocument/2006/relationships/hyperlink" Id="rId136" Target="https://doi.org/10.1099/mgen.0.000094" TargetMode="External" /><Relationship Type="http://schemas.openxmlformats.org/officeDocument/2006/relationships/hyperlink" Id="rId128" Target="https://doi.org/10.1101/gr.251678.119" TargetMode="External" /><Relationship Type="http://schemas.openxmlformats.org/officeDocument/2006/relationships/hyperlink" Id="rId184" Target="https://doi.org/10.1371/journal.pone.0006000" TargetMode="External" /><Relationship Type="http://schemas.openxmlformats.org/officeDocument/2006/relationships/hyperlink" Id="rId153" Target="https://doi.org/10.7717/peerj.10947" TargetMode="External" /><Relationship Type="http://schemas.openxmlformats.org/officeDocument/2006/relationships/hyperlink" Id="rId14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40" Target="https://github.com/ktmeaton/NCBImeta" TargetMode="External" /><Relationship Type="http://schemas.openxmlformats.org/officeDocument/2006/relationships/hyperlink" Id="rId21" Target="https://github.com/ktmeaton/obsidian-public/tree/7defc6b7" TargetMode="External" /><Relationship Type="http://schemas.openxmlformats.org/officeDocument/2006/relationships/hyperlink" Id="rId150" Target="https://github.com/ncbi/sra-tools" TargetMode="External" /><Relationship Type="http://schemas.openxmlformats.org/officeDocument/2006/relationships/hyperlink" Id="rId14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8" Target="https://github.com/tseemann/snippy" TargetMode="External" /><Relationship Type="http://schemas.openxmlformats.org/officeDocument/2006/relationships/hyperlink" Id="rId183" Target="https://journals.plos.org/plosone/article?id=10.1371/journal.pone.0006000" TargetMode="External" /><Relationship Type="http://schemas.openxmlformats.org/officeDocument/2006/relationships/hyperlink" Id="rId132"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52" Target="https://peerj.com/articles/10947" TargetMode="External" /><Relationship Type="http://schemas.openxmlformats.org/officeDocument/2006/relationships/hyperlink" Id="rId20" Target="https://rawcdn.githack.com/ktmeaton/obsidian-public/7defc6b7/academic/Plague%20Phylodynamics%20and%20Phylogeography%20Paper.html" TargetMode="External" /><Relationship Type="http://schemas.openxmlformats.org/officeDocument/2006/relationships/hyperlink" Id="rId195" Target="https://royalsocietypublishing.org/doi/10.1098/rspb.2013.3159" TargetMode="External" /><Relationship Type="http://schemas.openxmlformats.org/officeDocument/2006/relationships/hyperlink" Id="rId114" Target="https://worldcat.org/isbn/0-85115-943-5" TargetMode="External" /><Relationship Type="http://schemas.openxmlformats.org/officeDocument/2006/relationships/hyperlink" Id="rId100"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0" Target="https://www.ncbi.nlm.nih.gov/pmc/articles/PMC172914" TargetMode="External" /><Relationship Type="http://schemas.openxmlformats.org/officeDocument/2006/relationships/hyperlink" Id="rId122" Target="https://www.ncbi.nlm.nih.gov/pmc/articles/PMC24187" TargetMode="External" /><Relationship Type="http://schemas.openxmlformats.org/officeDocument/2006/relationships/hyperlink" Id="rId209" Target="https://www.ncbi.nlm.nih.gov/pmc/articles/PMC2999892" TargetMode="External" /><Relationship Type="http://schemas.openxmlformats.org/officeDocument/2006/relationships/hyperlink" Id="rId189" Target="https://www.ncbi.nlm.nih.gov/pmc/articles/PMC4644222" TargetMode="External" /><Relationship Type="http://schemas.openxmlformats.org/officeDocument/2006/relationships/hyperlink" Id="rId186" Target="https://www.ncbi.nlm.nih.gov/pmc/articles/PMC4644222/" TargetMode="External" /><Relationship Type="http://schemas.openxmlformats.org/officeDocument/2006/relationships/hyperlink" Id="rId138" Target="https://www.ncbi.nlm.nih.gov/pmc/articles/PMC5320706" TargetMode="External" /><Relationship Type="http://schemas.openxmlformats.org/officeDocument/2006/relationships/hyperlink" Id="rId135" Target="https://www.ncbi.nlm.nih.gov/pmc/articles/PMC5320706/" TargetMode="External" /><Relationship Type="http://schemas.openxmlformats.org/officeDocument/2006/relationships/hyperlink" Id="rId107" Target="https://www.ncbi.nlm.nih.gov/pmc/articles/PMC5636801" TargetMode="External" /><Relationship Type="http://schemas.openxmlformats.org/officeDocument/2006/relationships/hyperlink" Id="rId104" Target="https://www.ncbi.nlm.nih.gov/pmc/articles/PMC5636801/" TargetMode="External" /><Relationship Type="http://schemas.openxmlformats.org/officeDocument/2006/relationships/hyperlink" Id="rId178" Target="https://www.ncbi.nlm.nih.gov/pmc/articles/PMC5758920" TargetMode="External" /><Relationship Type="http://schemas.openxmlformats.org/officeDocument/2006/relationships/hyperlink" Id="rId175" Target="https://www.ncbi.nlm.nih.gov/pmc/articles/PMC5758920/" TargetMode="External" /><Relationship Type="http://schemas.openxmlformats.org/officeDocument/2006/relationships/hyperlink" Id="rId130" Target="https://www.ncbi.nlm.nih.gov/pmc/articles/PMC6961584" TargetMode="External" /><Relationship Type="http://schemas.openxmlformats.org/officeDocument/2006/relationships/hyperlink" Id="rId127" Target="https://www.ncbi.nlm.nih.gov/pmc/articles/PMC6961584/" TargetMode="External" /><Relationship Type="http://schemas.openxmlformats.org/officeDocument/2006/relationships/hyperlink" Id="rId121" Target="https://www.ncbi.nlm.nih.gov/pubmed/10570195" TargetMode="External" /><Relationship Type="http://schemas.openxmlformats.org/officeDocument/2006/relationships/hyperlink" Id="rId208" Target="https://www.ncbi.nlm.nih.gov/pubmed/21037571" TargetMode="External" /><Relationship Type="http://schemas.openxmlformats.org/officeDocument/2006/relationships/hyperlink" Id="rId188" Target="https://www.ncbi.nlm.nih.gov/pubmed/26496604" TargetMode="External" /><Relationship Type="http://schemas.openxmlformats.org/officeDocument/2006/relationships/hyperlink" Id="rId137" Target="https://www.ncbi.nlm.nih.gov/pubmed/28348834" TargetMode="External" /><Relationship Type="http://schemas.openxmlformats.org/officeDocument/2006/relationships/hyperlink" Id="rId106" Target="https://www.ncbi.nlm.nih.gov/pubmed/29021541" TargetMode="External" /><Relationship Type="http://schemas.openxmlformats.org/officeDocument/2006/relationships/hyperlink" Id="rId98" Target="https://www.ncbi.nlm.nih.gov/pubmed/29174893" TargetMode="External" /><Relationship Type="http://schemas.openxmlformats.org/officeDocument/2006/relationships/hyperlink" Id="rId177" Target="https://www.ncbi.nlm.nih.gov/pubmed/29340210" TargetMode="External" /><Relationship Type="http://schemas.openxmlformats.org/officeDocument/2006/relationships/hyperlink" Id="rId102" Target="https://www.ncbi.nlm.nih.gov/pubmed/30528431" TargetMode="External" /><Relationship Type="http://schemas.openxmlformats.org/officeDocument/2006/relationships/hyperlink" Id="rId200" Target="https://www.ncbi.nlm.nih.gov/pubmed/31138696" TargetMode="External" /><Relationship Type="http://schemas.openxmlformats.org/officeDocument/2006/relationships/hyperlink" Id="rId193" Target="https://www.ncbi.nlm.nih.gov/pubmed/31164419" TargetMode="External" /><Relationship Type="http://schemas.openxmlformats.org/officeDocument/2006/relationships/hyperlink" Id="rId129" Target="https://www.ncbi.nlm.nih.gov/pubmed/31809257" TargetMode="External" /><Relationship Type="http://schemas.openxmlformats.org/officeDocument/2006/relationships/hyperlink" Id="rId109" Target="https://www.ncbi.nlm.nih.gov/pubmed/8993858" TargetMode="External" /><Relationship Type="http://schemas.openxmlformats.org/officeDocument/2006/relationships/hyperlink" Id="rId146" Target="https://www.openstreetmap.org" TargetMode="External" /><Relationship Type="http://schemas.openxmlformats.org/officeDocument/2006/relationships/hyperlink" Id="rId198" Target="https://www.pnas.org/content/116/24/11833" TargetMode="External" /><Relationship Type="http://schemas.openxmlformats.org/officeDocument/2006/relationships/hyperlink" Id="rId191" Target="https://www.pnas.org/content/116/25/12363" TargetMode="External" /><Relationship Type="http://schemas.openxmlformats.org/officeDocument/2006/relationships/hyperlink" Id="rId112"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204" Target="http://linkinghub.elsevier.com/retrieve/pii/S1931312816302086" TargetMode="External" /><Relationship Type="http://schemas.openxmlformats.org/officeDocument/2006/relationships/hyperlink" Id="rId118" Target="http://reviverestore.org/wp-content/uploads/2015/02/Gage-and-Kosoy_USGS-Blk-footed-ferret-symp_2006-copy.pdf" TargetMode="External" /><Relationship Type="http://schemas.openxmlformats.org/officeDocument/2006/relationships/hyperlink" Id="rId163" Target="http://www.nature.com/articles/nmeth.4285" TargetMode="External" /><Relationship Type="http://schemas.openxmlformats.org/officeDocument/2006/relationships/hyperlink" Id="rId124" Target="http://www.pnas.org/cgi/doi/10.1073/pnas.0404012101" TargetMode="External" /><Relationship Type="http://schemas.openxmlformats.org/officeDocument/2006/relationships/hyperlink" Id="rId160" Target="http://www.pnas.org/cgi/doi/10.1073/pnas.1205750110" TargetMode="External" /><Relationship Type="http://schemas.openxmlformats.org/officeDocument/2006/relationships/hyperlink" Id="rId180" Target="http://www.sciencedirect.com/science/article/pii/S1286457904002357" TargetMode="External" /><Relationship Type="http://schemas.openxmlformats.org/officeDocument/2006/relationships/hyperlink" Id="rId169" Target="https://academic.oup.com/mbe/article/35/2/518/4565479" TargetMode="External" /><Relationship Type="http://schemas.openxmlformats.org/officeDocument/2006/relationships/hyperlink" Id="rId166" Target="https://academic.oup.com/mbe/article/37/5/1530/5721363" TargetMode="External" /><Relationship Type="http://schemas.openxmlformats.org/officeDocument/2006/relationships/hyperlink" Id="rId172" Target="https://academic.oup.com/sysbio/article-lookup/doi/10.1093/sysbio/syv068" TargetMode="External" /><Relationship Type="http://schemas.openxmlformats.org/officeDocument/2006/relationships/hyperlink" Id="rId116" Target="https://apps.who.int/iris/bitstream/handle/10665/325481/WER9425-en-fr.pdf" TargetMode="External" /><Relationship Type="http://schemas.openxmlformats.org/officeDocument/2006/relationships/hyperlink" Id="rId133" Target="https://doi.org/10.1016/S1473-3099(13)70323-2" TargetMode="External" /><Relationship Type="http://schemas.openxmlformats.org/officeDocument/2006/relationships/hyperlink" Id="rId187" Target="https://doi.org/10.1016/j.cell.2015.10.009" TargetMode="External" /><Relationship Type="http://schemas.openxmlformats.org/officeDocument/2006/relationships/hyperlink" Id="rId101" Target="https://doi.org/10.1016/j.cell.2018.11.005" TargetMode="External" /><Relationship Type="http://schemas.openxmlformats.org/officeDocument/2006/relationships/hyperlink" Id="rId205" Target="https://doi.org/10.1016/j.chom.2016.05.012" TargetMode="External" /><Relationship Type="http://schemas.openxmlformats.org/officeDocument/2006/relationships/hyperlink" Id="rId97" Target="https://doi.org/10.1016/j.cub.2017.10.025" TargetMode="External" /><Relationship Type="http://schemas.openxmlformats.org/officeDocument/2006/relationships/hyperlink" Id="rId181" Target="https://doi.org/10.1016/j.micinf.2004.08.002" TargetMode="External" /><Relationship Type="http://schemas.openxmlformats.org/officeDocument/2006/relationships/hyperlink" Id="rId207" Target="https://doi.org/10.1038/ng.705" TargetMode="External" /><Relationship Type="http://schemas.openxmlformats.org/officeDocument/2006/relationships/hyperlink" Id="rId164"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05" Target="https://doi.org/10.1038/s41598-017-13481-2" TargetMode="External" /><Relationship Type="http://schemas.openxmlformats.org/officeDocument/2006/relationships/hyperlink" Id="rId125" Target="https://doi.org/10.1073/pnas.0404012101" TargetMode="External" /><Relationship Type="http://schemas.openxmlformats.org/officeDocument/2006/relationships/hyperlink" Id="rId161" Target="https://doi.org/10.1073/pnas.1205750110" TargetMode="External" /><Relationship Type="http://schemas.openxmlformats.org/officeDocument/2006/relationships/hyperlink" Id="rId192" Target="https://doi.org/10.1073/pnas.1820447116" TargetMode="External" /><Relationship Type="http://schemas.openxmlformats.org/officeDocument/2006/relationships/hyperlink" Id="rId199" Target="https://doi.org/10.1073/pnas.1901366116" TargetMode="External" /><Relationship Type="http://schemas.openxmlformats.org/officeDocument/2006/relationships/hyperlink" Id="rId120" Target="https://doi.org/10.1073/pnas.96.24.14043" TargetMode="External" /><Relationship Type="http://schemas.openxmlformats.org/officeDocument/2006/relationships/hyperlink" Id="rId155" Target="https://doi.org/10.1093/gbe/evw285" TargetMode="External" /><Relationship Type="http://schemas.openxmlformats.org/officeDocument/2006/relationships/hyperlink" Id="rId167" Target="https://doi.org/10.1093/molbev/msaa015" TargetMode="External" /><Relationship Type="http://schemas.openxmlformats.org/officeDocument/2006/relationships/hyperlink" Id="rId202" Target="https://doi.org/10.1093/molbev/msaa163" TargetMode="External" /><Relationship Type="http://schemas.openxmlformats.org/officeDocument/2006/relationships/hyperlink" Id="rId170" Target="https://doi.org/10.1093/molbev/msx281" TargetMode="External" /><Relationship Type="http://schemas.openxmlformats.org/officeDocument/2006/relationships/hyperlink" Id="rId173" Target="https://doi.org/10.1093/sysbio/syv068" TargetMode="External" /><Relationship Type="http://schemas.openxmlformats.org/officeDocument/2006/relationships/hyperlink" Id="rId176" Target="https://doi.org/10.1093/ve/vex042" TargetMode="External" /><Relationship Type="http://schemas.openxmlformats.org/officeDocument/2006/relationships/hyperlink" Id="rId196" Target="https://doi.org/10.1098/rspb.2013.3159" TargetMode="External" /><Relationship Type="http://schemas.openxmlformats.org/officeDocument/2006/relationships/hyperlink" Id="rId136" Target="https://doi.org/10.1099/mgen.0.000094" TargetMode="External" /><Relationship Type="http://schemas.openxmlformats.org/officeDocument/2006/relationships/hyperlink" Id="rId128" Target="https://doi.org/10.1101/gr.251678.119" TargetMode="External" /><Relationship Type="http://schemas.openxmlformats.org/officeDocument/2006/relationships/hyperlink" Id="rId184" Target="https://doi.org/10.1371/journal.pone.0006000" TargetMode="External" /><Relationship Type="http://schemas.openxmlformats.org/officeDocument/2006/relationships/hyperlink" Id="rId153" Target="https://doi.org/10.7717/peerj.10947" TargetMode="External" /><Relationship Type="http://schemas.openxmlformats.org/officeDocument/2006/relationships/hyperlink" Id="rId14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40" Target="https://github.com/ktmeaton/NCBImeta" TargetMode="External" /><Relationship Type="http://schemas.openxmlformats.org/officeDocument/2006/relationships/hyperlink" Id="rId21" Target="https://github.com/ktmeaton/obsidian-public/tree/7defc6b7" TargetMode="External" /><Relationship Type="http://schemas.openxmlformats.org/officeDocument/2006/relationships/hyperlink" Id="rId150" Target="https://github.com/ncbi/sra-tools" TargetMode="External" /><Relationship Type="http://schemas.openxmlformats.org/officeDocument/2006/relationships/hyperlink" Id="rId14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48" Target="https://github.com/tseemann/snippy" TargetMode="External" /><Relationship Type="http://schemas.openxmlformats.org/officeDocument/2006/relationships/hyperlink" Id="rId183" Target="https://journals.plos.org/plosone/article?id=10.1371/journal.pone.0006000" TargetMode="External" /><Relationship Type="http://schemas.openxmlformats.org/officeDocument/2006/relationships/hyperlink" Id="rId132"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52" Target="https://peerj.com/articles/10947" TargetMode="External" /><Relationship Type="http://schemas.openxmlformats.org/officeDocument/2006/relationships/hyperlink" Id="rId20" Target="https://rawcdn.githack.com/ktmeaton/obsidian-public/7defc6b7/academic/Plague%20Phylodynamics%20and%20Phylogeography%20Paper.html" TargetMode="External" /><Relationship Type="http://schemas.openxmlformats.org/officeDocument/2006/relationships/hyperlink" Id="rId195" Target="https://royalsocietypublishing.org/doi/10.1098/rspb.2013.3159" TargetMode="External" /><Relationship Type="http://schemas.openxmlformats.org/officeDocument/2006/relationships/hyperlink" Id="rId114" Target="https://worldcat.org/isbn/0-85115-943-5" TargetMode="External" /><Relationship Type="http://schemas.openxmlformats.org/officeDocument/2006/relationships/hyperlink" Id="rId100"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0" Target="https://www.ncbi.nlm.nih.gov/pmc/articles/PMC172914" TargetMode="External" /><Relationship Type="http://schemas.openxmlformats.org/officeDocument/2006/relationships/hyperlink" Id="rId122" Target="https://www.ncbi.nlm.nih.gov/pmc/articles/PMC24187" TargetMode="External" /><Relationship Type="http://schemas.openxmlformats.org/officeDocument/2006/relationships/hyperlink" Id="rId209" Target="https://www.ncbi.nlm.nih.gov/pmc/articles/PMC2999892" TargetMode="External" /><Relationship Type="http://schemas.openxmlformats.org/officeDocument/2006/relationships/hyperlink" Id="rId189" Target="https://www.ncbi.nlm.nih.gov/pmc/articles/PMC4644222" TargetMode="External" /><Relationship Type="http://schemas.openxmlformats.org/officeDocument/2006/relationships/hyperlink" Id="rId186" Target="https://www.ncbi.nlm.nih.gov/pmc/articles/PMC4644222/" TargetMode="External" /><Relationship Type="http://schemas.openxmlformats.org/officeDocument/2006/relationships/hyperlink" Id="rId138" Target="https://www.ncbi.nlm.nih.gov/pmc/articles/PMC5320706" TargetMode="External" /><Relationship Type="http://schemas.openxmlformats.org/officeDocument/2006/relationships/hyperlink" Id="rId135" Target="https://www.ncbi.nlm.nih.gov/pmc/articles/PMC5320706/" TargetMode="External" /><Relationship Type="http://schemas.openxmlformats.org/officeDocument/2006/relationships/hyperlink" Id="rId107" Target="https://www.ncbi.nlm.nih.gov/pmc/articles/PMC5636801" TargetMode="External" /><Relationship Type="http://schemas.openxmlformats.org/officeDocument/2006/relationships/hyperlink" Id="rId104" Target="https://www.ncbi.nlm.nih.gov/pmc/articles/PMC5636801/" TargetMode="External" /><Relationship Type="http://schemas.openxmlformats.org/officeDocument/2006/relationships/hyperlink" Id="rId178" Target="https://www.ncbi.nlm.nih.gov/pmc/articles/PMC5758920" TargetMode="External" /><Relationship Type="http://schemas.openxmlformats.org/officeDocument/2006/relationships/hyperlink" Id="rId175" Target="https://www.ncbi.nlm.nih.gov/pmc/articles/PMC5758920/" TargetMode="External" /><Relationship Type="http://schemas.openxmlformats.org/officeDocument/2006/relationships/hyperlink" Id="rId130" Target="https://www.ncbi.nlm.nih.gov/pmc/articles/PMC6961584" TargetMode="External" /><Relationship Type="http://schemas.openxmlformats.org/officeDocument/2006/relationships/hyperlink" Id="rId127" Target="https://www.ncbi.nlm.nih.gov/pmc/articles/PMC6961584/" TargetMode="External" /><Relationship Type="http://schemas.openxmlformats.org/officeDocument/2006/relationships/hyperlink" Id="rId121" Target="https://www.ncbi.nlm.nih.gov/pubmed/10570195" TargetMode="External" /><Relationship Type="http://schemas.openxmlformats.org/officeDocument/2006/relationships/hyperlink" Id="rId208" Target="https://www.ncbi.nlm.nih.gov/pubmed/21037571" TargetMode="External" /><Relationship Type="http://schemas.openxmlformats.org/officeDocument/2006/relationships/hyperlink" Id="rId188" Target="https://www.ncbi.nlm.nih.gov/pubmed/26496604" TargetMode="External" /><Relationship Type="http://schemas.openxmlformats.org/officeDocument/2006/relationships/hyperlink" Id="rId137" Target="https://www.ncbi.nlm.nih.gov/pubmed/28348834" TargetMode="External" /><Relationship Type="http://schemas.openxmlformats.org/officeDocument/2006/relationships/hyperlink" Id="rId106" Target="https://www.ncbi.nlm.nih.gov/pubmed/29021541" TargetMode="External" /><Relationship Type="http://schemas.openxmlformats.org/officeDocument/2006/relationships/hyperlink" Id="rId98" Target="https://www.ncbi.nlm.nih.gov/pubmed/29174893" TargetMode="External" /><Relationship Type="http://schemas.openxmlformats.org/officeDocument/2006/relationships/hyperlink" Id="rId177" Target="https://www.ncbi.nlm.nih.gov/pubmed/29340210" TargetMode="External" /><Relationship Type="http://schemas.openxmlformats.org/officeDocument/2006/relationships/hyperlink" Id="rId102" Target="https://www.ncbi.nlm.nih.gov/pubmed/30528431" TargetMode="External" /><Relationship Type="http://schemas.openxmlformats.org/officeDocument/2006/relationships/hyperlink" Id="rId200" Target="https://www.ncbi.nlm.nih.gov/pubmed/31138696" TargetMode="External" /><Relationship Type="http://schemas.openxmlformats.org/officeDocument/2006/relationships/hyperlink" Id="rId193" Target="https://www.ncbi.nlm.nih.gov/pubmed/31164419" TargetMode="External" /><Relationship Type="http://schemas.openxmlformats.org/officeDocument/2006/relationships/hyperlink" Id="rId129" Target="https://www.ncbi.nlm.nih.gov/pubmed/31809257" TargetMode="External" /><Relationship Type="http://schemas.openxmlformats.org/officeDocument/2006/relationships/hyperlink" Id="rId109" Target="https://www.ncbi.nlm.nih.gov/pubmed/8993858" TargetMode="External" /><Relationship Type="http://schemas.openxmlformats.org/officeDocument/2006/relationships/hyperlink" Id="rId146" Target="https://www.openstreetmap.org" TargetMode="External" /><Relationship Type="http://schemas.openxmlformats.org/officeDocument/2006/relationships/hyperlink" Id="rId198" Target="https://www.pnas.org/content/116/24/11833" TargetMode="External" /><Relationship Type="http://schemas.openxmlformats.org/officeDocument/2006/relationships/hyperlink" Id="rId191" Target="https://www.pnas.org/content/116/25/12363" TargetMode="External" /><Relationship Type="http://schemas.openxmlformats.org/officeDocument/2006/relationships/hyperlink" Id="rId112"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2021-05-31T22:37:07Z</dcterms:created>
  <dcterms:modified xsi:type="dcterms:W3CDTF">2021-05-31T22:37:07Z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