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svg" ContentType="image/svg+xml"/>
  <Override PartName="/word/media/rId23.svg" ContentType="image/svg+xml"/>
  <Override PartName="/word/media/rId21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Plague</w:t>
      </w:r>
      <w:r>
        <w:t xml:space="preserve"> </w:t>
      </w:r>
      <w:r>
        <w:t xml:space="preserve">Phylodynamics</w:t>
      </w:r>
      <w:r>
        <w:t xml:space="preserve"> </w:t>
      </w:r>
      <w:r>
        <w:t xml:space="preserve">and</w:t>
      </w:r>
      <w:r>
        <w:t xml:space="preserve"> </w:t>
      </w:r>
      <w:r>
        <w:t xml:space="preserve">Phylogeography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on May 12, 2021.</w:t>
      </w:r>
      <w:r>
        <w:t xml:space="preserve"> </w:t>
      </w:r>
    </w:p>
    <w:p>
      <w:pPr>
        <w:pStyle w:val="Heading2"/>
      </w:pPr>
      <w:bookmarkStart w:id="20" w:name="authors"/>
      <w:r>
        <w:t xml:space="preserve">Authors</w:t>
      </w:r>
      <w:bookmarkEnd w:id="20"/>
    </w:p>
    <w:p>
      <w:pPr>
        <w:numPr>
          <w:ilvl w:val="0"/>
          <w:numId w:val="1001"/>
        </w:numPr>
      </w:pPr>
      <w:r>
        <w:rPr>
          <w:b/>
        </w:rPr>
        <w:t xml:space="preserve">Katherine Eaton</w:t>
      </w:r>
      <w:r>
        <w:t xml:space="preserve"> </w:t>
      </w:r>
      <w:r>
        <w:drawing>
          <wp:inline>
            <wp:extent cx="3810000" cy="2540000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images/orc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2">
        <w:r>
          <w:rPr>
            <w:rStyle w:val="Hyperlink"/>
          </w:rPr>
          <w:t xml:space="preserve">0000-0001-6862-7756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images/githu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4">
        <w:r>
          <w:rPr>
            <w:rStyle w:val="Hyperlink"/>
          </w:rPr>
          <w:t xml:space="preserve">ktmeaton</w:t>
        </w:r>
      </w:hyperlink>
      <w:r>
        <w:t xml:space="preserve"> </w:t>
      </w:r>
      <w:r>
        <w:t xml:space="preserve"> </w:t>
      </w:r>
      <w:r>
        <w:t xml:space="preserve">McMaster Ancient DNA Center; Department of Anthropology, McMaster University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/>
        </w:rPr>
        <w:t xml:space="preserve">Leo Featherstone</w:t>
      </w:r>
      <w:r>
        <w:t xml:space="preserve"> </w:t>
      </w:r>
      <w:r>
        <w:drawing>
          <wp:inline>
            <wp:extent cx="3810000" cy="2540000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images/orc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0000-0002-8878-1758</w:t>
        </w:r>
      </w:hyperlink>
      <w:r>
        <w:t xml:space="preserve"> </w:t>
      </w:r>
      <w:r>
        <w:t xml:space="preserve"> </w:t>
      </w:r>
      <w:r>
        <w:t xml:space="preserve">The Peter Doherty Institute For Infection and Immunity , University of Melbourne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/>
        </w:rPr>
        <w:t xml:space="preserve">Sebastian Duchene</w:t>
      </w:r>
      <w:r>
        <w:t xml:space="preserve"> </w:t>
      </w:r>
      <w:r>
        <w:drawing>
          <wp:inline>
            <wp:extent cx="3810000" cy="2540000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images/orc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6">
        <w:r>
          <w:rPr>
            <w:rStyle w:val="Hyperlink"/>
          </w:rPr>
          <w:t xml:space="preserve">0000-0002-2863-0907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images/githu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yperlink"/>
          </w:rPr>
          <w:t xml:space="preserve">sebastianduchene</w:t>
        </w:r>
      </w:hyperlink>
      <w:r>
        <w:t xml:space="preserve"> </w:t>
      </w:r>
      <w:r>
        <w:t xml:space="preserve"> </w:t>
      </w:r>
      <w:r>
        <w:t xml:space="preserve">The Peter Doherty Institute For Infection and Immunity , University of Melbourne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/>
        </w:rPr>
        <w:t xml:space="preserve">Hendrik Poinar</w:t>
      </w:r>
      <w:r>
        <w:t xml:space="preserve"> </w:t>
      </w:r>
      <w:r>
        <w:drawing>
          <wp:inline>
            <wp:extent cx="3810000" cy="2540000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images/orc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8">
        <w:r>
          <w:rPr>
            <w:rStyle w:val="Hyperlink"/>
          </w:rPr>
          <w:t xml:space="preserve">0000-0002-0314-4160</w:t>
        </w:r>
      </w:hyperlink>
      <w:r>
        <w:t xml:space="preserve"> </w:t>
      </w:r>
      <w:r>
        <w:t xml:space="preserve"> </w:t>
      </w:r>
      <w:r>
        <w:t xml:space="preserve">McMaster Ancient DNA Center; Department of Anthropology, McMaster University</w:t>
      </w:r>
      <w:r>
        <w:t xml:space="preserve"> </w:t>
      </w:r>
    </w:p>
    <w:p>
      <w:pPr>
        <w:pStyle w:val="Heading1"/>
      </w:pPr>
      <w:bookmarkStart w:id="29" w:name="plague-phylodynamics-and-phylogeography"/>
      <w:r>
        <w:t xml:space="preserve">Plague Phylodynamics and Phylogeography</w:t>
      </w:r>
      <w:bookmarkEnd w:id="29"/>
    </w:p>
    <w:p>
      <w:pPr>
        <w:pStyle w:val="Heading2"/>
      </w:pPr>
      <w:bookmarkStart w:id="30" w:name="concepts"/>
      <w:r>
        <w:t xml:space="preserve">Concepts</w:t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Plague</w:t>
      </w:r>
    </w:p>
    <w:p>
      <w:pPr>
        <w:numPr>
          <w:ilvl w:val="0"/>
          <w:numId w:val="1002"/>
        </w:numPr>
        <w:pStyle w:val="Compact"/>
      </w:pPr>
      <w:r>
        <w:t xml:space="preserve">Yersinia pestis</w:t>
      </w:r>
    </w:p>
    <w:p>
      <w:pPr>
        <w:numPr>
          <w:ilvl w:val="0"/>
          <w:numId w:val="1002"/>
        </w:numPr>
        <w:pStyle w:val="Compact"/>
      </w:pPr>
      <w:r>
        <w:t xml:space="preserve">Phylodynamics</w:t>
      </w:r>
    </w:p>
    <w:p>
      <w:pPr>
        <w:numPr>
          <w:ilvl w:val="0"/>
          <w:numId w:val="1002"/>
        </w:numPr>
        <w:pStyle w:val="Compact"/>
      </w:pPr>
      <w:r>
        <w:t xml:space="preserve">Phylogeography</w:t>
      </w:r>
    </w:p>
    <w:p>
      <w:pPr>
        <w:numPr>
          <w:ilvl w:val="0"/>
          <w:numId w:val="1002"/>
        </w:numPr>
        <w:pStyle w:val="Compact"/>
      </w:pPr>
      <w:r>
        <w:t xml:space="preserve">Clade</w:t>
      </w:r>
    </w:p>
    <w:p>
      <w:pPr>
        <w:pStyle w:val="Heading2"/>
      </w:pPr>
      <w:bookmarkStart w:id="31" w:name="introduction"/>
      <w:r>
        <w:t xml:space="preserve">Introduction</w:t>
      </w:r>
      <w:bookmarkEnd w:id="31"/>
    </w:p>
    <w:p>
      <w:pPr>
        <w:numPr>
          <w:ilvl w:val="0"/>
          <w:numId w:val="1003"/>
        </w:numPr>
        <w:pStyle w:val="Compact"/>
      </w:pPr>
      <w:r>
        <w:t xml:space="preserve">Introduce Plague the disease and it’s impact on Human populations.</w:t>
      </w:r>
    </w:p>
    <w:p>
      <w:pPr>
        <w:numPr>
          <w:ilvl w:val="0"/>
          <w:numId w:val="1003"/>
        </w:numPr>
        <w:pStyle w:val="Compact"/>
      </w:pPr>
      <w:r>
        <w:t xml:space="preserve">Introduce the pathogen, Yersinia pestis, ecotypes, subspecies, ecology, distribution. Evolutionary history and mechanisms.</w:t>
      </w:r>
    </w:p>
    <w:p>
      <w:pPr>
        <w:numPr>
          <w:ilvl w:val="0"/>
          <w:numId w:val="1003"/>
        </w:numPr>
        <w:pStyle w:val="Compact"/>
      </w:pPr>
      <w:r>
        <w:t xml:space="preserve">Introduce the topics phylodynamics and phylogeography and what is known so far.</w:t>
      </w:r>
    </w:p>
    <w:p>
      <w:pPr>
        <w:numPr>
          <w:ilvl w:val="0"/>
          <w:numId w:val="1003"/>
        </w:numPr>
        <w:pStyle w:val="Compact"/>
      </w:pPr>
      <w:r>
        <w:t xml:space="preserve">Introduce the problem.</w:t>
      </w:r>
    </w:p>
    <w:p>
      <w:pPr>
        <w:pStyle w:val="Heading2"/>
      </w:pPr>
      <w:bookmarkStart w:id="32" w:name="results"/>
      <w:r>
        <w:t xml:space="preserve">Results</w:t>
      </w:r>
      <w:bookmarkEnd w:id="32"/>
    </w:p>
    <w:p>
      <w:pPr>
        <w:pStyle w:val="Heading3"/>
      </w:pPr>
      <w:bookmarkStart w:id="33" w:name="curated-dataset"/>
      <w:r>
        <w:t xml:space="preserve">Curated Dataset</w:t>
      </w:r>
      <w:bookmarkEnd w:id="33"/>
    </w:p>
    <w:p>
      <w:pPr>
        <w:numPr>
          <w:ilvl w:val="0"/>
          <w:numId w:val="1004"/>
        </w:numPr>
        <w:pStyle w:val="Compact"/>
      </w:pPr>
      <w:r>
        <w:t xml:space="preserve">Composition: Clades, Hosts, Locations, Time Periods</w:t>
      </w:r>
    </w:p>
    <w:p>
      <w:pPr>
        <w:pStyle w:val="Heading3"/>
      </w:pPr>
      <w:bookmarkStart w:id="34" w:name="phylogeny"/>
      <w:r>
        <w:t xml:space="preserve">Phylogeny</w:t>
      </w:r>
      <w:bookmarkEnd w:id="34"/>
    </w:p>
    <w:p>
      <w:pPr>
        <w:pStyle w:val="Heading3"/>
      </w:pPr>
      <w:bookmarkStart w:id="35" w:name="phylodynamics"/>
      <w:r>
        <w:t xml:space="preserve">Phylodynamics</w:t>
      </w:r>
      <w:bookmarkEnd w:id="35"/>
    </w:p>
    <w:p>
      <w:pPr>
        <w:pStyle w:val="FirstParagraph"/>
      </w:pPr>
      <w:r>
        <w:t xml:space="preserve">Y. pestis has extreme rate variation as visualized with a Root to Tip Regression. The R</w:t>
      </w:r>
      <w:r>
        <w:t xml:space="preserve">2</w:t>
      </w:r>
      <w:r>
        <w:t xml:space="preserve"> </w:t>
      </w:r>
      <w:r>
        <w:t xml:space="preserve">value of 0.09 indicates a poor fit to the strict clock.</w:t>
      </w:r>
    </w:p>
    <w:bookmarkStart w:id="0" w:name="fig:fig_rtt_all"/>
    <w:p>
      <w:pPr>
        <w:pStyle w:val="CaptionedFigure"/>
      </w:pPr>
      <w:bookmarkStart w:id="37" w:name="fig:fig_rtt_all"/>
      <w:r>
        <w:drawing>
          <wp:inline>
            <wp:extent cx="5943600" cy="1429473"/>
            <wp:effectExtent b="0" l="0" r="0" t="0"/>
            <wp:docPr descr="Figure 1: Root-To-Regression for All Samples" title="" id="1" name="Picture"/>
            <a:graphic>
              <a:graphicData uri="http://schemas.openxmlformats.org/drawingml/2006/picture">
                <pic:pic>
                  <pic:nvPicPr>
                    <pic:cNvPr descr="https://github.com/ktmeaton/plague-phylogeography-projects/raw/main/main/iqtree/all/chromosome/full/filter5/filter-taxa/rtt_al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1: Root-To-Regression for All Samples</w:t>
      </w:r>
    </w:p>
    <w:bookmarkEnd w:id="0"/>
    <w:p>
      <w:pPr>
        <w:pStyle w:val="BodyText"/>
      </w:pPr>
      <w:r>
        <w:t xml:space="preserve">Root to Tip Regression separated by clade is more meaningful. The regression numbers don’t make sense!</w:t>
      </w:r>
    </w:p>
    <w:bookmarkStart w:id="0" w:name="tbl:table_rtt"/>
    <w:p>
      <w:pPr>
        <w:pStyle w:val="TableCaption"/>
      </w:pPr>
      <w:r>
        <w:t xml:space="preserve">Table 1: Temporal signal statistics by clade</w:t>
      </w:r>
      <w:r>
        <w:t xml:space="preserve"> </w:t>
      </w:r>
    </w:p>
    <w:tbl>
      <w:tblPr>
        <w:tblStyle w:val="Table"/>
        <w:tblW w:type="pct" w:w="0.0"/>
        <w:tblLook w:firstRow="1"/>
        <w:tblCaption w:val="Table 1: Temporal signal statistics by clade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Branch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</w:t>
            </w: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Bayes Factor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Regression 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BETS Rate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0.PRE</w:t>
            </w:r>
          </w:p>
        </w:tc>
        <w:tc>
          <w:p>
            <w:pPr>
              <w:pStyle w:val="Compact"/>
              <w:jc w:val="left"/>
            </w:pPr>
            <w:r>
              <w:t xml:space="preserve">Ancient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1.53E-04*</w:t>
            </w:r>
          </w:p>
        </w:tc>
        <w:tc>
          <w:p>
            <w:pPr>
              <w:pStyle w:val="Compact"/>
              <w:jc w:val="left"/>
            </w:pPr>
            <w:r>
              <w:t xml:space="preserve">99.96</w:t>
            </w:r>
          </w:p>
        </w:tc>
        <w:tc>
          <w:p>
            <w:pPr>
              <w:pStyle w:val="Compact"/>
              <w:jc w:val="left"/>
            </w:pPr>
            <w:r>
              <w:t xml:space="preserve">6.84E-08</w:t>
            </w:r>
          </w:p>
        </w:tc>
        <w:tc>
          <w:p>
            <w:pPr>
              <w:pStyle w:val="Compact"/>
              <w:jc w:val="left"/>
            </w:pPr>
            <w:r>
              <w:t xml:space="preserve">4.31E-08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0.PE</w:t>
            </w:r>
          </w:p>
        </w:tc>
        <w:tc>
          <w:p>
            <w:pPr>
              <w:pStyle w:val="Compact"/>
              <w:jc w:val="left"/>
            </w:pPr>
            <w:r>
              <w:t xml:space="preserve">Modern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2.25E-01</w:t>
            </w:r>
          </w:p>
        </w:tc>
        <w:tc>
          <w:p>
            <w:pPr>
              <w:pStyle w:val="Compact"/>
              <w:jc w:val="left"/>
            </w:pPr>
            <w:r>
              <w:t xml:space="preserve">35.71</w:t>
            </w:r>
          </w:p>
        </w:tc>
        <w:tc>
          <w:p>
            <w:pPr>
              <w:pStyle w:val="Compact"/>
              <w:jc w:val="left"/>
            </w:pPr>
            <w:r>
              <w:t xml:space="preserve">1.94E-07</w:t>
            </w:r>
          </w:p>
        </w:tc>
        <w:tc>
          <w:p>
            <w:pPr>
              <w:pStyle w:val="Compact"/>
              <w:jc w:val="left"/>
            </w:pPr>
            <w:r>
              <w:t xml:space="preserve">4.83E-09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0.ANT4</w:t>
            </w:r>
          </w:p>
        </w:tc>
        <w:tc>
          <w:p>
            <w:pPr>
              <w:pStyle w:val="Compact"/>
              <w:jc w:val="left"/>
            </w:pPr>
            <w:r>
              <w:t xml:space="preserve">Ancient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7.84E-04*</w:t>
            </w:r>
          </w:p>
        </w:tc>
        <w:tc>
          <w:p>
            <w:pPr>
              <w:pStyle w:val="Compact"/>
              <w:jc w:val="left"/>
            </w:pPr>
            <w:r>
              <w:t xml:space="preserve">24.27</w:t>
            </w:r>
          </w:p>
        </w:tc>
        <w:tc>
          <w:p>
            <w:pPr>
              <w:pStyle w:val="Compact"/>
              <w:jc w:val="left"/>
            </w:pPr>
            <w:r>
              <w:t xml:space="preserve">2.52E-08</w:t>
            </w:r>
          </w:p>
        </w:tc>
        <w:tc>
          <w:p>
            <w:pPr>
              <w:pStyle w:val="Compact"/>
              <w:jc w:val="left"/>
            </w:pPr>
            <w:r>
              <w:t xml:space="preserve">1.21E-08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0.ANT</w:t>
            </w:r>
          </w:p>
        </w:tc>
        <w:tc>
          <w:p>
            <w:pPr>
              <w:pStyle w:val="Compact"/>
              <w:jc w:val="left"/>
            </w:pPr>
            <w:r>
              <w:t xml:space="preserve">Modern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7.35E-01</w:t>
            </w:r>
          </w:p>
        </w:tc>
        <w:tc>
          <w:p>
            <w:pPr>
              <w:pStyle w:val="Compact"/>
              <w:jc w:val="left"/>
            </w:pPr>
            <w:r>
              <w:t xml:space="preserve">32.89</w:t>
            </w:r>
          </w:p>
        </w:tc>
        <w:tc>
          <w:p>
            <w:pPr>
              <w:pStyle w:val="Compact"/>
              <w:jc w:val="left"/>
            </w:pPr>
            <w:r>
              <w:t xml:space="preserve">2.73E-09</w:t>
            </w:r>
          </w:p>
        </w:tc>
        <w:tc>
          <w:p>
            <w:pPr>
              <w:pStyle w:val="Compact"/>
              <w:jc w:val="left"/>
            </w:pPr>
            <w:r>
              <w:t xml:space="preserve">1.66E-08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1.ANT</w:t>
            </w:r>
          </w:p>
        </w:tc>
        <w:tc>
          <w:p>
            <w:pPr>
              <w:pStyle w:val="Compact"/>
              <w:jc w:val="left"/>
            </w:pPr>
            <w:r>
              <w:t xml:space="preserve">Modern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2.03E-01</w:t>
            </w:r>
          </w:p>
        </w:tc>
        <w:tc>
          <w:p>
            <w:pPr>
              <w:pStyle w:val="Compact"/>
              <w:jc w:val="left"/>
            </w:pPr>
            <w:r>
              <w:t xml:space="preserve">18.13</w:t>
            </w:r>
          </w:p>
        </w:tc>
        <w:tc>
          <w:p>
            <w:pPr>
              <w:pStyle w:val="Compact"/>
              <w:jc w:val="left"/>
            </w:pPr>
            <w:r>
              <w:t xml:space="preserve">5.83E-08</w:t>
            </w:r>
          </w:p>
        </w:tc>
        <w:tc>
          <w:p>
            <w:pPr>
              <w:pStyle w:val="Compact"/>
              <w:jc w:val="left"/>
            </w:pPr>
            <w:r>
              <w:t xml:space="preserve">2.19E-08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1.IN</w:t>
            </w:r>
          </w:p>
        </w:tc>
        <w:tc>
          <w:p>
            <w:pPr>
              <w:pStyle w:val="Compact"/>
              <w:jc w:val="left"/>
            </w:pPr>
            <w:r>
              <w:t xml:space="preserve">Modern</w:t>
            </w:r>
          </w:p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3.24E-01</w:t>
            </w:r>
          </w:p>
        </w:tc>
        <w:tc>
          <w:p>
            <w:pPr>
              <w:pStyle w:val="Compact"/>
              <w:jc w:val="left"/>
            </w:pPr>
            <w:r>
              <w:t xml:space="preserve">21.97</w:t>
            </w:r>
          </w:p>
        </w:tc>
        <w:tc>
          <w:p>
            <w:pPr>
              <w:pStyle w:val="Compact"/>
              <w:jc w:val="left"/>
            </w:pPr>
            <w:r>
              <w:t xml:space="preserve">4.22E-08</w:t>
            </w:r>
          </w:p>
        </w:tc>
        <w:tc>
          <w:p>
            <w:pPr>
              <w:pStyle w:val="Compact"/>
              <w:jc w:val="left"/>
            </w:pPr>
            <w:r>
              <w:t xml:space="preserve">3.42E-08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1.ORI</w:t>
            </w:r>
          </w:p>
        </w:tc>
        <w:tc>
          <w:p>
            <w:pPr>
              <w:pStyle w:val="Compact"/>
              <w:jc w:val="left"/>
            </w:pPr>
            <w:r>
              <w:t xml:space="preserve">Modern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1.32E-02*</w:t>
            </w:r>
          </w:p>
        </w:tc>
        <w:tc>
          <w:p>
            <w:pPr>
              <w:pStyle w:val="Compact"/>
              <w:jc w:val="left"/>
            </w:pPr>
            <w:r>
              <w:t xml:space="preserve">78.92</w:t>
            </w:r>
          </w:p>
        </w:tc>
        <w:tc>
          <w:p>
            <w:pPr>
              <w:pStyle w:val="Compact"/>
              <w:jc w:val="left"/>
            </w:pPr>
            <w:r>
              <w:t xml:space="preserve">2.50E-08</w:t>
            </w:r>
          </w:p>
        </w:tc>
        <w:tc>
          <w:p>
            <w:pPr>
              <w:pStyle w:val="Compact"/>
              <w:jc w:val="left"/>
            </w:pPr>
            <w:r>
              <w:t xml:space="preserve">5.46E-08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1.PRE</w:t>
            </w:r>
          </w:p>
        </w:tc>
        <w:tc>
          <w:p>
            <w:pPr>
              <w:pStyle w:val="Compact"/>
              <w:jc w:val="left"/>
            </w:pPr>
            <w:r>
              <w:t xml:space="preserve">Ancient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1.68E-13*</w:t>
            </w:r>
          </w:p>
        </w:tc>
        <w:tc>
          <w:p>
            <w:pPr>
              <w:pStyle w:val="Compact"/>
              <w:jc w:val="left"/>
            </w:pPr>
            <w:r>
              <w:t xml:space="preserve">4.05</w:t>
            </w:r>
          </w:p>
        </w:tc>
        <w:tc>
          <w:p>
            <w:pPr>
              <w:pStyle w:val="Compact"/>
              <w:jc w:val="left"/>
            </w:pPr>
            <w:r>
              <w:t xml:space="preserve">6.29E-08</w:t>
            </w:r>
          </w:p>
        </w:tc>
        <w:tc>
          <w:p>
            <w:pPr>
              <w:pStyle w:val="Compact"/>
              <w:jc w:val="left"/>
            </w:pPr>
            <w:r>
              <w:t xml:space="preserve">5.46E-08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2.ANT</w:t>
            </w:r>
          </w:p>
        </w:tc>
        <w:tc>
          <w:p>
            <w:pPr>
              <w:pStyle w:val="Compact"/>
              <w:jc w:val="left"/>
            </w:pPr>
            <w:r>
              <w:t xml:space="preserve">Modern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5.96E-02</w:t>
            </w:r>
          </w:p>
        </w:tc>
        <w:tc>
          <w:p>
            <w:pPr>
              <w:pStyle w:val="Compact"/>
              <w:jc w:val="left"/>
            </w:pPr>
            <w:r>
              <w:t xml:space="preserve">1.60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1.60E-08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2.MED</w:t>
            </w:r>
          </w:p>
        </w:tc>
        <w:tc>
          <w:p>
            <w:pPr>
              <w:pStyle w:val="Compact"/>
              <w:jc w:val="left"/>
            </w:pPr>
            <w:r>
              <w:t xml:space="preserve">Modern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1.86E-01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3.ANT</w:t>
            </w:r>
          </w:p>
        </w:tc>
        <w:tc>
          <w:p>
            <w:pPr>
              <w:pStyle w:val="Compact"/>
              <w:jc w:val="left"/>
            </w:pPr>
            <w:r>
              <w:t xml:space="preserve">Modern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4.39E-01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4.ANT</w:t>
            </w:r>
          </w:p>
        </w:tc>
        <w:tc>
          <w:p>
            <w:pPr>
              <w:pStyle w:val="Compact"/>
              <w:jc w:val="left"/>
            </w:pPr>
            <w:r>
              <w:t xml:space="preserve">Modern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8.80E-01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p>
            <w:pPr>
              <w:pStyle w:val="Compact"/>
              <w:jc w:val="left"/>
            </w:pPr>
            <w:r>
              <w:t xml:space="preserve">Modern+Ancient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3.81E-14</w:t>
            </w:r>
          </w:p>
        </w:tc>
        <w:tc>
          <w:p/>
        </w:tc>
        <w:tc>
          <w:p/>
        </w:tc>
        <w:tc>
          <w:p/>
        </w:tc>
      </w:tr>
    </w:tbl>
    <w:bookmarkEnd w:id="0"/>
    <w:p>
      <w:pPr>
        <w:pStyle w:val="Heading2"/>
      </w:pPr>
      <w:bookmarkStart w:id="38" w:name="conclusion"/>
      <w:r>
        <w:t xml:space="preserve">Conclusion</w:t>
      </w:r>
      <w:bookmarkEnd w:id="38"/>
    </w:p>
    <w:p>
      <w:r>
        <w:pict>
          <v:rect style="width:0;height:1.5pt" o:hralign="center" o:hrstd="t" o:hr="t"/>
        </w:pict>
      </w:r>
    </w:p>
    <w:sectPr w:rsidR="00E9076B" w:rsidRPr="008C690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rsid w:val="00966CDD"/>
    <w:rPr>
      <w:rFonts w:ascii="Arial" w:hAnsi="Arial"/>
    </w:rPr>
  </w:style>
  <w:style w:type="paragraph" w:styleId="Heading1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eastAsiaTheme="majorEastAsia" w:cstheme="majorBidi"/>
      <w:b/>
      <w:bCs/>
      <w:sz w:val="44"/>
      <w:szCs w:val="32"/>
    </w:rPr>
  </w:style>
  <w:style w:type="paragraph" w:styleId="Heading2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eastAsiaTheme="majorEastAsia" w:cstheme="majorBidi"/>
      <w:b/>
      <w:bCs/>
      <w:sz w:val="36"/>
      <w:szCs w:val="28"/>
    </w:rPr>
  </w:style>
  <w:style w:type="paragraph" w:styleId="Heading3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eastAsiaTheme="majorEastAsia" w:cstheme="majorBidi"/>
      <w:b/>
      <w:bCs/>
      <w:sz w:val="30"/>
      <w:szCs w:val="24"/>
    </w:rPr>
  </w:style>
  <w:style w:type="paragraph" w:styleId="Heading4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eastAsiaTheme="majorEastAsia" w:cstheme="majorBidi"/>
      <w:b/>
      <w:bCs/>
      <w:sz w:val="26"/>
      <w:szCs w:val="24"/>
    </w:rPr>
  </w:style>
  <w:style w:type="paragraph" w:styleId="Heading5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eastAsiaTheme="majorEastAsia" w:cstheme="majorBidi"/>
      <w:b/>
      <w:iCs/>
      <w:sz w:val="24"/>
      <w:szCs w:val="24"/>
    </w:rPr>
  </w:style>
  <w:style w:type="paragraph" w:styleId="Heading6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eastAsiaTheme="majorEastAsia" w:cstheme="majorBidi"/>
      <w:b/>
      <w:szCs w:val="24"/>
    </w:rPr>
  </w:style>
  <w:style w:type="paragraph" w:styleId="Heading7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eastAsiaTheme="majorEastAsia" w:cstheme="majorBidi"/>
      <w:b/>
      <w:szCs w:val="24"/>
    </w:rPr>
  </w:style>
  <w:style w:type="paragraph" w:styleId="Heading8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eastAsiaTheme="majorEastAsia" w:cstheme="majorBidi"/>
      <w:b/>
      <w:szCs w:val="24"/>
    </w:rPr>
  </w:style>
  <w:style w:type="paragraph" w:styleId="Heading9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316091"/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autoRedefine/>
    <w:pPr>
      <w:spacing w:before="36" w:after="36"/>
    </w:pPr>
  </w:style>
  <w:style w:type="paragraph" w:styleId="Title">
    <w:name w:val="Title"/>
    <w:basedOn w:val="Normal"/>
    <w:next w:val="BodyText"/>
    <w:autoRedefine/>
    <w:rsid w:val="003F02CC"/>
    <w:pPr>
      <w:keepNext/>
      <w:keepLines/>
      <w:jc w:val="center"/>
    </w:pPr>
    <w:rPr>
      <w:rFonts w:eastAsiaTheme="majorEastAsia" w:cstheme="majorBidi"/>
      <w:b/>
      <w:bCs/>
      <w:sz w:val="44"/>
      <w:szCs w:val="36"/>
    </w:rPr>
  </w:style>
  <w:style w:type="paragraph" w:styleId="Subtitle">
    <w:name w:val="Subtitle"/>
    <w:basedOn w:val="Title"/>
    <w:next w:val="BodyText"/>
    <w:autoRedefine/>
    <w:rsid w:val="003F02CC"/>
    <w:rPr>
      <w:sz w:val="36"/>
      <w:szCs w:val="30"/>
    </w:rPr>
  </w:style>
  <w:style w:type="paragraph" w:customStyle="1" w:styleId="Author">
    <w:name w:val="Author"/>
    <w:basedOn w:val="Normal"/>
    <w:next w:val="BodyText"/>
    <w:autoRedefine/>
    <w:pPr>
      <w:keepNext/>
      <w:keepLines/>
      <w:jc w:val="center"/>
    </w:pPr>
  </w:style>
  <w:style w:type="paragraph" w:styleId="Date">
    <w:name w:val="Date"/>
    <w:basedOn w:val="Normal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rsid w:val="002E757C"/>
    <w:pPr>
      <w:ind w:left="360" w:right="360"/>
    </w:pPr>
  </w:style>
  <w:style w:type="paragraph" w:styleId="FootnoteText">
    <w:name w:val="footnote text"/>
    <w:basedOn w:val="Normal"/>
    <w:autoRedefine/>
    <w:uiPriority w:val="9"/>
  </w:style>
  <w:style w:type="table" w:customStyle="1" w:styleId="Table">
    <w:name w:val="Table"/>
    <w:semiHidden/>
    <w:unhideWhenUsed/>
    <w:qFormat/>
    <w:rsid w:val="00920B49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autoRedefine/>
    <w:rsid w:val="00A103BA"/>
    <w:pPr>
      <w:keepNext/>
    </w:pPr>
  </w:style>
  <w:style w:type="paragraph" w:customStyle="1" w:styleId="ImageCaption">
    <w:name w:val="Image Caption"/>
    <w:basedOn w:val="Caption"/>
    <w:autoRedefine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E43F9"/>
    <w:rPr>
      <w:i/>
    </w:rPr>
  </w:style>
  <w:style w:type="character" w:customStyle="1" w:styleId="VerbatimChar">
    <w:name w:val="Verbatim Char"/>
    <w:basedOn w:val="CaptionChar"/>
    <w:rsid w:val="00B97DB2"/>
    <w:rPr>
      <w:rFonts w:ascii="Courier New" w:hAnsi="Courier New"/>
      <w:i w:val="0"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type="paragraph" w:styleId="TOCHeading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316091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C6903"/>
    <w:rPr>
      <w:rFonts w:ascii="Arial" w:hAnsi="Arial"/>
    </w:rPr>
  </w:style>
  <w:style w:type="paragraph" w:styleId="Footer">
    <w:name w:val="footer"/>
    <w:basedOn w:val="Normal"/>
    <w:link w:val="Foot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svg" /><Relationship Type="http://schemas.openxmlformats.org/officeDocument/2006/relationships/image" Id="rId23" Target="media/rId23.svg" /><Relationship Type="http://schemas.openxmlformats.org/officeDocument/2006/relationships/image" Id="rId21" Target="media/rId21.svg" /><Relationship Type="http://schemas.openxmlformats.org/officeDocument/2006/relationships/hyperlink" Id="rId24" Target="https://github.com/ktmeaton" TargetMode="External" /><Relationship Type="http://schemas.openxmlformats.org/officeDocument/2006/relationships/hyperlink" Id="rId27" Target="https://github.com/sebastianduchene" TargetMode="External" /><Relationship Type="http://schemas.openxmlformats.org/officeDocument/2006/relationships/hyperlink" Id="rId22" Target="https://orcid.org/0000-0001-6862-7756" TargetMode="External" /><Relationship Type="http://schemas.openxmlformats.org/officeDocument/2006/relationships/hyperlink" Id="rId28" Target="https://orcid.org/0000-0002-0314-4160" TargetMode="External" /><Relationship Type="http://schemas.openxmlformats.org/officeDocument/2006/relationships/hyperlink" Id="rId26" Target="https://orcid.org/0000-0002-2863-0907" TargetMode="External" /><Relationship Type="http://schemas.openxmlformats.org/officeDocument/2006/relationships/hyperlink" Id="rId25" Target="https://orcid.org/0000-0002-8878-17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ktmeaton" TargetMode="External" /><Relationship Type="http://schemas.openxmlformats.org/officeDocument/2006/relationships/hyperlink" Id="rId27" Target="https://github.com/sebastianduchene" TargetMode="External" /><Relationship Type="http://schemas.openxmlformats.org/officeDocument/2006/relationships/hyperlink" Id="rId22" Target="https://orcid.org/0000-0001-6862-7756" TargetMode="External" /><Relationship Type="http://schemas.openxmlformats.org/officeDocument/2006/relationships/hyperlink" Id="rId28" Target="https://orcid.org/0000-0002-0314-4160" TargetMode="External" /><Relationship Type="http://schemas.openxmlformats.org/officeDocument/2006/relationships/hyperlink" Id="rId26" Target="https://orcid.org/0000-0002-2863-0907" TargetMode="External" /><Relationship Type="http://schemas.openxmlformats.org/officeDocument/2006/relationships/hyperlink" Id="rId25" Target="https://orcid.org/0000-0002-8878-17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Plague Phylodynamics and Phylogeography</dc:title>
  <dc:creator/>
  <dc:language>en-US</dc:language>
  <cp:keywords/>
  <dcterms:created xsi:type="dcterms:W3CDTF">2021-05-12T21:31:55Z</dcterms:created>
  <dcterms:modified xsi:type="dcterms:W3CDTF">2021-05-12T21:31:55Z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2021-05-12</vt:lpwstr>
  </property>
  <property fmtid="{D5CDD505-2E9C-101B-9397-08002B2CF9AE}" pid="7" name="header-includes">
    <vt:lpwstr>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