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5.png" ContentType="image/png"/>
  <Override PartName="/word/media/rId35.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r>
        <w:t xml:space="preserve">This manuscript</w:t>
      </w:r>
      <w:r>
        <w:t xml:space="preserve"> </w:t>
      </w:r>
      <w:r>
        <w:t xml:space="preserve">was automatically generated</w:t>
      </w:r>
      <w:r>
        <w:t xml:space="preserve"> </w:t>
      </w:r>
      <w:r>
        <w:t xml:space="preserve">on September 2, 2021.</w:t>
      </w:r>
      <w:r>
        <w:t xml:space="preserve"> </w:t>
      </w:r>
    </w:p>
    <w:p>
      <w:pPr>
        <w:pStyle w:val="Heading2"/>
      </w:pPr>
      <w:bookmarkStart w:id="20" w:name="authors"/>
      <w:r>
        <w:t xml:space="preserve">Authors</w:t>
      </w:r>
      <w:bookmarkEnd w:id="20"/>
    </w:p>
    <w:p>
      <w:pPr>
        <w:pStyle w:val="Heading1"/>
      </w:pPr>
      <w:bookmarkStart w:id="21" w:name="yersinia-pestis-phylodynamics"/>
      <w:r>
        <w:rPr>
          <w:i/>
        </w:rPr>
        <w:t xml:space="preserve">Yersinia pestis</w:t>
      </w:r>
      <w:r>
        <w:t xml:space="preserve"> </w:t>
      </w:r>
      <w:r>
        <w:t xml:space="preserve">Phylodynamics</w:t>
      </w:r>
      <w:bookmarkEnd w:id="21"/>
    </w:p>
    <w:p>
      <w:pPr>
        <w:pStyle w:val="Heading2"/>
      </w:pPr>
      <w:bookmarkStart w:id="22" w:name="X3cdb89c639d55386d1b4af66674c467e45ff78c"/>
      <w:r>
        <w:t xml:space="preserve">Rate Variation: Biological Trait or Methodological Artifact?</w:t>
      </w:r>
      <w:bookmarkEnd w:id="22"/>
    </w:p>
    <w:p>
      <w:pPr>
        <w:pStyle w:val="FirstParagraph"/>
      </w:pPr>
      <w:r>
        <w:t xml:space="preserve">Previous work has documented substantial rate variation both between and within populations of</w:t>
      </w:r>
      <w:r>
        <w:t xml:space="preserve"> </w:t>
      </w:r>
      <w:r>
        <w:rPr>
          <w:i/>
        </w:rPr>
        <w:t xml:space="preserve">Y. pestis</w:t>
      </w:r>
      <w:r>
        <w:t xml:space="preserve"> </w:t>
      </w:r>
      <w:r>
        <w:t xml:space="preserve">[</w:t>
      </w:r>
      <w:hyperlink w:anchor="ref-ONhNS9aO">
        <w:r>
          <w:rPr>
            <w:rStyle w:val="Hyperlink"/>
          </w:rPr>
          <w:t xml:space="preserve">1</w:t>
        </w:r>
      </w:hyperlink>
      <w:r>
        <w:t xml:space="preserve">,</w:t>
      </w:r>
      <w:hyperlink w:anchor="ref-1CPIgshmC">
        <w:r>
          <w:rPr>
            <w:rStyle w:val="Hyperlink"/>
          </w:rPr>
          <w:t xml:space="preserve">2</w:t>
        </w:r>
      </w:hyperlink>
      <w:r>
        <w:t xml:space="preserve">]</w:t>
      </w:r>
      <w:r>
        <w:t xml:space="preserve">. We therefore began by testing if this characteristic was still present in our updated genomic dataset, which is notably larger and more diverse than those used in previous studies.</w:t>
      </w:r>
    </w:p>
    <w:p>
      <w:pPr>
        <w:pStyle w:val="BodyText"/>
      </w:pPr>
      <w:r>
        <w:t xml:space="preserve">Given this expanded diversity, it is unsurprising that a root-to-tip regression on collection date reproduces the finding that substitution rates in</w:t>
      </w:r>
      <w:r>
        <w:t xml:space="preserve"> </w:t>
      </w:r>
      <w:r>
        <w:rPr>
          <w:i/>
        </w:rPr>
        <w:t xml:space="preserve">Y. pestis</w:t>
      </w:r>
      <w:r>
        <w:t xml:space="preserve"> </w:t>
      </w:r>
      <w:r>
        <w:t xml:space="preserve">are poorly represented by a simple linear model (ie. strict clock) (Figure</w:t>
      </w:r>
      <w:r>
        <w:t xml:space="preserve"> </w:t>
      </w:r>
      <w:hyperlink w:anchor="fig:rtt">
        <w:r>
          <w:rPr>
            <w:rStyle w:val="Hyperlink"/>
          </w:rPr>
          <w:t xml:space="preserve">1</w:t>
        </w:r>
      </w:hyperlink>
      <w:r>
        <w:t xml:space="preserve">). While there is a statistically significant positive relationship between date and genetic distance (P-value=4.959 x 10</w:t>
      </w:r>
      <w:r>
        <w:t xml:space="preserve">-13</w:t>
      </w:r>
      <w:r>
        <w:t xml:space="preserve">), an extremely low coefficient of determination (R</w:t>
      </w:r>
      <w:r>
        <w:t xml:space="preserve">2</w:t>
      </w:r>
      <w:r>
        <w:t xml:space="preserve">=0.09) indicates there is tremendous variation that is not accounted for.</w:t>
      </w:r>
    </w:p>
    <w:p>
      <w:pPr>
        <w:pStyle w:val="BodyText"/>
      </w:pPr>
      <w:r>
        <w:t xml:space="preserve">The rate variation observed in</w:t>
      </w:r>
      <w:r>
        <w:t xml:space="preserve"> </w:t>
      </w:r>
      <w:r>
        <w:rPr>
          <w:i/>
        </w:rPr>
        <w:t xml:space="preserve">Y. pestis</w:t>
      </w:r>
      <w:r>
        <w:t xml:space="preserve"> </w:t>
      </w:r>
      <w:r>
        <w:t xml:space="preserve">(Figure</w:t>
      </w:r>
      <w:r>
        <w:t xml:space="preserve"> </w:t>
      </w:r>
      <w:hyperlink w:anchor="fig:rtt">
        <w:r>
          <w:rPr>
            <w:rStyle w:val="Hyperlink"/>
          </w:rPr>
          <w:t xml:space="preserve">1</w:t>
        </w:r>
      </w:hyperlink>
      <w:r>
        <w:t xml:space="preserve">) presents a curious case of the time dependency of molecular rates</w:t>
      </w:r>
      <w:r>
        <w:t xml:space="preserve"> </w:t>
      </w:r>
      <w:r>
        <w:t xml:space="preserve">[</w:t>
      </w:r>
      <w:hyperlink w:anchor="ref-orBi9QMY">
        <w:r>
          <w:rPr>
            <w:rStyle w:val="Hyperlink"/>
          </w:rPr>
          <w:t xml:space="preserve">3</w:t>
        </w:r>
      </w:hyperlink>
      <w:r>
        <w:t xml:space="preserve">]</w:t>
      </w:r>
      <w:r>
        <w:t xml:space="preserve">. Rate variation correlates with the sampling time frame, in which populations sampled over several millennia (</w:t>
      </w:r>
      <w:r>
        <w:rPr>
          <w:rStyle w:val="VerbatimChar"/>
        </w:rPr>
        <w:t xml:space="preserve">0.PRE</w:t>
      </w:r>
      <w:r>
        <w:t xml:space="preserve">), have less variation than those sampled over centuries (</w:t>
      </w:r>
      <w:r>
        <w:rPr>
          <w:rStyle w:val="VerbatimChar"/>
        </w:rPr>
        <w:t xml:space="preserve">1.PRE</w:t>
      </w:r>
      <w:r>
        <w:t xml:space="preserve">), or only a few decades (</w:t>
      </w:r>
      <w:r>
        <w:rPr>
          <w:rStyle w:val="VerbatimChar"/>
        </w:rPr>
        <w:t xml:space="preserve">2.MED</w:t>
      </w:r>
      <w:r>
        <w:t xml:space="preserve">). We identify four inter-related mechanisms that drive the observed patterns of rate variation in</w:t>
      </w:r>
      <w:r>
        <w:t xml:space="preserve"> </w:t>
      </w:r>
      <w:r>
        <w:rPr>
          <w:i/>
        </w:rPr>
        <w:t xml:space="preserve">Y. pestis</w:t>
      </w:r>
      <w:r>
        <w:t xml:space="preserve">:</w:t>
      </w:r>
    </w:p>
    <w:p>
      <w:pPr>
        <w:numPr>
          <w:ilvl w:val="0"/>
          <w:numId w:val="1001"/>
        </w:numPr>
        <w:pStyle w:val="Compact"/>
      </w:pPr>
      <w:r>
        <w:t xml:space="preserve">A slow, long-term substitution rate.</w:t>
      </w:r>
    </w:p>
    <w:p>
      <w:pPr>
        <w:numPr>
          <w:ilvl w:val="0"/>
          <w:numId w:val="1001"/>
        </w:numPr>
        <w:pStyle w:val="Compact"/>
      </w:pPr>
      <w:r>
        <w:t xml:space="preserve">A high, short-term mutation rate.</w:t>
      </w:r>
    </w:p>
    <w:p>
      <w:pPr>
        <w:numPr>
          <w:ilvl w:val="0"/>
          <w:numId w:val="1001"/>
        </w:numPr>
        <w:pStyle w:val="Compact"/>
      </w:pPr>
      <w:r>
        <w:t xml:space="preserve">Methodological artifacts.</w:t>
      </w:r>
    </w:p>
    <w:p>
      <w:pPr>
        <w:numPr>
          <w:ilvl w:val="0"/>
          <w:numId w:val="1001"/>
        </w:numPr>
        <w:pStyle w:val="Compact"/>
      </w:pPr>
      <w:r>
        <w:t xml:space="preserve">Population-specific rate variation.</w:t>
      </w:r>
    </w:p>
    <w:p>
      <w:pPr>
        <w:pStyle w:val="Heading2"/>
      </w:pPr>
      <w:bookmarkStart w:id="23" w:name="mechanisms-of-rate-variation"/>
      <w:r>
        <w:t xml:space="preserve">Mechanisms of Rate Variation</w:t>
      </w:r>
      <w:bookmarkEnd w:id="23"/>
    </w:p>
    <w:p>
      <w:pPr>
        <w:pStyle w:val="Heading3"/>
      </w:pPr>
      <w:bookmarkStart w:id="24" w:name="slow-long-term-substitution-rate"/>
      <w:r>
        <w:t xml:space="preserve">Slow, Long-Term Substitution Rate</w:t>
      </w:r>
      <w:bookmarkEnd w:id="24"/>
    </w:p>
    <w:p>
      <w:pPr>
        <w:pStyle w:val="FirstParagraph"/>
      </w:pPr>
      <w:r>
        <w:t xml:space="preserve">The substitution rate of</w:t>
      </w:r>
      <w:r>
        <w:t xml:space="preserve"> </w:t>
      </w:r>
      <w:r>
        <w:rPr>
          <w:i/>
        </w:rPr>
        <w:t xml:space="preserve">Y. pestis</w:t>
      </w:r>
      <w:r>
        <w:t xml:space="preserve"> </w:t>
      </w:r>
      <w:r>
        <w:t xml:space="preserve">has previously been estimated to range from 1 x 10</w:t>
      </w:r>
      <w:r>
        <w:t xml:space="preserve">-8</w:t>
      </w:r>
      <w:r>
        <w:t xml:space="preserve"> </w:t>
      </w:r>
      <w:r>
        <w:t xml:space="preserve">to 2 x 10</w:t>
      </w:r>
      <w:r>
        <w:t xml:space="preserve">-8</w:t>
      </w:r>
      <w:r>
        <w:t xml:space="preserve"> </w:t>
      </w:r>
      <w:r>
        <w:t xml:space="preserve">subs/site/year,</w:t>
      </w:r>
      <w:r>
        <w:t xml:space="preserve"> </w:t>
      </w:r>
      <w:r>
        <w:t xml:space="preserve">[</w:t>
      </w:r>
      <w:hyperlink w:anchor="ref-ONhNS9aO">
        <w:r>
          <w:rPr>
            <w:rStyle w:val="Hyperlink"/>
          </w:rPr>
          <w:t xml:space="preserve">1</w:t>
        </w:r>
      </w:hyperlink>
      <w:r>
        <w:t xml:space="preserve">,</w:t>
      </w:r>
      <w:hyperlink w:anchor="ref-1CPIgshmC">
        <w:r>
          <w:rPr>
            <w:rStyle w:val="Hyperlink"/>
          </w:rPr>
          <w:t xml:space="preserve">2</w:t>
        </w:r>
      </w:hyperlink>
      <w:r>
        <w:t xml:space="preserve">]</w:t>
      </w:r>
      <w:r>
        <w:t xml:space="preserve"> </w:t>
      </w:r>
      <w:r>
        <w:t xml:space="preserve">or 1 substitution every 10-25 years. Amongst bacterial pathogens, this is one of the slowest rates observed</w:t>
      </w:r>
      <w:r>
        <w:t xml:space="preserve"> </w:t>
      </w:r>
      <w:r>
        <w:t xml:space="preserve">[</w:t>
      </w:r>
      <w:hyperlink w:anchor="ref-1cTipQcd">
        <w:r>
          <w:rPr>
            <w:rStyle w:val="Hyperlink"/>
          </w:rPr>
          <w:t xml:space="preserve">4</w:t>
        </w:r>
      </w:hyperlink>
      <w:r>
        <w:t xml:space="preserve">]</w:t>
      </w:r>
      <w:r>
        <w:t xml:space="preserve"> </w:t>
      </w:r>
      <w:r>
        <w:t xml:space="preserve">and means that</w:t>
      </w:r>
      <w:r>
        <w:t xml:space="preserve"> </w:t>
      </w:r>
      <w:r>
        <w:rPr>
          <w:i/>
        </w:rPr>
        <w:t xml:space="preserve">Y. pestis</w:t>
      </w:r>
      <w:r>
        <w:t xml:space="preserve"> </w:t>
      </w:r>
      <w:r>
        <w:t xml:space="preserve">lineages often cannot be differentiated until several decades have passed. This question of how much time must pass before sufficient molecular change occurs is referred to as the phylodynamic threshold</w:t>
      </w:r>
      <w:r>
        <w:t xml:space="preserve"> </w:t>
      </w:r>
      <w:r>
        <w:t xml:space="preserve">[</w:t>
      </w:r>
      <w:hyperlink w:anchor="ref-hcvZW0sG">
        <w:r>
          <w:rPr>
            <w:rStyle w:val="Hyperlink"/>
          </w:rPr>
          <w:t xml:space="preserve">5</w:t>
        </w:r>
      </w:hyperlink>
      <w:r>
        <w:t xml:space="preserve">]</w:t>
      </w:r>
      <w:r>
        <w:t xml:space="preserve">.</w:t>
      </w:r>
    </w:p>
    <w:p>
      <w:pPr>
        <w:pStyle w:val="BodyText"/>
      </w:pPr>
      <w:r>
        <w:t xml:space="preserve">In application, we can see this in the finding that isolates from population</w:t>
      </w:r>
      <w:r>
        <w:t xml:space="preserve"> </w:t>
      </w:r>
      <w:r>
        <w:rPr>
          <w:rStyle w:val="VerbatimChar"/>
        </w:rPr>
        <w:t xml:space="preserve">1.PRE</w:t>
      </w:r>
      <w:r>
        <w:t xml:space="preserve"> </w:t>
      </w:r>
      <w:r>
        <w:t xml:space="preserve">dated to the medieval Black Death (1348-1353) are indistinguishable clones, whereas those from subsequent centuries are phylogenetically distinct (Figure</w:t>
      </w:r>
      <w:r>
        <w:t xml:space="preserve"> </w:t>
      </w:r>
      <w:hyperlink w:anchor="fig:rtt">
        <w:r>
          <w:rPr>
            <w:rStyle w:val="Hyperlink"/>
          </w:rPr>
          <w:t xml:space="preserve">1</w:t>
        </w:r>
      </w:hyperlink>
      <w:r>
        <w:t xml:space="preserve">). This highlights a significant limitation of</w:t>
      </w:r>
      <w:r>
        <w:t xml:space="preserve"> </w:t>
      </w:r>
      <w:r>
        <w:rPr>
          <w:i/>
        </w:rPr>
        <w:t xml:space="preserve">Y. pestis</w:t>
      </w:r>
      <w:r>
        <w:t xml:space="preserve"> </w:t>
      </w:r>
      <w:r>
        <w:t xml:space="preserve">phylogenetics, as comparisons over short time scale (&lt;10 years) have limited resolution and can be easily biased by noisy mutations.</w:t>
      </w:r>
    </w:p>
    <w:bookmarkStart w:id="0" w:name="fig:rtt"/>
    <w:p>
      <w:pPr>
        <w:pStyle w:val="CaptionedFigure"/>
      </w:pPr>
      <w:bookmarkStart w:id="26" w:name="fig:rtt"/>
      <w:r>
        <w:drawing>
          <wp:inline>
            <wp:extent cx="5943600" cy="6996337"/>
            <wp:effectExtent b="0" l="0" r="0" t="0"/>
            <wp:docPr descr="Figure 1: Rate variation in Yersinia pestis using root-to-tip regression." title="" id="1" name="Picture"/>
            <a:graphic>
              <a:graphicData uri="http://schemas.openxmlformats.org/drawingml/2006/picture">
                <pic:pic>
                  <pic:nvPicPr>
                    <pic:cNvPr descr="https://raw.githubusercontent.com/ktmeaton/plague-phylogeography-projects/c997bec/main/iqtree/all/chromosome/full/filter5/filter-taxa/rtt.png" id="0" name="Picture"/>
                    <pic:cNvPicPr>
                      <a:picLocks noChangeArrowheads="1" noChangeAspect="1"/>
                    </pic:cNvPicPr>
                  </pic:nvPicPr>
                  <pic:blipFill>
                    <a:blip r:embed="rId25"/>
                    <a:stretch>
                      <a:fillRect/>
                    </a:stretch>
                  </pic:blipFill>
                  <pic:spPr bwMode="auto">
                    <a:xfrm>
                      <a:off x="0" y="0"/>
                      <a:ext cx="5943600" cy="6996337"/>
                    </a:xfrm>
                    <a:prstGeom prst="rect">
                      <a:avLst/>
                    </a:prstGeom>
                    <a:noFill/>
                    <a:ln w="9525">
                      <a:noFill/>
                      <a:headEnd/>
                      <a:tailEnd/>
                    </a:ln>
                  </pic:spPr>
                </pic:pic>
              </a:graphicData>
            </a:graphic>
          </wp:inline>
        </w:drawing>
      </w:r>
      <w:bookmarkEnd w:id="26"/>
    </w:p>
    <w:p>
      <w:pPr>
        <w:pStyle w:val="ImageCaption"/>
      </w:pPr>
      <w:r>
        <w:t xml:space="preserve">Figure 1: Rate variation in</w:t>
      </w:r>
      <w:r>
        <w:t xml:space="preserve"> </w:t>
      </w:r>
      <w:r>
        <w:rPr>
          <w:i/>
        </w:rPr>
        <w:t xml:space="preserve">Yersinia pestis</w:t>
      </w:r>
      <w:r>
        <w:t xml:space="preserve"> </w:t>
      </w:r>
      <w:r>
        <w:t xml:space="preserve">using root-to-tip regression.</w:t>
      </w:r>
    </w:p>
    <w:bookmarkEnd w:id="0"/>
    <w:p>
      <w:pPr>
        <w:pStyle w:val="Heading3"/>
      </w:pPr>
      <w:bookmarkStart w:id="27" w:name="high-short-term-mutation-rate"/>
      <w:r>
        <w:t xml:space="preserve">High, Short-Term Mutation Rate</w:t>
      </w:r>
      <w:bookmarkEnd w:id="27"/>
    </w:p>
    <w:p>
      <w:pPr>
        <w:pStyle w:val="FirstParagraph"/>
      </w:pPr>
      <w:r>
        <w:t xml:space="preserve">Since it can take decades for a substitution to become fixed in</w:t>
      </w:r>
      <w:r>
        <w:t xml:space="preserve"> </w:t>
      </w:r>
      <w:r>
        <w:rPr>
          <w:i/>
        </w:rPr>
        <w:t xml:space="preserve">Y. pestis</w:t>
      </w:r>
      <w:r>
        <w:t xml:space="preserve"> </w:t>
      </w:r>
      <w:r>
        <w:t xml:space="preserve">populations, rate estimates are highly susceptible to the influence of transient mutations. In whole-genome sequencing, it is common to capture both fixed substitutions in the population and transient mutations found in a single isolate. These singleton mutations manifest as long external branches, and may arise from</w:t>
      </w:r>
      <w:r>
        <w:t xml:space="preserve"> </w:t>
      </w:r>
      <w:r>
        <w:t xml:space="preserve">“</w:t>
      </w:r>
      <w:r>
        <w:t xml:space="preserve">true</w:t>
      </w:r>
      <w:r>
        <w:t xml:space="preserve">”</w:t>
      </w:r>
      <w:r>
        <w:t xml:space="preserve"> </w:t>
      </w:r>
      <w:r>
        <w:t xml:space="preserve">biological variation, particularly when a population is experiencing exponential growth and is sparsely sampled, or from methodological</w:t>
      </w:r>
      <w:r>
        <w:t xml:space="preserve"> </w:t>
      </w:r>
      <w:r>
        <w:t xml:space="preserve">“</w:t>
      </w:r>
      <w:r>
        <w:t xml:space="preserve">artifacts</w:t>
      </w:r>
      <w:r>
        <w:t xml:space="preserve">”</w:t>
      </w:r>
      <w:r>
        <w:t xml:space="preserve"> </w:t>
      </w:r>
      <w:r>
        <w:t xml:space="preserve">due to sequencing error.</w:t>
      </w:r>
    </w:p>
    <w:p>
      <w:pPr>
        <w:pStyle w:val="BodyText"/>
      </w:pPr>
      <w:r>
        <w:t xml:space="preserve">The global phylogeny of</w:t>
      </w:r>
      <w:r>
        <w:t xml:space="preserve"> </w:t>
      </w:r>
      <w:r>
        <w:rPr>
          <w:i/>
        </w:rPr>
        <w:t xml:space="preserve">Y. pestis</w:t>
      </w:r>
      <w:r>
        <w:t xml:space="preserve"> </w:t>
      </w:r>
      <w:r>
        <w:t xml:space="preserve">is heavily impacted by these transient mutations or long external branches. While these outliers are found ubiquitously throughout the phylogeny, several populations are disproportionately affected including</w:t>
      </w:r>
      <w:r>
        <w:t xml:space="preserve"> </w:t>
      </w:r>
      <w:r>
        <w:rPr>
          <w:i/>
        </w:rPr>
        <w:t xml:space="preserve">orientalis</w:t>
      </w:r>
      <w:r>
        <w:t xml:space="preserve"> </w:t>
      </w:r>
      <w:r>
        <w:t xml:space="preserve">(</w:t>
      </w:r>
      <w:r>
        <w:rPr>
          <w:rStyle w:val="VerbatimChar"/>
        </w:rPr>
        <w:t xml:space="preserve">1.ORI</w:t>
      </w:r>
      <w:r>
        <w:t xml:space="preserve">),</w:t>
      </w:r>
      <w:r>
        <w:t xml:space="preserve"> </w:t>
      </w:r>
      <w:r>
        <w:rPr>
          <w:i/>
        </w:rPr>
        <w:t xml:space="preserve">pestoides</w:t>
      </w:r>
      <w:r>
        <w:t xml:space="preserve"> </w:t>
      </w:r>
      <w:r>
        <w:t xml:space="preserve">(</w:t>
      </w:r>
      <w:r>
        <w:rPr>
          <w:rStyle w:val="VerbatimChar"/>
        </w:rPr>
        <w:t xml:space="preserve">0.PE</w:t>
      </w:r>
      <w:r>
        <w:t xml:space="preserve">),</w:t>
      </w:r>
      <w:r>
        <w:t xml:space="preserve"> </w:t>
      </w:r>
      <w:r>
        <w:rPr>
          <w:i/>
        </w:rPr>
        <w:t xml:space="preserve">medievalis</w:t>
      </w:r>
      <w:r>
        <w:t xml:space="preserve"> </w:t>
      </w:r>
      <w:r>
        <w:t xml:space="preserve">(</w:t>
      </w:r>
      <w:r>
        <w:rPr>
          <w:rStyle w:val="VerbatimChar"/>
        </w:rPr>
        <w:t xml:space="preserve">2.MED</w:t>
      </w:r>
      <w:r>
        <w:t xml:space="preserve">), and</w:t>
      </w:r>
      <w:r>
        <w:t xml:space="preserve"> </w:t>
      </w:r>
      <w:r>
        <w:rPr>
          <w:i/>
        </w:rPr>
        <w:t xml:space="preserve">intermedius</w:t>
      </w:r>
      <w:r>
        <w:t xml:space="preserve"> </w:t>
      </w:r>
      <w:r>
        <w:t xml:space="preserve">(</w:t>
      </w:r>
      <w:r>
        <w:rPr>
          <w:rStyle w:val="VerbatimChar"/>
        </w:rPr>
        <w:t xml:space="preserve">1.IN</w:t>
      </w:r>
      <w:r>
        <w:t xml:space="preserve">) (Table</w:t>
      </w:r>
      <w:r>
        <w:t xml:space="preserve"> </w:t>
      </w:r>
      <w:hyperlink w:anchor="tbl:outliers">
        <w:r>
          <w:rPr>
            <w:rStyle w:val="Hyperlink"/>
          </w:rPr>
          <w:t xml:space="preserve">1</w:t>
        </w:r>
      </w:hyperlink>
      <w:r>
        <w:t xml:space="preserve">). Given the extensive presence of these apparent outliers, inclusion or exclusion of these samples may have profound impacts on the models used to estimate population sizes, molecular clocks, and migration events.</w:t>
      </w:r>
    </w:p>
    <w:bookmarkStart w:id="0" w:name="tbl:outliers"/>
    <w:p>
      <w:pPr>
        <w:pStyle w:val="TableCaption"/>
      </w:pPr>
      <w:r>
        <w:t xml:space="preserve">Table 1: Long branch outliers across</w:t>
      </w:r>
      <w:r>
        <w:t xml:space="preserve"> </w:t>
      </w:r>
      <w:r>
        <w:rPr>
          <w:i/>
        </w:rPr>
        <w:t xml:space="preserve">Y. pestis</w:t>
      </w:r>
      <w:r>
        <w:t xml:space="preserve"> </w:t>
      </w:r>
      <w:r>
        <w:t xml:space="preserve">populations.</w:t>
      </w:r>
      <w:r>
        <w:t xml:space="preserve"> </w:t>
      </w:r>
    </w:p>
    <w:tbl>
      <w:tblPr>
        <w:tblStyle w:val="Table"/>
        <w:tblW w:type="pct" w:w="0.0"/>
        <w:tblLook w:firstRow="1"/>
        <w:tblCaption w:val="Table 1: Long branch outliers across Y. pestis populations. "/>
      </w:tblPr>
      <w:tblGrid/>
      <w:tr>
        <w:trPr>
          <w:cnfStyle w:firstRow="1"/>
        </w:trPr>
        <w:tc>
          <w:tcPr>
            <w:tcBorders>
              <w:bottom w:val="single"/>
            </w:tcBorders>
            <w:vAlign w:val="bottom"/>
          </w:tcPr>
          <w:p>
            <w:pPr>
              <w:pStyle w:val="Compact"/>
              <w:jc w:val="center"/>
            </w:pPr>
            <w:r>
              <w:t xml:space="preserve">Population</w:t>
            </w:r>
          </w:p>
        </w:tc>
        <w:tc>
          <w:tcPr>
            <w:tcBorders>
              <w:bottom w:val="single"/>
            </w:tcBorders>
            <w:vAlign w:val="bottom"/>
          </w:tcPr>
          <w:p>
            <w:pPr>
              <w:pStyle w:val="Compact"/>
              <w:jc w:val="center"/>
            </w:pPr>
            <w:r>
              <w:t xml:space="preserve">Samples</w:t>
            </w:r>
          </w:p>
        </w:tc>
        <w:tc>
          <w:tcPr>
            <w:tcBorders>
              <w:bottom w:val="single"/>
            </w:tcBorders>
            <w:vAlign w:val="bottom"/>
          </w:tcPr>
          <w:p>
            <w:pPr>
              <w:pStyle w:val="Compact"/>
              <w:jc w:val="center"/>
            </w:pPr>
            <w:r>
              <w:t xml:space="preserve">Outliers</w:t>
            </w:r>
          </w:p>
        </w:tc>
        <w:tc>
          <w:tcPr>
            <w:tcBorders>
              <w:bottom w:val="single"/>
            </w:tcBorders>
            <w:vAlign w:val="bottom"/>
          </w:tcPr>
          <w:p>
            <w:pPr>
              <w:pStyle w:val="Compact"/>
              <w:jc w:val="center"/>
            </w:pPr>
            <w:r>
              <w:t xml:space="preserve">% Outliers</w:t>
            </w:r>
          </w:p>
        </w:tc>
      </w:tr>
      <w:tr>
        <w:tc>
          <w:p>
            <w:pPr>
              <w:pStyle w:val="Compact"/>
              <w:jc w:val="center"/>
            </w:pPr>
            <w:r>
              <w:t xml:space="preserve">1.ORI</w:t>
            </w:r>
          </w:p>
        </w:tc>
        <w:tc>
          <w:p>
            <w:pPr>
              <w:pStyle w:val="Compact"/>
              <w:jc w:val="center"/>
            </w:pPr>
            <w:r>
              <w:t xml:space="preserve">116</w:t>
            </w:r>
          </w:p>
        </w:tc>
        <w:tc>
          <w:p>
            <w:pPr>
              <w:pStyle w:val="Compact"/>
              <w:jc w:val="center"/>
            </w:pPr>
            <w:r>
              <w:t xml:space="preserve">37</w:t>
            </w:r>
          </w:p>
        </w:tc>
        <w:tc>
          <w:p>
            <w:pPr>
              <w:pStyle w:val="Compact"/>
              <w:jc w:val="center"/>
            </w:pPr>
            <w:r>
              <w:t xml:space="preserve">32</w:t>
            </w:r>
          </w:p>
        </w:tc>
      </w:tr>
      <w:tr>
        <w:tc>
          <w:p>
            <w:pPr>
              <w:pStyle w:val="Compact"/>
              <w:jc w:val="center"/>
            </w:pPr>
            <w:r>
              <w:t xml:space="preserve">1.IN</w:t>
            </w:r>
          </w:p>
        </w:tc>
        <w:tc>
          <w:p>
            <w:pPr>
              <w:pStyle w:val="Compact"/>
              <w:jc w:val="center"/>
            </w:pPr>
            <w:r>
              <w:t xml:space="preserve">39</w:t>
            </w:r>
          </w:p>
        </w:tc>
        <w:tc>
          <w:p>
            <w:pPr>
              <w:pStyle w:val="Compact"/>
              <w:jc w:val="center"/>
            </w:pPr>
            <w:r>
              <w:t xml:space="preserve">3</w:t>
            </w:r>
          </w:p>
        </w:tc>
        <w:tc>
          <w:p>
            <w:pPr>
              <w:pStyle w:val="Compact"/>
              <w:jc w:val="center"/>
            </w:pPr>
            <w:r>
              <w:t xml:space="preserve">8</w:t>
            </w:r>
          </w:p>
        </w:tc>
      </w:tr>
      <w:tr>
        <w:tc>
          <w:p>
            <w:pPr>
              <w:pStyle w:val="Compact"/>
              <w:jc w:val="center"/>
            </w:pPr>
            <w:r>
              <w:t xml:space="preserve">1.ANT</w:t>
            </w:r>
          </w:p>
        </w:tc>
        <w:tc>
          <w:p>
            <w:pPr>
              <w:pStyle w:val="Compact"/>
              <w:jc w:val="center"/>
            </w:pPr>
            <w:r>
              <w:t xml:space="preserve">4</w:t>
            </w:r>
          </w:p>
        </w:tc>
        <w:tc>
          <w:p>
            <w:pPr>
              <w:pStyle w:val="Compact"/>
              <w:jc w:val="center"/>
            </w:pPr>
            <w:r>
              <w:t xml:space="preserve">0</w:t>
            </w:r>
          </w:p>
        </w:tc>
        <w:tc>
          <w:p>
            <w:pPr>
              <w:pStyle w:val="Compact"/>
              <w:jc w:val="center"/>
            </w:pPr>
            <w:r>
              <w:t xml:space="preserve">0</w:t>
            </w:r>
          </w:p>
        </w:tc>
      </w:tr>
      <w:tr>
        <w:tc>
          <w:p>
            <w:pPr>
              <w:pStyle w:val="Compact"/>
              <w:jc w:val="center"/>
            </w:pPr>
            <w:r>
              <w:t xml:space="preserve">1.PRE</w:t>
            </w:r>
          </w:p>
        </w:tc>
        <w:tc>
          <w:p>
            <w:pPr>
              <w:pStyle w:val="Compact"/>
              <w:jc w:val="center"/>
            </w:pPr>
            <w:r>
              <w:t xml:space="preserve">40</w:t>
            </w:r>
          </w:p>
        </w:tc>
        <w:tc>
          <w:p>
            <w:pPr>
              <w:pStyle w:val="Compact"/>
              <w:jc w:val="center"/>
            </w:pPr>
            <w:r>
              <w:t xml:space="preserve">0</w:t>
            </w:r>
          </w:p>
        </w:tc>
        <w:tc>
          <w:p>
            <w:pPr>
              <w:pStyle w:val="Compact"/>
              <w:jc w:val="center"/>
            </w:pPr>
            <w:r>
              <w:t xml:space="preserve">0</w:t>
            </w:r>
          </w:p>
        </w:tc>
      </w:tr>
      <w:tr>
        <w:tc>
          <w:p>
            <w:pPr>
              <w:pStyle w:val="Compact"/>
              <w:jc w:val="center"/>
            </w:pPr>
            <w:r>
              <w:t xml:space="preserve">2.MED</w:t>
            </w:r>
          </w:p>
        </w:tc>
        <w:tc>
          <w:p>
            <w:pPr>
              <w:pStyle w:val="Compact"/>
              <w:jc w:val="center"/>
            </w:pPr>
            <w:r>
              <w:t xml:space="preserve">116</w:t>
            </w:r>
          </w:p>
        </w:tc>
        <w:tc>
          <w:p>
            <w:pPr>
              <w:pStyle w:val="Compact"/>
              <w:jc w:val="center"/>
            </w:pPr>
            <w:r>
              <w:t xml:space="preserve">11</w:t>
            </w:r>
          </w:p>
        </w:tc>
        <w:tc>
          <w:p>
            <w:pPr>
              <w:pStyle w:val="Compact"/>
              <w:jc w:val="center"/>
            </w:pPr>
            <w:r>
              <w:t xml:space="preserve">9</w:t>
            </w:r>
          </w:p>
        </w:tc>
      </w:tr>
      <w:tr>
        <w:tc>
          <w:p>
            <w:pPr>
              <w:pStyle w:val="Compact"/>
              <w:jc w:val="center"/>
            </w:pPr>
            <w:r>
              <w:t xml:space="preserve">2.ANT</w:t>
            </w:r>
          </w:p>
        </w:tc>
        <w:tc>
          <w:p>
            <w:pPr>
              <w:pStyle w:val="Compact"/>
              <w:jc w:val="center"/>
            </w:pPr>
            <w:r>
              <w:t xml:space="preserve">54</w:t>
            </w:r>
          </w:p>
        </w:tc>
        <w:tc>
          <w:p>
            <w:pPr>
              <w:pStyle w:val="Compact"/>
              <w:jc w:val="center"/>
            </w:pPr>
            <w:r>
              <w:t xml:space="preserve">3</w:t>
            </w:r>
          </w:p>
        </w:tc>
        <w:tc>
          <w:p>
            <w:pPr>
              <w:pStyle w:val="Compact"/>
              <w:jc w:val="center"/>
            </w:pPr>
            <w:r>
              <w:t xml:space="preserve">6</w:t>
            </w:r>
          </w:p>
        </w:tc>
      </w:tr>
      <w:tr>
        <w:tc>
          <w:p>
            <w:pPr>
              <w:pStyle w:val="Compact"/>
              <w:jc w:val="center"/>
            </w:pPr>
            <w:r>
              <w:t xml:space="preserve">4.ANT</w:t>
            </w:r>
          </w:p>
        </w:tc>
        <w:tc>
          <w:p>
            <w:pPr>
              <w:pStyle w:val="Compact"/>
              <w:jc w:val="center"/>
            </w:pPr>
            <w:r>
              <w:t xml:space="preserve">11</w:t>
            </w:r>
          </w:p>
        </w:tc>
        <w:tc>
          <w:p>
            <w:pPr>
              <w:pStyle w:val="Compact"/>
              <w:jc w:val="center"/>
            </w:pPr>
            <w:r>
              <w:t xml:space="preserve">0</w:t>
            </w:r>
          </w:p>
        </w:tc>
        <w:tc>
          <w:p>
            <w:pPr>
              <w:pStyle w:val="Compact"/>
              <w:jc w:val="center"/>
            </w:pPr>
            <w:r>
              <w:t xml:space="preserve">0</w:t>
            </w:r>
          </w:p>
        </w:tc>
      </w:tr>
      <w:tr>
        <w:tc>
          <w:p>
            <w:pPr>
              <w:pStyle w:val="Compact"/>
              <w:jc w:val="center"/>
            </w:pPr>
            <w:r>
              <w:t xml:space="preserve">3.ANT</w:t>
            </w:r>
          </w:p>
        </w:tc>
        <w:tc>
          <w:p>
            <w:pPr>
              <w:pStyle w:val="Compact"/>
              <w:jc w:val="center"/>
            </w:pPr>
            <w:r>
              <w:t xml:space="preserve">11</w:t>
            </w:r>
          </w:p>
        </w:tc>
        <w:tc>
          <w:p>
            <w:pPr>
              <w:pStyle w:val="Compact"/>
              <w:jc w:val="center"/>
            </w:pPr>
            <w:r>
              <w:t xml:space="preserve">0</w:t>
            </w:r>
          </w:p>
        </w:tc>
        <w:tc>
          <w:p>
            <w:pPr>
              <w:pStyle w:val="Compact"/>
              <w:jc w:val="center"/>
            </w:pPr>
            <w:r>
              <w:t xml:space="preserve">0</w:t>
            </w:r>
          </w:p>
        </w:tc>
      </w:tr>
      <w:tr>
        <w:tc>
          <w:p>
            <w:pPr>
              <w:pStyle w:val="Compact"/>
              <w:jc w:val="center"/>
            </w:pPr>
            <w:r>
              <w:t xml:space="preserve">0.ANT4</w:t>
            </w:r>
          </w:p>
        </w:tc>
        <w:tc>
          <w:p>
            <w:pPr>
              <w:pStyle w:val="Compact"/>
              <w:jc w:val="center"/>
            </w:pPr>
            <w:r>
              <w:t xml:space="preserve">12</w:t>
            </w:r>
          </w:p>
        </w:tc>
        <w:tc>
          <w:p>
            <w:pPr>
              <w:pStyle w:val="Compact"/>
              <w:jc w:val="center"/>
            </w:pPr>
            <w:r>
              <w:t xml:space="preserve">0</w:t>
            </w:r>
          </w:p>
        </w:tc>
        <w:tc>
          <w:p>
            <w:pPr>
              <w:pStyle w:val="Compact"/>
              <w:jc w:val="center"/>
            </w:pPr>
            <w:r>
              <w:t xml:space="preserve">0</w:t>
            </w:r>
          </w:p>
        </w:tc>
      </w:tr>
      <w:tr>
        <w:tc>
          <w:p>
            <w:pPr>
              <w:pStyle w:val="Compact"/>
              <w:jc w:val="center"/>
            </w:pPr>
            <w:r>
              <w:t xml:space="preserve">0.ANT</w:t>
            </w:r>
          </w:p>
        </w:tc>
        <w:tc>
          <w:p>
            <w:pPr>
              <w:pStyle w:val="Compact"/>
              <w:jc w:val="center"/>
            </w:pPr>
            <w:r>
              <w:t xml:space="preserve">103</w:t>
            </w:r>
          </w:p>
        </w:tc>
        <w:tc>
          <w:p>
            <w:pPr>
              <w:pStyle w:val="Compact"/>
              <w:jc w:val="center"/>
            </w:pPr>
            <w:r>
              <w:t xml:space="preserve">1</w:t>
            </w:r>
          </w:p>
        </w:tc>
        <w:tc>
          <w:p>
            <w:pPr>
              <w:pStyle w:val="Compact"/>
              <w:jc w:val="center"/>
            </w:pPr>
            <w:r>
              <w:t xml:space="preserve">1</w:t>
            </w:r>
          </w:p>
        </w:tc>
      </w:tr>
      <w:tr>
        <w:tc>
          <w:p>
            <w:pPr>
              <w:pStyle w:val="Compact"/>
              <w:jc w:val="center"/>
            </w:pPr>
            <w:r>
              <w:t xml:space="preserve">0.PE</w:t>
            </w:r>
          </w:p>
        </w:tc>
        <w:tc>
          <w:p>
            <w:pPr>
              <w:pStyle w:val="Compact"/>
              <w:jc w:val="center"/>
            </w:pPr>
            <w:r>
              <w:t xml:space="preserve">86</w:t>
            </w:r>
          </w:p>
        </w:tc>
        <w:tc>
          <w:p>
            <w:pPr>
              <w:pStyle w:val="Compact"/>
              <w:jc w:val="center"/>
            </w:pPr>
            <w:r>
              <w:t xml:space="preserve">20</w:t>
            </w:r>
          </w:p>
        </w:tc>
        <w:tc>
          <w:p>
            <w:pPr>
              <w:pStyle w:val="Compact"/>
              <w:jc w:val="center"/>
            </w:pPr>
            <w:r>
              <w:t xml:space="preserve">23</w:t>
            </w:r>
          </w:p>
        </w:tc>
      </w:tr>
      <w:tr>
        <w:tc>
          <w:p>
            <w:pPr>
              <w:pStyle w:val="Compact"/>
              <w:jc w:val="center"/>
            </w:pPr>
            <w:r>
              <w:t xml:space="preserve">0.PRE</w:t>
            </w:r>
          </w:p>
        </w:tc>
        <w:tc>
          <w:p>
            <w:pPr>
              <w:pStyle w:val="Compact"/>
              <w:jc w:val="center"/>
            </w:pPr>
            <w:r>
              <w:t xml:space="preserve">8</w:t>
            </w:r>
          </w:p>
        </w:tc>
        <w:tc>
          <w:p>
            <w:pPr>
              <w:pStyle w:val="Compact"/>
              <w:jc w:val="center"/>
            </w:pPr>
            <w:r>
              <w:t xml:space="preserve">0</w:t>
            </w:r>
          </w:p>
        </w:tc>
        <w:tc>
          <w:p>
            <w:pPr>
              <w:pStyle w:val="Compact"/>
              <w:jc w:val="center"/>
            </w:pPr>
            <w:r>
              <w:t xml:space="preserve">0</w:t>
            </w:r>
          </w:p>
        </w:tc>
      </w:tr>
    </w:tbl>
    <w:bookmarkEnd w:id="0"/>
    <w:p>
      <w:pPr>
        <w:pStyle w:val="Heading3"/>
      </w:pPr>
      <w:bookmarkStart w:id="28" w:name="methodological-artifacts"/>
      <w:r>
        <w:t xml:space="preserve">Methodological Artifacts</w:t>
      </w:r>
      <w:bookmarkEnd w:id="28"/>
    </w:p>
    <w:p>
      <w:pPr>
        <w:pStyle w:val="FirstParagraph"/>
      </w:pPr>
      <w:r>
        <w:t xml:space="preserve">One way to separate out these conflicting signals is by identifying deviant mutation patterns. Notably, we observe a correlation between branch length and extreme values of the transition to transversion ratio (TsTv) (Figure</w:t>
      </w:r>
      <w:r>
        <w:t xml:space="preserve"> </w:t>
      </w:r>
      <w:hyperlink w:anchor="fig:tstv">
        <w:r>
          <w:rPr>
            <w:rStyle w:val="Hyperlink"/>
          </w:rPr>
          <w:t xml:space="preserve">4</w:t>
        </w:r>
      </w:hyperlink>
      <w:r>
        <w:t xml:space="preserve">). As low TsTv ratios have previously been associated with false positive variants</w:t>
      </w:r>
      <w:r>
        <w:t xml:space="preserve"> </w:t>
      </w:r>
      <w:r>
        <w:t xml:space="preserve">[</w:t>
      </w:r>
      <w:hyperlink w:anchor="ref-gnep8vUW">
        <w:r>
          <w:rPr>
            <w:rStyle w:val="Hyperlink"/>
          </w:rPr>
          <w:t xml:space="preserve">6</w:t>
        </w:r>
      </w:hyperlink>
      <w:r>
        <w:t xml:space="preserve">]</w:t>
      </w:r>
      <w:r>
        <w:t xml:space="preserve">, we hypothesize these outliers represent methodological artifacts.</w:t>
      </w:r>
    </w:p>
    <w:bookmarkStart w:id="0" w:name="fig:tstv"/>
    <w:p>
      <w:pPr>
        <w:pStyle w:val="CaptionedFigure"/>
      </w:pPr>
      <w:bookmarkStart w:id="30" w:name="fig:tstv"/>
      <w:r>
        <w:drawing>
          <wp:inline>
            <wp:extent cx="5943600" cy="8268753"/>
            <wp:effectExtent b="0" l="0" r="0" t="0"/>
            <wp:docPr descr="Figure 2: Long external branches in the global Y. pestis phylogeny are associated with extreme TsTv ratios." title="" id="1" name="Picture"/>
            <a:graphic>
              <a:graphicData uri="http://schemas.openxmlformats.org/drawingml/2006/picture">
                <pic:pic>
                  <pic:nvPicPr>
                    <pic:cNvPr descr="https://raw.githubusercontent.com/ktmeaton/plague-phylogeography-projects/0739ac9/main/auspice/all/chromosome/full/filter5/ml/divtree_tstv.png" id="0" name="Picture"/>
                    <pic:cNvPicPr>
                      <a:picLocks noChangeArrowheads="1" noChangeAspect="1"/>
                    </pic:cNvPicPr>
                  </pic:nvPicPr>
                  <pic:blipFill>
                    <a:blip r:embed="rId29"/>
                    <a:stretch>
                      <a:fillRect/>
                    </a:stretch>
                  </pic:blipFill>
                  <pic:spPr bwMode="auto">
                    <a:xfrm>
                      <a:off x="0" y="0"/>
                      <a:ext cx="5943600" cy="8268753"/>
                    </a:xfrm>
                    <a:prstGeom prst="rect">
                      <a:avLst/>
                    </a:prstGeom>
                    <a:noFill/>
                    <a:ln w="9525">
                      <a:noFill/>
                      <a:headEnd/>
                      <a:tailEnd/>
                    </a:ln>
                  </pic:spPr>
                </pic:pic>
              </a:graphicData>
            </a:graphic>
          </wp:inline>
        </w:drawing>
      </w:r>
      <w:bookmarkEnd w:id="30"/>
    </w:p>
    <w:p>
      <w:pPr>
        <w:pStyle w:val="ImageCaption"/>
      </w:pPr>
      <w:r>
        <w:t xml:space="preserve">Figure 2: Long external branches in the global</w:t>
      </w:r>
      <w:r>
        <w:t xml:space="preserve"> </w:t>
      </w:r>
      <w:r>
        <w:rPr>
          <w:i/>
        </w:rPr>
        <w:t xml:space="preserve">Y. pestis</w:t>
      </w:r>
      <w:r>
        <w:t xml:space="preserve"> </w:t>
      </w:r>
      <w:r>
        <w:t xml:space="preserve">phylogeny are associated with extreme TsTv ratios.</w:t>
      </w:r>
    </w:p>
    <w:bookmarkEnd w:id="0"/>
    <w:p>
      <w:pPr>
        <w:pStyle w:val="Heading3"/>
      </w:pPr>
      <w:bookmarkStart w:id="31" w:name="population-specific-rate-variation"/>
      <w:r>
        <w:t xml:space="preserve">Population-Specific Rate Variation</w:t>
      </w:r>
      <w:bookmarkEnd w:id="31"/>
    </w:p>
    <w:p>
      <w:pPr>
        <w:pStyle w:val="FirstParagraph"/>
      </w:pPr>
      <w:r>
        <w:t xml:space="preserve">To Be Done!</w:t>
      </w:r>
    </w:p>
    <w:p>
      <w:pPr>
        <w:pStyle w:val="Heading2"/>
      </w:pPr>
      <w:bookmarkStart w:id="32" w:name="consequences"/>
      <w:r>
        <w:t xml:space="preserve">Consequences</w:t>
      </w:r>
      <w:bookmarkEnd w:id="32"/>
    </w:p>
    <w:p>
      <w:pPr>
        <w:numPr>
          <w:ilvl w:val="0"/>
          <w:numId w:val="1002"/>
        </w:numPr>
        <w:pStyle w:val="Compact"/>
      </w:pPr>
      <w:r>
        <w:rPr>
          <w:b/>
        </w:rPr>
        <w:t xml:space="preserve">A species-wide molecular clock analysis is highly unstable.</w:t>
      </w:r>
      <w:r>
        <w:rPr>
          <w:b/>
        </w:rPr>
        <w:t xml:space="preserve"> </w:t>
      </w:r>
    </w:p>
    <w:p>
      <w:pPr>
        <w:numPr>
          <w:ilvl w:val="0"/>
          <w:numId w:val="1003"/>
        </w:numPr>
        <w:pStyle w:val="Compact"/>
      </w:pPr>
      <w:r>
        <w:t xml:space="preserve">The MCMC shows poor mixing and fails to converge at an estimate for key model parameters such as the mean substitution rate.</w:t>
      </w:r>
    </w:p>
    <w:p>
      <w:pPr>
        <w:numPr>
          <w:ilvl w:val="0"/>
          <w:numId w:val="1003"/>
        </w:numPr>
        <w:pStyle w:val="Compact"/>
      </w:pPr>
      <w:r>
        <w:t xml:space="preserve">Eliminating tip-date uncertainty and fixing the tree topology do not improve the model.</w:t>
      </w:r>
    </w:p>
    <w:p>
      <w:pPr>
        <w:numPr>
          <w:ilvl w:val="0"/>
          <w:numId w:val="1004"/>
        </w:numPr>
        <w:pStyle w:val="Compact"/>
      </w:pPr>
      <w:r>
        <w:rPr>
          <w:b/>
        </w:rPr>
        <w:t xml:space="preserve">Analyzing populations in isolation stabilizes the molecular clock analysis.</w:t>
      </w:r>
    </w:p>
    <w:p>
      <w:pPr>
        <w:numPr>
          <w:ilvl w:val="0"/>
          <w:numId w:val="1005"/>
        </w:numPr>
        <w:pStyle w:val="Compact"/>
      </w:pPr>
      <w:r>
        <w:t xml:space="preserve">Temporal signal detected in 9/12 populations.</w:t>
      </w:r>
    </w:p>
    <w:p>
      <w:pPr>
        <w:numPr>
          <w:ilvl w:val="0"/>
          <w:numId w:val="1005"/>
        </w:numPr>
        <w:pStyle w:val="Compact"/>
      </w:pPr>
      <w:r>
        <w:t xml:space="preserve">Good mixing and convergence.</w:t>
      </w:r>
    </w:p>
    <w:p>
      <w:pPr>
        <w:numPr>
          <w:ilvl w:val="0"/>
          <w:numId w:val="1006"/>
        </w:numPr>
        <w:pStyle w:val="Compact"/>
      </w:pPr>
      <w:r>
        <w:rPr>
          <w:b/>
        </w:rPr>
        <w:t xml:space="preserve">Populations with long branch outliers have higher mean substitution rates.</w:t>
      </w:r>
    </w:p>
    <w:p>
      <w:pPr>
        <w:numPr>
          <w:ilvl w:val="0"/>
          <w:numId w:val="1007"/>
        </w:numPr>
        <w:pStyle w:val="Compact"/>
      </w:pPr>
      <w:r>
        <w:t xml:space="preserve">The rates of</w:t>
      </w:r>
      <w:r>
        <w:t xml:space="preserve"> </w:t>
      </w:r>
      <w:r>
        <w:rPr>
          <w:rStyle w:val="VerbatimChar"/>
        </w:rPr>
        <w:t xml:space="preserve">0.PE</w:t>
      </w:r>
      <w:r>
        <w:t xml:space="preserve">,</w:t>
      </w:r>
      <w:r>
        <w:t xml:space="preserve"> </w:t>
      </w:r>
      <w:r>
        <w:rPr>
          <w:rStyle w:val="VerbatimChar"/>
        </w:rPr>
        <w:t xml:space="preserve">2.MED</w:t>
      </w:r>
      <w:r>
        <w:t xml:space="preserve">,</w:t>
      </w:r>
      <w:r>
        <w:t xml:space="preserve"> </w:t>
      </w:r>
      <w:r>
        <w:rPr>
          <w:rStyle w:val="VerbatimChar"/>
        </w:rPr>
        <w:t xml:space="preserve">1.ORI</w:t>
      </w:r>
      <w:r>
        <w:t xml:space="preserve">, and</w:t>
      </w:r>
      <w:r>
        <w:t xml:space="preserve"> </w:t>
      </w:r>
      <w:r>
        <w:rPr>
          <w:rStyle w:val="VerbatimChar"/>
        </w:rPr>
        <w:t xml:space="preserve">1.IN</w:t>
      </w:r>
      <w:r>
        <w:t xml:space="preserve"> </w:t>
      </w:r>
      <w:r>
        <w:t xml:space="preserve">are</w:t>
      </w:r>
      <w:r>
        <w:t xml:space="preserve"> </w:t>
      </w:r>
      <w:r>
        <w:t xml:space="preserve">“</w:t>
      </w:r>
      <w:r>
        <w:t xml:space="preserve">artificially</w:t>
      </w:r>
      <w:r>
        <w:t xml:space="preserve">”</w:t>
      </w:r>
      <w:r>
        <w:t xml:space="preserve"> </w:t>
      </w:r>
      <w:r>
        <w:t xml:space="preserve">inflated by samples with false-positive variants. tMRCA estimates for these populations will be too young!</w:t>
      </w:r>
    </w:p>
    <w:p>
      <w:pPr>
        <w:numPr>
          <w:ilvl w:val="0"/>
          <w:numId w:val="1007"/>
        </w:numPr>
        <w:pStyle w:val="Compact"/>
      </w:pPr>
      <w:r>
        <w:t xml:space="preserve">Populations without false positive samples have overlapping estimates of the mean substitution rate and standard deviation.</w:t>
      </w:r>
    </w:p>
    <w:p>
      <w:pPr>
        <w:numPr>
          <w:ilvl w:val="0"/>
          <w:numId w:val="1007"/>
        </w:numPr>
        <w:pStyle w:val="Compact"/>
      </w:pPr>
      <w:r>
        <w:t xml:space="preserve">Mean substitution rate ranges from 3 x 10</w:t>
      </w:r>
      <w:r>
        <w:t xml:space="preserve">-8</w:t>
      </w:r>
      <w:r>
        <w:t xml:space="preserve"> </w:t>
      </w:r>
      <w:r>
        <w:t xml:space="preserve">to 8 x 10</w:t>
      </w:r>
      <w:r>
        <w:t xml:space="preserve">-8</w:t>
      </w:r>
      <w:r>
        <w:t xml:space="preserve">.</w:t>
      </w:r>
    </w:p>
    <w:bookmarkStart w:id="0" w:name="fig:tstv"/>
    <w:p>
      <w:pPr>
        <w:pStyle w:val="CaptionedFigure"/>
      </w:pPr>
      <w:bookmarkStart w:id="34" w:name="fig:tstv"/>
      <w:r>
        <w:drawing>
          <wp:inline>
            <wp:extent cx="5006263" cy="4908401"/>
            <wp:effectExtent b="0" l="0" r="0" t="0"/>
            <wp:docPr descr="Figure 3: Mean substitution rate and standard deviation." title="" id="1" name="Picture"/>
            <a:graphic>
              <a:graphicData uri="http://schemas.openxmlformats.org/drawingml/2006/picture">
                <pic:pic>
                  <pic:nvPicPr>
                    <pic:cNvPr descr="https://rawcdn.githack.com/ktmeaton/plague-phylogeography-projects/bd0b9da/main/beast/all/chromosome/clade/log/meanRate_stdev.png" id="0" name="Picture"/>
                    <pic:cNvPicPr>
                      <a:picLocks noChangeArrowheads="1" noChangeAspect="1"/>
                    </pic:cNvPicPr>
                  </pic:nvPicPr>
                  <pic:blipFill>
                    <a:blip r:embed="rId33"/>
                    <a:stretch>
                      <a:fillRect/>
                    </a:stretch>
                  </pic:blipFill>
                  <pic:spPr bwMode="auto">
                    <a:xfrm>
                      <a:off x="0" y="0"/>
                      <a:ext cx="5006263" cy="4908401"/>
                    </a:xfrm>
                    <a:prstGeom prst="rect">
                      <a:avLst/>
                    </a:prstGeom>
                    <a:noFill/>
                    <a:ln w="9525">
                      <a:noFill/>
                      <a:headEnd/>
                      <a:tailEnd/>
                    </a:ln>
                  </pic:spPr>
                </pic:pic>
              </a:graphicData>
            </a:graphic>
          </wp:inline>
        </w:drawing>
      </w:r>
      <w:bookmarkEnd w:id="34"/>
    </w:p>
    <w:p>
      <w:pPr>
        <w:pStyle w:val="ImageCaption"/>
      </w:pPr>
      <w:r>
        <w:t xml:space="preserve">Figure 3: Mean substitution rate and standard deviation.</w:t>
      </w:r>
    </w:p>
    <w:bookmarkEnd w:id="0"/>
    <w:p>
      <w:pPr>
        <w:numPr>
          <w:ilvl w:val="0"/>
          <w:numId w:val="1008"/>
        </w:numPr>
        <w:pStyle w:val="Compact"/>
      </w:pPr>
      <w:r>
        <w:rPr>
          <w:b/>
        </w:rPr>
        <w:t xml:space="preserve">The mean substitution rate of</w:t>
      </w:r>
      <w:r>
        <w:rPr>
          <w:b/>
        </w:rPr>
        <w:t xml:space="preserve"> </w:t>
      </w:r>
      <w:r>
        <w:rPr>
          <w:i/>
          <w:b/>
        </w:rPr>
        <w:t xml:space="preserve">Y. pestis</w:t>
      </w:r>
      <w:r>
        <w:rPr>
          <w:b/>
        </w:rPr>
        <w:t xml:space="preserve"> </w:t>
      </w:r>
      <w:r>
        <w:rPr>
          <w:b/>
        </w:rPr>
        <w:t xml:space="preserve">has been considerably under-estimated.</w:t>
      </w:r>
    </w:p>
    <w:p>
      <w:pPr>
        <w:numPr>
          <w:ilvl w:val="0"/>
          <w:numId w:val="1009"/>
        </w:numPr>
        <w:pStyle w:val="Compact"/>
      </w:pPr>
      <w:r>
        <w:t xml:space="preserve">Previously thought to be 1x10</w:t>
      </w:r>
      <w:r>
        <w:t xml:space="preserve">-8</w:t>
      </w:r>
      <w:r>
        <w:t xml:space="preserve">. No population is observed to have a rate that slow.</w:t>
      </w:r>
    </w:p>
    <w:p>
      <w:pPr>
        <w:numPr>
          <w:ilvl w:val="0"/>
          <w:numId w:val="1009"/>
        </w:numPr>
        <w:pStyle w:val="Compact"/>
      </w:pPr>
      <w:r>
        <w:t xml:space="preserve">tMRCA estimates based on this rate will be too old!</w:t>
      </w:r>
    </w:p>
    <w:p>
      <w:pPr>
        <w:numPr>
          <w:ilvl w:val="0"/>
          <w:numId w:val="1010"/>
        </w:numPr>
        <w:pStyle w:val="Compact"/>
      </w:pPr>
      <w:r>
        <w:rPr>
          <w:b/>
        </w:rPr>
        <w:t xml:space="preserve">Removing long branch outliers drastically changes phylogeography patterns.</w:t>
      </w:r>
      <w:r>
        <w:rPr>
          <w:b/>
        </w:rPr>
        <w:t xml:space="preserve"> </w:t>
      </w:r>
    </w:p>
    <w:p>
      <w:pPr>
        <w:numPr>
          <w:ilvl w:val="0"/>
          <w:numId w:val="1011"/>
        </w:numPr>
        <w:pStyle w:val="Compact"/>
      </w:pPr>
      <w:r>
        <w:t xml:space="preserve">Filtering out long branches recovers a statistically significant pattern of isolation-by-distance (IBD) for almost all populations!</w:t>
      </w:r>
    </w:p>
    <w:bookmarkStart w:id="0" w:name="fig:tstv"/>
    <w:p>
      <w:pPr>
        <w:pStyle w:val="CaptionedFigure"/>
      </w:pPr>
      <w:bookmarkStart w:id="36" w:name="fig:tstv"/>
      <w:r>
        <w:drawing>
          <wp:inline>
            <wp:extent cx="5943600" cy="3263620"/>
            <wp:effectExtent b="0" l="0" r="0" t="0"/>
            <wp:docPr descr="Figure 4: Isolation by distance of 2.MED before and after long-branch filtering." title="" id="1" name="Picture"/>
            <a:graphic>
              <a:graphicData uri="http://schemas.openxmlformats.org/drawingml/2006/picture">
                <pic:pic>
                  <pic:nvPicPr>
                    <pic:cNvPr descr="https://rawcdn.githack.com/ktmeaton/plague-phylogeography-projects/b15235e4b4f09d83959e2cdb7f2d2bfa329633a3/main_filter/iqtree_stats/all/chromosome/full/filter5/mantel_comparison_2.MED.png" id="0" name="Picture"/>
                    <pic:cNvPicPr>
                      <a:picLocks noChangeArrowheads="1" noChangeAspect="1"/>
                    </pic:cNvPicPr>
                  </pic:nvPicPr>
                  <pic:blipFill>
                    <a:blip r:embed="rId35"/>
                    <a:stretch>
                      <a:fillRect/>
                    </a:stretch>
                  </pic:blipFill>
                  <pic:spPr bwMode="auto">
                    <a:xfrm>
                      <a:off x="0" y="0"/>
                      <a:ext cx="5943600" cy="3263620"/>
                    </a:xfrm>
                    <a:prstGeom prst="rect">
                      <a:avLst/>
                    </a:prstGeom>
                    <a:noFill/>
                    <a:ln w="9525">
                      <a:noFill/>
                      <a:headEnd/>
                      <a:tailEnd/>
                    </a:ln>
                  </pic:spPr>
                </pic:pic>
              </a:graphicData>
            </a:graphic>
          </wp:inline>
        </w:drawing>
      </w:r>
      <w:bookmarkEnd w:id="36"/>
    </w:p>
    <w:p>
      <w:pPr>
        <w:pStyle w:val="ImageCaption"/>
      </w:pPr>
      <w:r>
        <w:t xml:space="preserve">Figure 4: Isolation by distance of</w:t>
      </w:r>
      <w:r>
        <w:t xml:space="preserve"> </w:t>
      </w:r>
      <w:r>
        <w:rPr>
          <w:rStyle w:val="VerbatimChar"/>
        </w:rPr>
        <w:t xml:space="preserve">2.MED</w:t>
      </w:r>
      <w:r>
        <w:t xml:space="preserve"> </w:t>
      </w:r>
      <w:r>
        <w:t xml:space="preserve">before and after long-branch filtering.</w:t>
      </w:r>
    </w:p>
    <w:bookmarkEnd w:id="0"/>
    <w:p>
      <w:pPr>
        <w:pStyle w:val="Heading2"/>
      </w:pPr>
      <w:bookmarkStart w:id="37" w:name="references"/>
      <w:r>
        <w:t xml:space="preserve">References</w:t>
      </w:r>
      <w:bookmarkEnd w:id="37"/>
    </w:p>
    <w:bookmarkStart w:id="55" w:name="refs"/>
    <w:bookmarkStart w:id="40" w:name="ref-ONhNS9aO"/>
    <w:p>
      <w:pPr>
        <w:pStyle w:val="Bibliography"/>
      </w:pPr>
      <w:r>
        <w:t xml:space="preserve">1.</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38">
        <w:r>
          <w:rPr>
            <w:rStyle w:val="Hyperlink"/>
          </w:rPr>
          <w:t xml:space="preserve">http://www.pnas.org/cgi/doi/10.1073/pnas.1205750110</w:t>
        </w:r>
      </w:hyperlink>
      <w:r>
        <w:t xml:space="preserve"> </w:t>
      </w:r>
      <w:r>
        <w:br/>
      </w:r>
      <w:r>
        <w:t xml:space="preserve">DOI:</w:t>
      </w:r>
      <w:r>
        <w:t xml:space="preserve"> </w:t>
      </w:r>
      <w:hyperlink r:id="rId39">
        <w:r>
          <w:rPr>
            <w:rStyle w:val="Hyperlink"/>
          </w:rPr>
          <w:t xml:space="preserve">10.1073/pnas.1205750110</w:t>
        </w:r>
      </w:hyperlink>
    </w:p>
    <w:bookmarkEnd w:id="40"/>
    <w:bookmarkStart w:id="43" w:name="ref-1CPIgshmC"/>
    <w:p>
      <w:pPr>
        <w:pStyle w:val="Bibliography"/>
      </w:pPr>
      <w:r>
        <w:t xml:space="preserve">2.</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41">
        <w:r>
          <w:rPr>
            <w:rStyle w:val="Hyperlink"/>
          </w:rPr>
          <w:t xml:space="preserve">https://www.nature.com/articles/s41467-019-12154-0</w:t>
        </w:r>
      </w:hyperlink>
      <w:r>
        <w:t xml:space="preserve"> </w:t>
      </w:r>
      <w:r>
        <w:br/>
      </w:r>
      <w:r>
        <w:t xml:space="preserve">DOI:</w:t>
      </w:r>
      <w:r>
        <w:t xml:space="preserve"> </w:t>
      </w:r>
      <w:hyperlink r:id="rId42">
        <w:r>
          <w:rPr>
            <w:rStyle w:val="Hyperlink"/>
          </w:rPr>
          <w:t xml:space="preserve">10.1038/s41467-019-12154-0</w:t>
        </w:r>
      </w:hyperlink>
    </w:p>
    <w:bookmarkEnd w:id="43"/>
    <w:bookmarkStart w:id="45" w:name="ref-orBi9QMY"/>
    <w:p>
      <w:pPr>
        <w:pStyle w:val="Bibliography"/>
      </w:pPr>
      <w:r>
        <w:t xml:space="preserve">3.</w:t>
      </w:r>
      <w:r>
        <w:t xml:space="preserve"> </w:t>
      </w:r>
      <w:r>
        <w:rPr>
          <w:b/>
        </w:rPr>
        <w:t xml:space="preserve">Time Dependency of Molecular Rate Estimates and Systematic Overestimation of Recent Divergence Times</w:t>
      </w:r>
      <w:r>
        <w:t xml:space="preserve"> </w:t>
      </w:r>
      <w:r>
        <w:br/>
      </w:r>
      <w:r>
        <w:t xml:space="preserve">Simon Y. W. Ho, Matthew J. Phillips, Alan Cooper, Alexei J. Drummond</w:t>
      </w:r>
      <w:r>
        <w:br/>
      </w:r>
      <w:r>
        <w:rPr>
          <w:i/>
        </w:rPr>
        <w:t xml:space="preserve">Molecular Biology and Evolution</w:t>
      </w:r>
      <w:r>
        <w:t xml:space="preserve"> </w:t>
      </w:r>
      <w:r>
        <w:t xml:space="preserve">(2005-07-01)</w:t>
      </w:r>
      <w:r>
        <w:t xml:space="preserve"> </w:t>
      </w:r>
      <w:hyperlink r:id="rId44">
        <w:r>
          <w:rPr>
            <w:rStyle w:val="Hyperlink"/>
          </w:rPr>
          <w:t xml:space="preserve">https://doi.org/10.1093/molbev/msi145</w:t>
        </w:r>
      </w:hyperlink>
      <w:r>
        <w:t xml:space="preserve"> </w:t>
      </w:r>
      <w:r>
        <w:br/>
      </w:r>
      <w:r>
        <w:t xml:space="preserve">DOI:</w:t>
      </w:r>
      <w:r>
        <w:t xml:space="preserve"> </w:t>
      </w:r>
      <w:hyperlink r:id="rId44">
        <w:r>
          <w:rPr>
            <w:rStyle w:val="Hyperlink"/>
          </w:rPr>
          <w:t xml:space="preserve">10.1093/molbev/msi145</w:t>
        </w:r>
      </w:hyperlink>
    </w:p>
    <w:bookmarkEnd w:id="45"/>
    <w:bookmarkStart w:id="50" w:name="ref-1cTipQcd"/>
    <w:p>
      <w:pPr>
        <w:pStyle w:val="Bibliography"/>
      </w:pPr>
      <w:r>
        <w:t xml:space="preserve">4.</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46">
        <w:r>
          <w:rPr>
            <w:rStyle w:val="Hyperlink"/>
          </w:rPr>
          <w:t xml:space="preserve">https://www.ncbi.nlm.nih.gov/pmc/articles/PMC5320706/</w:t>
        </w:r>
      </w:hyperlink>
      <w:r>
        <w:t xml:space="preserve"> </w:t>
      </w:r>
      <w:r>
        <w:br/>
      </w:r>
      <w:r>
        <w:t xml:space="preserve">DOI:</w:t>
      </w:r>
      <w:r>
        <w:t xml:space="preserve"> </w:t>
      </w:r>
      <w:hyperlink r:id="rId47">
        <w:r>
          <w:rPr>
            <w:rStyle w:val="Hyperlink"/>
          </w:rPr>
          <w:t xml:space="preserve">10.1099/mgen.0.000094</w:t>
        </w:r>
      </w:hyperlink>
      <w:r>
        <w:t xml:space="preserve"> </w:t>
      </w:r>
      <w:r>
        <w:t xml:space="preserve">· PMID:</w:t>
      </w:r>
      <w:r>
        <w:t xml:space="preserve"> </w:t>
      </w:r>
      <w:hyperlink r:id="rId48">
        <w:r>
          <w:rPr>
            <w:rStyle w:val="Hyperlink"/>
          </w:rPr>
          <w:t xml:space="preserve">28348834</w:t>
        </w:r>
      </w:hyperlink>
      <w:r>
        <w:t xml:space="preserve"> </w:t>
      </w:r>
      <w:r>
        <w:t xml:space="preserve">· PMCID:</w:t>
      </w:r>
      <w:r>
        <w:t xml:space="preserve"> </w:t>
      </w:r>
      <w:hyperlink r:id="rId49">
        <w:r>
          <w:rPr>
            <w:rStyle w:val="Hyperlink"/>
          </w:rPr>
          <w:t xml:space="preserve">PMC5320706</w:t>
        </w:r>
      </w:hyperlink>
    </w:p>
    <w:bookmarkEnd w:id="50"/>
    <w:bookmarkStart w:id="52" w:name="ref-hcvZW0sG"/>
    <w:p>
      <w:pPr>
        <w:pStyle w:val="Bibliography"/>
      </w:pPr>
      <w:r>
        <w:t xml:space="preserve">5.</w:t>
      </w:r>
      <w:r>
        <w:t xml:space="preserve"> </w:t>
      </w:r>
      <w:r>
        <w:rPr>
          <w:b/>
        </w:rPr>
        <w:t xml:space="preserve">Temporal signal and the phylodynamic threshold of SARS-CoV-2</w:t>
      </w:r>
      <w:r>
        <w:t xml:space="preserve"> </w:t>
      </w:r>
      <w:r>
        <w:br/>
      </w:r>
      <w:r>
        <w:t xml:space="preserve">Sebastian Duchene, Leo Featherstone, Melina Haritopoulou-Sinanidou, Andrew Rambaut, Philippe Lemey, Guy Baele</w:t>
      </w:r>
      <w:r>
        <w:br/>
      </w:r>
      <w:r>
        <w:rPr>
          <w:i/>
        </w:rPr>
        <w:t xml:space="preserve">Virus Evolution</w:t>
      </w:r>
      <w:r>
        <w:t xml:space="preserve"> </w:t>
      </w:r>
      <w:r>
        <w:t xml:space="preserve">(2020-07-01)</w:t>
      </w:r>
      <w:r>
        <w:t xml:space="preserve"> </w:t>
      </w:r>
      <w:hyperlink r:id="rId51">
        <w:r>
          <w:rPr>
            <w:rStyle w:val="Hyperlink"/>
          </w:rPr>
          <w:t xml:space="preserve">https://doi.org/10.1093/ve/veaa061</w:t>
        </w:r>
      </w:hyperlink>
      <w:r>
        <w:t xml:space="preserve"> </w:t>
      </w:r>
      <w:r>
        <w:br/>
      </w:r>
      <w:r>
        <w:t xml:space="preserve">DOI:</w:t>
      </w:r>
      <w:r>
        <w:t xml:space="preserve"> </w:t>
      </w:r>
      <w:hyperlink r:id="rId51">
        <w:r>
          <w:rPr>
            <w:rStyle w:val="Hyperlink"/>
          </w:rPr>
          <w:t xml:space="preserve">10.1093/ve/veaa061</w:t>
        </w:r>
      </w:hyperlink>
    </w:p>
    <w:bookmarkEnd w:id="52"/>
    <w:bookmarkStart w:id="54" w:name="ref-gnep8vUW"/>
    <w:p>
      <w:pPr>
        <w:pStyle w:val="Bibliography"/>
      </w:pPr>
      <w:r>
        <w:t xml:space="preserve">6.</w:t>
      </w:r>
      <w:r>
        <w:t xml:space="preserve"> </w:t>
      </w:r>
      <w:r>
        <w:rPr>
          <w:b/>
        </w:rPr>
        <w:t xml:space="preserve">Variant discovery in targeted resequencing using whole genome amplified DNA</w:t>
      </w:r>
      <w:r>
        <w:t xml:space="preserve"> </w:t>
      </w:r>
      <w:r>
        <w:br/>
      </w:r>
      <w:r>
        <w:t xml:space="preserve">Amit R. Indap, Regina Cole, Christina L. Runge, Gabor T. Marth, Michael Olivier</w:t>
      </w:r>
      <w:r>
        <w:br/>
      </w:r>
      <w:r>
        <w:rPr>
          <w:i/>
        </w:rPr>
        <w:t xml:space="preserve">BMC Genomics</w:t>
      </w:r>
      <w:r>
        <w:t xml:space="preserve"> </w:t>
      </w:r>
      <w:r>
        <w:t xml:space="preserve">(2013-07-10)</w:t>
      </w:r>
      <w:r>
        <w:t xml:space="preserve"> </w:t>
      </w:r>
      <w:hyperlink r:id="rId53">
        <w:r>
          <w:rPr>
            <w:rStyle w:val="Hyperlink"/>
          </w:rPr>
          <w:t xml:space="preserve">https://doi.org/10.1186/1471-2164-14-468</w:t>
        </w:r>
      </w:hyperlink>
      <w:r>
        <w:t xml:space="preserve"> </w:t>
      </w:r>
      <w:r>
        <w:br/>
      </w:r>
      <w:r>
        <w:t xml:space="preserve">DOI:</w:t>
      </w:r>
      <w:r>
        <w:t xml:space="preserve"> </w:t>
      </w:r>
      <w:hyperlink r:id="rId53">
        <w:r>
          <w:rPr>
            <w:rStyle w:val="Hyperlink"/>
          </w:rPr>
          <w:t xml:space="preserve">10.1186/1471-2164-14-468</w:t>
        </w:r>
      </w:hyperlink>
    </w:p>
    <w:bookmarkEnd w:id="54"/>
    <w:bookmarkEnd w:id="55"/>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b3cbbdee"/>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4fbe019a"/>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91a27d85"/>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5" Target="media/rId25.png" /><Relationship Type="http://schemas.openxmlformats.org/officeDocument/2006/relationships/image" Id="rId35" Target="media/rId35.png" /><Relationship Type="http://schemas.openxmlformats.org/officeDocument/2006/relationships/image" Id="rId33" Target="media/rId33.png" /><Relationship Type="http://schemas.openxmlformats.org/officeDocument/2006/relationships/hyperlink" Id="rId38" Target="http://www.pnas.org/cgi/doi/10.1073/pnas.1205750110" TargetMode="External" /><Relationship Type="http://schemas.openxmlformats.org/officeDocument/2006/relationships/hyperlink" Id="rId42" Target="https://doi.org/10.1038/s41467-019-12154-0" TargetMode="External" /><Relationship Type="http://schemas.openxmlformats.org/officeDocument/2006/relationships/hyperlink" Id="rId39" Target="https://doi.org/10.1073/pnas.1205750110" TargetMode="External" /><Relationship Type="http://schemas.openxmlformats.org/officeDocument/2006/relationships/hyperlink" Id="rId44" Target="https://doi.org/10.1093/molbev/msi145" TargetMode="External" /><Relationship Type="http://schemas.openxmlformats.org/officeDocument/2006/relationships/hyperlink" Id="rId51" Target="https://doi.org/10.1093/ve/veaa061" TargetMode="External" /><Relationship Type="http://schemas.openxmlformats.org/officeDocument/2006/relationships/hyperlink" Id="rId47" Target="https://doi.org/10.1099/mgen.0.000094" TargetMode="External" /><Relationship Type="http://schemas.openxmlformats.org/officeDocument/2006/relationships/hyperlink" Id="rId53" Target="https://doi.org/10.1186/1471-2164-14-468" TargetMode="External" /><Relationship Type="http://schemas.openxmlformats.org/officeDocument/2006/relationships/hyperlink" Id="rId41" Target="https://www.nature.com/articles/s41467-019-12154-0" TargetMode="External" /><Relationship Type="http://schemas.openxmlformats.org/officeDocument/2006/relationships/hyperlink" Id="rId49" Target="https://www.ncbi.nlm.nih.gov/pmc/articles/PMC5320706" TargetMode="External" /><Relationship Type="http://schemas.openxmlformats.org/officeDocument/2006/relationships/hyperlink" Id="rId46" Target="https://www.ncbi.nlm.nih.gov/pmc/articles/PMC5320706/" TargetMode="External" /><Relationship Type="http://schemas.openxmlformats.org/officeDocument/2006/relationships/hyperlink" Id="rId48" Target="https://www.ncbi.nlm.nih.gov/pubmed/28348834" TargetMode="External" /></Relationships>
</file>

<file path=word/_rels/footnotes.xml.rels><?xml version="1.0" encoding="UTF-8"?>
<Relationships xmlns="http://schemas.openxmlformats.org/package/2006/relationships"><Relationship Type="http://schemas.openxmlformats.org/officeDocument/2006/relationships/hyperlink" Id="rId38" Target="http://www.pnas.org/cgi/doi/10.1073/pnas.1205750110" TargetMode="External" /><Relationship Type="http://schemas.openxmlformats.org/officeDocument/2006/relationships/hyperlink" Id="rId42" Target="https://doi.org/10.1038/s41467-019-12154-0" TargetMode="External" /><Relationship Type="http://schemas.openxmlformats.org/officeDocument/2006/relationships/hyperlink" Id="rId39" Target="https://doi.org/10.1073/pnas.1205750110" TargetMode="External" /><Relationship Type="http://schemas.openxmlformats.org/officeDocument/2006/relationships/hyperlink" Id="rId44" Target="https://doi.org/10.1093/molbev/msi145" TargetMode="External" /><Relationship Type="http://schemas.openxmlformats.org/officeDocument/2006/relationships/hyperlink" Id="rId51" Target="https://doi.org/10.1093/ve/veaa061" TargetMode="External" /><Relationship Type="http://schemas.openxmlformats.org/officeDocument/2006/relationships/hyperlink" Id="rId47" Target="https://doi.org/10.1099/mgen.0.000094" TargetMode="External" /><Relationship Type="http://schemas.openxmlformats.org/officeDocument/2006/relationships/hyperlink" Id="rId53" Target="https://doi.org/10.1186/1471-2164-14-468" TargetMode="External" /><Relationship Type="http://schemas.openxmlformats.org/officeDocument/2006/relationships/hyperlink" Id="rId41" Target="https://www.nature.com/articles/s41467-019-12154-0" TargetMode="External" /><Relationship Type="http://schemas.openxmlformats.org/officeDocument/2006/relationships/hyperlink" Id="rId49" Target="https://www.ncbi.nlm.nih.gov/pmc/articles/PMC5320706" TargetMode="External" /><Relationship Type="http://schemas.openxmlformats.org/officeDocument/2006/relationships/hyperlink" Id="rId46" Target="https://www.ncbi.nlm.nih.gov/pmc/articles/PMC5320706/" TargetMode="External" /><Relationship Type="http://schemas.openxmlformats.org/officeDocument/2006/relationships/hyperlink" Id="rId48" Target="https://www.ncbi.nlm.nih.gov/pubmed/2834883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2021-09-02T17:49:03Z</dcterms:created>
  <dcterms:modified xsi:type="dcterms:W3CDTF">2021-09-02T17:49:03Z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