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2E6725" w14:textId="5C077BF6" w:rsidR="00447730" w:rsidRPr="002B7AF1" w:rsidRDefault="009E7B06">
      <w:pPr>
        <w:pStyle w:val="Title"/>
        <w:rPr>
          <w:rFonts w:ascii="Times New Roman" w:hAnsi="Times New Roman" w:cs="Times New Roman"/>
          <w:color w:val="auto"/>
        </w:rPr>
      </w:pPr>
      <w:r w:rsidRPr="002B7AF1">
        <w:rPr>
          <w:rFonts w:ascii="Times New Roman" w:hAnsi="Times New Roman" w:cs="Times New Roman"/>
          <w:color w:val="auto"/>
        </w:rPr>
        <w:t>Neighborhoods and Felony Disenfranchisement: The Case of New York City</w:t>
      </w:r>
      <w:r w:rsidR="002B7AF1" w:rsidRPr="002B7AF1">
        <w:rPr>
          <w:rStyle w:val="FootnoteReference"/>
          <w:rFonts w:ascii="Times New Roman" w:hAnsi="Times New Roman" w:cs="Times New Roman"/>
          <w:color w:val="auto"/>
        </w:rPr>
        <w:footnoteReference w:id="1"/>
      </w:r>
    </w:p>
    <w:p w14:paraId="2D37B48F" w14:textId="77777777" w:rsidR="00447730" w:rsidRPr="002B7AF1" w:rsidRDefault="009E7B06">
      <w:pPr>
        <w:pStyle w:val="Author"/>
        <w:rPr>
          <w:rFonts w:ascii="Times New Roman" w:hAnsi="Times New Roman" w:cs="Times New Roman"/>
        </w:rPr>
      </w:pPr>
      <w:r w:rsidRPr="002B7AF1">
        <w:rPr>
          <w:rFonts w:ascii="Times New Roman" w:hAnsi="Times New Roman" w:cs="Times New Roman"/>
        </w:rPr>
        <w:t>Kevin Morris</w:t>
      </w:r>
      <w:r w:rsidRPr="002B7AF1">
        <w:rPr>
          <w:rStyle w:val="FootnoteReference"/>
          <w:rFonts w:ascii="Times New Roman" w:hAnsi="Times New Roman" w:cs="Times New Roman"/>
        </w:rPr>
        <w:footnoteReference w:id="2"/>
      </w:r>
    </w:p>
    <w:p w14:paraId="4D169BAE" w14:textId="77777777" w:rsidR="00447730" w:rsidRPr="002B7AF1" w:rsidRDefault="009E7B06">
      <w:pPr>
        <w:pStyle w:val="Date"/>
        <w:rPr>
          <w:rFonts w:ascii="Times New Roman" w:hAnsi="Times New Roman" w:cs="Times New Roman"/>
        </w:rPr>
      </w:pPr>
      <w:r w:rsidRPr="002B7AF1">
        <w:rPr>
          <w:rFonts w:ascii="Times New Roman" w:hAnsi="Times New Roman" w:cs="Times New Roman"/>
        </w:rPr>
        <w:t>April 01, 2020</w:t>
      </w:r>
    </w:p>
    <w:p w14:paraId="775F31DB" w14:textId="77777777" w:rsidR="00447730" w:rsidRPr="002B7AF1" w:rsidRDefault="009E7B06">
      <w:pPr>
        <w:pStyle w:val="Abstract"/>
        <w:rPr>
          <w:rFonts w:ascii="Times New Roman" w:hAnsi="Times New Roman" w:cs="Times New Roman"/>
          <w:sz w:val="24"/>
          <w:szCs w:val="24"/>
        </w:rPr>
      </w:pPr>
      <w:r w:rsidRPr="002B7AF1">
        <w:rPr>
          <w:rFonts w:ascii="Times New Roman" w:hAnsi="Times New Roman" w:cs="Times New Roman"/>
          <w:sz w:val="24"/>
          <w:szCs w:val="24"/>
        </w:rPr>
        <w:t xml:space="preserve">Over the past two decades, scholars have sought to estimate the direct and indirect effects of felony disenfranchisement on political </w:t>
      </w:r>
      <w:r w:rsidRPr="002B7AF1">
        <w:rPr>
          <w:rFonts w:ascii="Times New Roman" w:hAnsi="Times New Roman" w:cs="Times New Roman"/>
          <w:sz w:val="24"/>
          <w:szCs w:val="24"/>
        </w:rPr>
        <w:t>representation. This literature, however, has often overlooked both the geographic concentration of communities impac</w:t>
      </w:r>
      <w:bookmarkStart w:id="0" w:name="_GoBack"/>
      <w:bookmarkEnd w:id="0"/>
      <w:r w:rsidRPr="002B7AF1">
        <w:rPr>
          <w:rFonts w:ascii="Times New Roman" w:hAnsi="Times New Roman" w:cs="Times New Roman"/>
          <w:sz w:val="24"/>
          <w:szCs w:val="24"/>
        </w:rPr>
        <w:t>ted by over-incarceration and the low propensity to vote exhibited by individuals convicted of felony crimes. In this paper, I redefine “lo</w:t>
      </w:r>
      <w:r w:rsidRPr="002B7AF1">
        <w:rPr>
          <w:rFonts w:ascii="Times New Roman" w:hAnsi="Times New Roman" w:cs="Times New Roman"/>
          <w:sz w:val="24"/>
          <w:szCs w:val="24"/>
        </w:rPr>
        <w:t>st voters” as disenfranchised individuals with a history of participating in elections. I map these individuals to their pre-incarceration addresses and use multiple approaches to explore whether their home neighborhoods turned out at lower rates than othe</w:t>
      </w:r>
      <w:r w:rsidRPr="002B7AF1">
        <w:rPr>
          <w:rFonts w:ascii="Times New Roman" w:hAnsi="Times New Roman" w:cs="Times New Roman"/>
          <w:sz w:val="24"/>
          <w:szCs w:val="24"/>
        </w:rPr>
        <w:t>r neighborhoods in the 2017 NYC mayoral election. I find that neighborhoods that were home to lost voters turned out at substantially lower rates than similar neighborhoods, and that Black neighborhoods are particularly impacted by the spillover effects of</w:t>
      </w:r>
      <w:r w:rsidRPr="002B7AF1">
        <w:rPr>
          <w:rFonts w:ascii="Times New Roman" w:hAnsi="Times New Roman" w:cs="Times New Roman"/>
          <w:sz w:val="24"/>
          <w:szCs w:val="24"/>
        </w:rPr>
        <w:t xml:space="preserve"> disenfranchisement. These indirect effects of the incarceration of would-be voters may have serious implications for the representation of impacted neighborhoods.</w:t>
      </w:r>
    </w:p>
    <w:sectPr w:rsidR="00447730" w:rsidRPr="002B7AF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986B26" w14:textId="77777777" w:rsidR="009E7B06" w:rsidRDefault="009E7B06">
      <w:pPr>
        <w:spacing w:after="0"/>
      </w:pPr>
      <w:r>
        <w:separator/>
      </w:r>
    </w:p>
  </w:endnote>
  <w:endnote w:type="continuationSeparator" w:id="0">
    <w:p w14:paraId="3F00B8BD" w14:textId="77777777" w:rsidR="009E7B06" w:rsidRDefault="009E7B0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23F1FE" w14:textId="77777777" w:rsidR="009E7B06" w:rsidRDefault="009E7B06">
      <w:r>
        <w:separator/>
      </w:r>
    </w:p>
  </w:footnote>
  <w:footnote w:type="continuationSeparator" w:id="0">
    <w:p w14:paraId="74514419" w14:textId="77777777" w:rsidR="009E7B06" w:rsidRDefault="009E7B06">
      <w:r>
        <w:continuationSeparator/>
      </w:r>
    </w:p>
  </w:footnote>
  <w:footnote w:id="1">
    <w:p w14:paraId="262B6D7A" w14:textId="674ED920" w:rsidR="002B7AF1" w:rsidRPr="002B7AF1" w:rsidRDefault="002B7AF1">
      <w:pPr>
        <w:pStyle w:val="FootnoteText"/>
        <w:rPr>
          <w:rFonts w:ascii="Times New Roman" w:hAnsi="Times New Roman" w:cs="Times New Roman"/>
        </w:rPr>
      </w:pPr>
      <w:r w:rsidRPr="002B7AF1">
        <w:rPr>
          <w:rStyle w:val="FootnoteReference"/>
          <w:rFonts w:ascii="Times New Roman" w:hAnsi="Times New Roman" w:cs="Times New Roman"/>
        </w:rPr>
        <w:footnoteRef/>
      </w:r>
      <w:r w:rsidRPr="002B7AF1">
        <w:rPr>
          <w:rFonts w:ascii="Times New Roman" w:hAnsi="Times New Roman" w:cs="Times New Roman"/>
        </w:rPr>
        <w:t xml:space="preserve"> </w:t>
      </w:r>
      <w:r w:rsidRPr="002B7AF1">
        <w:rPr>
          <w:rFonts w:ascii="Times New Roman" w:hAnsi="Times New Roman" w:cs="Times New Roman"/>
        </w:rPr>
        <w:t>The author thanks Jacob Faber, Jeff Manza, Myrna Pérez, Ariel White, Peter Miller, participants at the 2020 Annual Meeting of the Southern Political Science Association, and several blind reviewers for their comments on this project. All errors are my responsibility.</w:t>
      </w:r>
    </w:p>
  </w:footnote>
  <w:footnote w:id="2">
    <w:p w14:paraId="49779A4C" w14:textId="77777777" w:rsidR="00447730" w:rsidRPr="002B7AF1" w:rsidRDefault="009E7B06">
      <w:pPr>
        <w:pStyle w:val="FootnoteText"/>
        <w:rPr>
          <w:rFonts w:ascii="Times New Roman" w:hAnsi="Times New Roman" w:cs="Times New Roman"/>
        </w:rPr>
      </w:pPr>
      <w:r w:rsidRPr="002B7AF1">
        <w:rPr>
          <w:rStyle w:val="FootnoteReference"/>
          <w:rFonts w:ascii="Times New Roman" w:hAnsi="Times New Roman" w:cs="Times New Roman"/>
        </w:rPr>
        <w:footnoteRef/>
      </w:r>
      <w:r w:rsidRPr="002B7AF1">
        <w:rPr>
          <w:rFonts w:ascii="Times New Roman" w:hAnsi="Times New Roman" w:cs="Times New Roman"/>
        </w:rPr>
        <w:t xml:space="preserve"> Researcher, Brennan Center for Justice at NYU School of Law, 120 Broad</w:t>
      </w:r>
      <w:r w:rsidRPr="002B7AF1">
        <w:rPr>
          <w:rFonts w:ascii="Times New Roman" w:hAnsi="Times New Roman" w:cs="Times New Roman"/>
        </w:rPr>
        <w:t>way Ste 1750, New York, NY 10271 (</w:t>
      </w:r>
      <w:hyperlink r:id="rId1">
        <w:r w:rsidRPr="002B7AF1">
          <w:rPr>
            <w:rStyle w:val="Hyperlink"/>
            <w:rFonts w:ascii="Times New Roman" w:hAnsi="Times New Roman" w:cs="Times New Roman"/>
          </w:rPr>
          <w:t>kevin.morris@nyu.edu</w:t>
        </w:r>
      </w:hyperlink>
      <w:r w:rsidRPr="002B7AF1">
        <w:rPr>
          <w:rFonts w:ascii="Times New Roman" w:hAnsi="Times New Roman" w:cs="Times New Roman"/>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1AE401"/>
    <w:multiLevelType w:val="multilevel"/>
    <w:tmpl w:val="B61CEFA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2B7AF1"/>
    <w:rsid w:val="00447730"/>
    <w:rsid w:val="004E29B3"/>
    <w:rsid w:val="00590D07"/>
    <w:rsid w:val="00784D58"/>
    <w:rsid w:val="008D6863"/>
    <w:rsid w:val="009E7B06"/>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8295B7"/>
  <w15:docId w15:val="{36519DF8-F16F-40EC-A9EA-51E82A784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footnotes.xml.rels><?xml version="1.0" encoding="UTF-8" standalone="yes"?>
<Relationships xmlns="http://schemas.openxmlformats.org/package/2006/relationships"><Relationship Id="rId1" Type="http://schemas.openxmlformats.org/officeDocument/2006/relationships/hyperlink" Target="mailto:kevin.morris@ny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174</Words>
  <Characters>993</Characters>
  <Application>Microsoft Office Word</Application>
  <DocSecurity>0</DocSecurity>
  <Lines>8</Lines>
  <Paragraphs>2</Paragraphs>
  <ScaleCrop>false</ScaleCrop>
  <Company/>
  <LinksUpToDate>false</LinksUpToDate>
  <CharactersWithSpaces>1165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Neighborhoods and Felony Disenfranchisement: The Case of New York City</dc:title>
  <dc:creator>Kevin Morris</dc:creator>
  <cp:keywords/>
  <cp:lastModifiedBy>Kevin Morris</cp:lastModifiedBy>
  <cp:revision>2</cp:revision>
  <dcterms:created xsi:type="dcterms:W3CDTF">2020-04-01T18:50:00Z</dcterms:created>
  <dcterms:modified xsi:type="dcterms:W3CDTF">2020-04-01T18:50:00Z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Over the past two decades, scholars have sought to estimate the direct and indirect effects of felony disenfranchisement on political representation. This literature, however, has often overlooked both the geographic concentration of communities impacted </vt:lpwstr>
  </property>
  <property fmtid="{D5CDD505-2E9C-101B-9397-08002B2CF9AE}" pid="3" name="bibliography">
    <vt:lpwstr>../nyc_neighborhoods.bib</vt:lpwstr>
  </property>
  <property fmtid="{D5CDD505-2E9C-101B-9397-08002B2CF9AE}" pid="4" name="date">
    <vt:lpwstr>April 01, 2020</vt:lpwstr>
  </property>
  <property fmtid="{D5CDD505-2E9C-101B-9397-08002B2CF9AE}" pid="5" name="fontsize">
    <vt:lpwstr>12pt</vt:lpwstr>
  </property>
  <property fmtid="{D5CDD505-2E9C-101B-9397-08002B2CF9AE}" pid="6" name="header-includes">
    <vt:lpwstr/>
  </property>
  <property fmtid="{D5CDD505-2E9C-101B-9397-08002B2CF9AE}" pid="7" name="institute">
    <vt:lpwstr>Brennan Center for Justice</vt:lpwstr>
  </property>
  <property fmtid="{D5CDD505-2E9C-101B-9397-08002B2CF9AE}" pid="8" name="link-citations">
    <vt:lpwstr>yes</vt:lpwstr>
  </property>
  <property fmtid="{D5CDD505-2E9C-101B-9397-08002B2CF9AE}" pid="9" name="mainfont">
    <vt:lpwstr>Times New Roman</vt:lpwstr>
  </property>
  <property fmtid="{D5CDD505-2E9C-101B-9397-08002B2CF9AE}" pid="10" name="output">
    <vt:lpwstr>word_document</vt:lpwstr>
  </property>
  <property fmtid="{D5CDD505-2E9C-101B-9397-08002B2CF9AE}" pid="11" name="thanks">
    <vt:lpwstr>The author thanks Jacob Faber, Jeff Manza, Myrna Pérez, Ariel White, Peter Miller, participants at the 2020 Annual Meeting of the Southern Political Science Association, and several blind reviewers for their comments on this project. All errors are my res</vt:lpwstr>
  </property>
</Properties>
</file>