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3.png" ContentType="image/png"/>
  <Override PartName="/word/media/rId47.png" ContentType="image/png"/>
  <Override PartName="/word/media/rId43.png" ContentType="image/png"/>
  <Override PartName="/word/media/rId44.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Turnout</w:t>
      </w:r>
      <w:r>
        <w:t xml:space="preserve"> </w:t>
      </w:r>
      <w:r>
        <w:t xml:space="preserve">and</w:t>
      </w:r>
      <w:r>
        <w:t xml:space="preserve"> </w:t>
      </w:r>
      <w:r>
        <w:t xml:space="preserve">Amendment</w:t>
      </w:r>
      <w:r>
        <w:t xml:space="preserve"> </w:t>
      </w:r>
      <w:r>
        <w:t xml:space="preserve">4:</w:t>
      </w:r>
      <w:r>
        <w:t xml:space="preserve"> </w:t>
      </w:r>
      <w:r>
        <w:t xml:space="preserve">Mobilizing</w:t>
      </w:r>
      <w:r>
        <w:t xml:space="preserve"> </w:t>
      </w:r>
      <w:r>
        <w:t xml:space="preserve">Eligible</w:t>
      </w:r>
      <w:r>
        <w:t xml:space="preserve"> </w:t>
      </w:r>
      <w:r>
        <w:t xml:space="preserve">Voters</w:t>
      </w:r>
      <w:r>
        <w:t xml:space="preserve"> </w:t>
      </w:r>
      <w:r>
        <w:t xml:space="preserve">Close</w:t>
      </w:r>
      <w:r>
        <w:t xml:space="preserve"> </w:t>
      </w:r>
      <w:r>
        <w:t xml:space="preserve">to</w:t>
      </w:r>
      <w:r>
        <w:t xml:space="preserve"> </w:t>
      </w:r>
      <w:r>
        <w:t xml:space="preserve">the</w:t>
      </w:r>
      <w:r>
        <w:t xml:space="preserve"> </w:t>
      </w:r>
      <w:r>
        <w:t xml:space="preserve">Disenfranchised</w:t>
      </w:r>
    </w:p>
    <w:p>
      <w:pPr>
        <w:pStyle w:val="Author"/>
      </w:pPr>
      <w:r>
        <w:t xml:space="preserve">Kevin</w:t>
      </w:r>
      <w:r>
        <w:t xml:space="preserve"> </w:t>
      </w:r>
      <w:r>
        <w:t xml:space="preserve">Morris</w:t>
      </w:r>
      <w:r>
        <w:rPr>
          <w:rStyle w:val="FootnoteReference"/>
        </w:rPr>
        <w:footnoteReference w:id="20"/>
      </w:r>
    </w:p>
    <w:p>
      <w:pPr>
        <w:pStyle w:val="Date"/>
      </w:pPr>
      <w:r>
        <w:t xml:space="preserve">December</w:t>
      </w:r>
      <w:r>
        <w:t xml:space="preserve"> </w:t>
      </w:r>
      <w:r>
        <w:t xml:space="preserve">04,</w:t>
      </w:r>
      <w:r>
        <w:t xml:space="preserve"> </w:t>
      </w:r>
      <w:r>
        <w:t xml:space="preserve">2020</w:t>
      </w:r>
    </w:p>
    <w:p>
      <w:pPr>
        <w:pStyle w:val="Abstract"/>
      </w:pPr>
      <w:r>
        <w:t xml:space="preserve">Recent</w:t>
      </w:r>
      <w:r>
        <w:t xml:space="preserve"> </w:t>
      </w:r>
      <w:r>
        <w:t xml:space="preserve">scholarship</w:t>
      </w:r>
      <w:r>
        <w:t xml:space="preserve"> </w:t>
      </w:r>
      <w:r>
        <w:t xml:space="preserve">has</w:t>
      </w:r>
      <w:r>
        <w:t xml:space="preserve"> </w:t>
      </w:r>
      <w:r>
        <w:t xml:space="preserve">established</w:t>
      </w:r>
      <w:r>
        <w:t xml:space="preserve"> </w:t>
      </w:r>
      <w:r>
        <w:t xml:space="preserve">a</w:t>
      </w:r>
      <w:r>
        <w:t xml:space="preserve"> </w:t>
      </w:r>
      <w:r>
        <w:t xml:space="preserve">link</w:t>
      </w:r>
      <w:r>
        <w:t xml:space="preserve"> </w:t>
      </w:r>
      <w:r>
        <w:t xml:space="preserve">between</w:t>
      </w:r>
      <w:r>
        <w:t xml:space="preserve"> </w:t>
      </w:r>
      <w:r>
        <w:t xml:space="preserve">felony</w:t>
      </w:r>
      <w:r>
        <w:t xml:space="preserve"> </w:t>
      </w:r>
      <w:r>
        <w:t xml:space="preserve">disenfranchisement</w:t>
      </w:r>
      <w:r>
        <w:t xml:space="preserve"> </w:t>
      </w:r>
      <w:r>
        <w:t xml:space="preserve">and</w:t>
      </w:r>
      <w:r>
        <w:t xml:space="preserve"> </w:t>
      </w:r>
      <w:r>
        <w:t xml:space="preserve">lower</w:t>
      </w:r>
      <w:r>
        <w:t xml:space="preserve"> </w:t>
      </w:r>
      <w:r>
        <w:t xml:space="preserve">turnout,</w:t>
      </w:r>
      <w:r>
        <w:t xml:space="preserve"> </w:t>
      </w:r>
      <w:r>
        <w:t xml:space="preserve">particularly</w:t>
      </w:r>
      <w:r>
        <w:t xml:space="preserve"> </w:t>
      </w:r>
      <w:r>
        <w:t xml:space="preserve">in</w:t>
      </w:r>
      <w:r>
        <w:t xml:space="preserve"> </w:t>
      </w:r>
      <w:r>
        <w:t xml:space="preserve">Black</w:t>
      </w:r>
      <w:r>
        <w:t xml:space="preserve"> </w:t>
      </w:r>
      <w:r>
        <w:t xml:space="preserve">communities.</w:t>
      </w:r>
      <w:r>
        <w:t xml:space="preserve"> </w:t>
      </w:r>
      <w:r>
        <w:t xml:space="preserve">Little</w:t>
      </w:r>
      <w:r>
        <w:t xml:space="preserve"> </w:t>
      </w:r>
      <w:r>
        <w:t xml:space="preserve">work,</w:t>
      </w:r>
      <w:r>
        <w:t xml:space="preserve"> </w:t>
      </w:r>
      <w:r>
        <w:t xml:space="preserve">however,</w:t>
      </w:r>
      <w:r>
        <w:t xml:space="preserve"> </w:t>
      </w:r>
      <w:r>
        <w:t xml:space="preserve">has</w:t>
      </w:r>
      <w:r>
        <w:t xml:space="preserve"> </w:t>
      </w:r>
      <w:r>
        <w:t xml:space="preserve">been</w:t>
      </w:r>
      <w:r>
        <w:t xml:space="preserve"> </w:t>
      </w:r>
      <w:r>
        <w:t xml:space="preserve">done</w:t>
      </w:r>
      <w:r>
        <w:t xml:space="preserve"> </w:t>
      </w:r>
      <w:r>
        <w:t xml:space="preserve">to</w:t>
      </w:r>
      <w:r>
        <w:t xml:space="preserve"> </w:t>
      </w:r>
      <w:r>
        <w:t xml:space="preserve">interrogate</w:t>
      </w:r>
      <w:r>
        <w:t xml:space="preserve"> </w:t>
      </w:r>
      <w:r>
        <w:t xml:space="preserve">how</w:t>
      </w:r>
      <w:r>
        <w:t xml:space="preserve"> </w:t>
      </w:r>
      <w:r>
        <w:t xml:space="preserve">this</w:t>
      </w:r>
      <w:r>
        <w:t xml:space="preserve"> </w:t>
      </w:r>
      <w:r>
        <w:t xml:space="preserve">depressive</w:t>
      </w:r>
      <w:r>
        <w:t xml:space="preserve"> </w:t>
      </w:r>
      <w:r>
        <w:t xml:space="preserve">effect</w:t>
      </w:r>
      <w:r>
        <w:t xml:space="preserve"> </w:t>
      </w:r>
      <w:r>
        <w:t xml:space="preserve">might</w:t>
      </w:r>
      <w:r>
        <w:t xml:space="preserve"> </w:t>
      </w:r>
      <w:r>
        <w:t xml:space="preserve">be</w:t>
      </w:r>
      <w:r>
        <w:t xml:space="preserve"> </w:t>
      </w:r>
      <w:r>
        <w:t xml:space="preserve">counteracted.</w:t>
      </w:r>
      <w:r>
        <w:t xml:space="preserve"> </w:t>
      </w:r>
      <w:r>
        <w:t xml:space="preserve">In</w:t>
      </w:r>
      <w:r>
        <w:t xml:space="preserve"> </w:t>
      </w:r>
      <w:r>
        <w:t xml:space="preserve">2018,</w:t>
      </w:r>
      <w:r>
        <w:t xml:space="preserve"> </w:t>
      </w:r>
      <w:r>
        <w:t xml:space="preserve">Amendment</w:t>
      </w:r>
      <w:r>
        <w:t xml:space="preserve"> </w:t>
      </w:r>
      <w:r>
        <w:t xml:space="preserve">4</w:t>
      </w:r>
      <w:r>
        <w:t xml:space="preserve"> </w:t>
      </w:r>
      <w:r>
        <w:t xml:space="preserve">was</w:t>
      </w:r>
      <w:r>
        <w:t xml:space="preserve"> </w:t>
      </w:r>
      <w:r>
        <w:t xml:space="preserve">on</w:t>
      </w:r>
      <w:r>
        <w:t xml:space="preserve"> </w:t>
      </w:r>
      <w:r>
        <w:t xml:space="preserve">the</w:t>
      </w:r>
      <w:r>
        <w:t xml:space="preserve"> </w:t>
      </w:r>
      <w:r>
        <w:t xml:space="preserve">ballot</w:t>
      </w:r>
      <w:r>
        <w:t xml:space="preserve"> </w:t>
      </w:r>
      <w:r>
        <w:t xml:space="preserve">in</w:t>
      </w:r>
      <w:r>
        <w:t xml:space="preserve"> </w:t>
      </w:r>
      <w:r>
        <w:t xml:space="preserve">Florida,</w:t>
      </w:r>
      <w:r>
        <w:t xml:space="preserve"> </w:t>
      </w:r>
      <w:r>
        <w:t xml:space="preserve">and</w:t>
      </w:r>
      <w:r>
        <w:t xml:space="preserve"> </w:t>
      </w:r>
      <w:r>
        <w:t xml:space="preserve">promised</w:t>
      </w:r>
      <w:r>
        <w:t xml:space="preserve"> </w:t>
      </w:r>
      <w:r>
        <w:t xml:space="preserve">to</w:t>
      </w:r>
      <w:r>
        <w:t xml:space="preserve"> </w:t>
      </w:r>
      <w:r>
        <w:t xml:space="preserve">re-enfranchise</w:t>
      </w:r>
      <w:r>
        <w:t xml:space="preserve"> </w:t>
      </w:r>
      <w:r>
        <w:t xml:space="preserve">most</w:t>
      </w:r>
      <w:r>
        <w:t xml:space="preserve"> </w:t>
      </w:r>
      <w:r>
        <w:t xml:space="preserve">of</w:t>
      </w:r>
      <w:r>
        <w:t xml:space="preserve"> </w:t>
      </w:r>
      <w:r>
        <w:t xml:space="preserve">the</w:t>
      </w:r>
      <w:r>
        <w:t xml:space="preserve"> </w:t>
      </w:r>
      <w:r>
        <w:t xml:space="preserve">disenfranchised</w:t>
      </w:r>
      <w:r>
        <w:t xml:space="preserve"> </w:t>
      </w:r>
      <w:r>
        <w:t xml:space="preserve">population.</w:t>
      </w:r>
      <w:r>
        <w:t xml:space="preserve"> </w:t>
      </w:r>
      <w:r>
        <w:t xml:space="preserve">The</w:t>
      </w:r>
      <w:r>
        <w:t xml:space="preserve"> </w:t>
      </w:r>
      <w:r>
        <w:t xml:space="preserve">presence</w:t>
      </w:r>
      <w:r>
        <w:t xml:space="preserve"> </w:t>
      </w:r>
      <w:r>
        <w:t xml:space="preserve">of</w:t>
      </w:r>
      <w:r>
        <w:t xml:space="preserve"> </w:t>
      </w:r>
      <w:r>
        <w:t xml:space="preserve">this</w:t>
      </w:r>
      <w:r>
        <w:t xml:space="preserve"> </w:t>
      </w:r>
      <w:r>
        <w:t xml:space="preserve">ballot</w:t>
      </w:r>
      <w:r>
        <w:t xml:space="preserve"> </w:t>
      </w:r>
      <w:r>
        <w:t xml:space="preserve">initiative</w:t>
      </w:r>
      <w:r>
        <w:t xml:space="preserve"> </w:t>
      </w:r>
      <w:r>
        <w:t xml:space="preserve">offers</w:t>
      </w:r>
      <w:r>
        <w:t xml:space="preserve"> </w:t>
      </w:r>
      <w:r>
        <w:t xml:space="preserve">a</w:t>
      </w:r>
      <w:r>
        <w:t xml:space="preserve"> </w:t>
      </w:r>
      <w:r>
        <w:t xml:space="preserve">unique</w:t>
      </w:r>
      <w:r>
        <w:t xml:space="preserve"> </w:t>
      </w:r>
      <w:r>
        <w:t xml:space="preserve">opportunity</w:t>
      </w:r>
      <w:r>
        <w:t xml:space="preserve"> </w:t>
      </w:r>
      <w:r>
        <w:t xml:space="preserve">to</w:t>
      </w:r>
      <w:r>
        <w:t xml:space="preserve"> </w:t>
      </w:r>
      <w:r>
        <w:t xml:space="preserve">investigate</w:t>
      </w:r>
      <w:r>
        <w:t xml:space="preserve"> </w:t>
      </w:r>
      <w:r>
        <w:t xml:space="preserve">whether</w:t>
      </w:r>
      <w:r>
        <w:t xml:space="preserve"> </w:t>
      </w:r>
      <w:r>
        <w:t xml:space="preserve">ballot</w:t>
      </w:r>
      <w:r>
        <w:t xml:space="preserve"> </w:t>
      </w:r>
      <w:r>
        <w:t xml:space="preserve">initiatives</w:t>
      </w:r>
      <w:r>
        <w:t xml:space="preserve"> </w:t>
      </w:r>
      <w:r>
        <w:t xml:space="preserve">of</w:t>
      </w:r>
      <w:r>
        <w:t xml:space="preserve"> </w:t>
      </w:r>
      <w:r>
        <w:t xml:space="preserve">special</w:t>
      </w:r>
      <w:r>
        <w:t xml:space="preserve"> </w:t>
      </w:r>
      <w:r>
        <w:t xml:space="preserve">interest</w:t>
      </w:r>
      <w:r>
        <w:t xml:space="preserve"> </w:t>
      </w:r>
      <w:r>
        <w:t xml:space="preserve">to</w:t>
      </w:r>
      <w:r>
        <w:t xml:space="preserve"> </w:t>
      </w:r>
      <w:r>
        <w:t xml:space="preserve">these</w:t>
      </w:r>
      <w:r>
        <w:t xml:space="preserve"> </w:t>
      </w:r>
      <w:r>
        <w:t xml:space="preserve">impacted</w:t>
      </w:r>
      <w:r>
        <w:t xml:space="preserve"> </w:t>
      </w:r>
      <w:r>
        <w:t xml:space="preserve">communities</w:t>
      </w:r>
      <w:r>
        <w:t xml:space="preserve"> </w:t>
      </w:r>
      <w:r>
        <w:t xml:space="preserve">might</w:t>
      </w:r>
      <w:r>
        <w:t xml:space="preserve"> </w:t>
      </w:r>
      <w:r>
        <w:t xml:space="preserve">ameliorate</w:t>
      </w:r>
      <w:r>
        <w:t xml:space="preserve"> </w:t>
      </w:r>
      <w:r>
        <w:t xml:space="preserve">some</w:t>
      </w:r>
      <w:r>
        <w:t xml:space="preserve"> </w:t>
      </w:r>
      <w:r>
        <w:t xml:space="preserve">of</w:t>
      </w:r>
      <w:r>
        <w:t xml:space="preserve"> </w:t>
      </w:r>
      <w:r>
        <w:t xml:space="preserve">the</w:t>
      </w:r>
      <w:r>
        <w:t xml:space="preserve"> </w:t>
      </w:r>
      <w:r>
        <w:t xml:space="preserve">depressed</w:t>
      </w:r>
      <w:r>
        <w:t xml:space="preserve"> </w:t>
      </w:r>
      <w:r>
        <w:t xml:space="preserve">turnout</w:t>
      </w:r>
      <w:r>
        <w:t xml:space="preserve"> </w:t>
      </w:r>
      <w:r>
        <w:t xml:space="preserve">in</w:t>
      </w:r>
      <w:r>
        <w:t xml:space="preserve"> </w:t>
      </w:r>
      <w:r>
        <w:t xml:space="preserve">those</w:t>
      </w:r>
      <w:r>
        <w:t xml:space="preserve"> </w:t>
      </w:r>
      <w:r>
        <w:t xml:space="preserve">communities.</w:t>
      </w:r>
      <w:r>
        <w:t xml:space="preserve"> </w:t>
      </w:r>
      <w:r>
        <w:t xml:space="preserve">Using</w:t>
      </w:r>
      <w:r>
        <w:t xml:space="preserve"> </w:t>
      </w:r>
      <w:r>
        <w:t xml:space="preserve">individual-level</w:t>
      </w:r>
      <w:r>
        <w:t xml:space="preserve"> </w:t>
      </w:r>
      <w:r>
        <w:t xml:space="preserve">release</w:t>
      </w:r>
      <w:r>
        <w:t xml:space="preserve"> </w:t>
      </w:r>
      <w:r>
        <w:t xml:space="preserve">records</w:t>
      </w:r>
      <w:r>
        <w:t xml:space="preserve"> </w:t>
      </w:r>
      <w:r>
        <w:t xml:space="preserve">from</w:t>
      </w:r>
      <w:r>
        <w:t xml:space="preserve"> </w:t>
      </w:r>
      <w:r>
        <w:t xml:space="preserve">the</w:t>
      </w:r>
      <w:r>
        <w:t xml:space="preserve"> </w:t>
      </w:r>
      <w:r>
        <w:t xml:space="preserve">Florida</w:t>
      </w:r>
      <w:r>
        <w:t xml:space="preserve"> </w:t>
      </w:r>
      <w:r>
        <w:t xml:space="preserve">Department</w:t>
      </w:r>
      <w:r>
        <w:t xml:space="preserve"> </w:t>
      </w:r>
      <w:r>
        <w:t xml:space="preserve">of</w:t>
      </w:r>
      <w:r>
        <w:t xml:space="preserve"> </w:t>
      </w:r>
      <w:r>
        <w:t xml:space="preserve">Corrections</w:t>
      </w:r>
      <w:r>
        <w:t xml:space="preserve"> </w:t>
      </w:r>
      <w:r>
        <w:t xml:space="preserve">I</w:t>
      </w:r>
      <w:r>
        <w:t xml:space="preserve"> </w:t>
      </w:r>
      <w:r>
        <w:t xml:space="preserve">test</w:t>
      </w:r>
      <w:r>
        <w:t xml:space="preserve"> </w:t>
      </w:r>
      <w:r>
        <w:t xml:space="preserve">whether</w:t>
      </w:r>
      <w:r>
        <w:t xml:space="preserve"> </w:t>
      </w:r>
      <w:r>
        <w:t xml:space="preserve">the</w:t>
      </w:r>
      <w:r>
        <w:t xml:space="preserve"> </w:t>
      </w:r>
      <w:r>
        <w:t xml:space="preserve">ballot</w:t>
      </w:r>
      <w:r>
        <w:t xml:space="preserve"> </w:t>
      </w:r>
      <w:r>
        <w:t xml:space="preserve">initiative</w:t>
      </w:r>
      <w:r>
        <w:t xml:space="preserve"> </w:t>
      </w:r>
      <w:r>
        <w:t xml:space="preserve">mobilized</w:t>
      </w:r>
      <w:r>
        <w:t xml:space="preserve"> </w:t>
      </w:r>
      <w:r>
        <w:t xml:space="preserve">neighborhoods</w:t>
      </w:r>
      <w:r>
        <w:t xml:space="preserve"> </w:t>
      </w:r>
      <w:r>
        <w:t xml:space="preserve">and</w:t>
      </w:r>
      <w:r>
        <w:t xml:space="preserve"> </w:t>
      </w:r>
      <w:r>
        <w:t xml:space="preserve">individuals</w:t>
      </w:r>
      <w:r>
        <w:t xml:space="preserve"> </w:t>
      </w:r>
      <w:r>
        <w:t xml:space="preserve">in</w:t>
      </w:r>
      <w:r>
        <w:t xml:space="preserve"> </w:t>
      </w:r>
      <w:r>
        <w:t xml:space="preserve">close</w:t>
      </w:r>
      <w:r>
        <w:t xml:space="preserve"> </w:t>
      </w:r>
      <w:r>
        <w:t xml:space="preserve">proximity</w:t>
      </w:r>
      <w:r>
        <w:t xml:space="preserve"> </w:t>
      </w:r>
      <w:r>
        <w:t xml:space="preserve">to</w:t>
      </w:r>
      <w:r>
        <w:t xml:space="preserve"> </w:t>
      </w:r>
      <w:r>
        <w:t xml:space="preserve">formerly</w:t>
      </w:r>
      <w:r>
        <w:t xml:space="preserve"> </w:t>
      </w:r>
      <w:r>
        <w:t xml:space="preserve">incarcerated</w:t>
      </w:r>
      <w:r>
        <w:t xml:space="preserve"> </w:t>
      </w:r>
      <w:r>
        <w:t xml:space="preserve">individuals.</w:t>
      </w:r>
      <w:r>
        <w:t xml:space="preserve"> </w:t>
      </w:r>
      <w:r>
        <w:t xml:space="preserve">Using</w:t>
      </w:r>
      <w:r>
        <w:t xml:space="preserve"> </w:t>
      </w:r>
      <w:r>
        <w:t xml:space="preserve">multiple</w:t>
      </w:r>
      <w:r>
        <w:t xml:space="preserve"> </w:t>
      </w:r>
      <w:r>
        <w:t xml:space="preserve">identification</w:t>
      </w:r>
      <w:r>
        <w:t xml:space="preserve"> </w:t>
      </w:r>
      <w:r>
        <w:t xml:space="preserve">strategies,</w:t>
      </w:r>
      <w:r>
        <w:t xml:space="preserve"> </w:t>
      </w:r>
      <w:r>
        <w:t xml:space="preserve">I</w:t>
      </w:r>
      <w:r>
        <w:t xml:space="preserve"> </w:t>
      </w:r>
      <w:r>
        <w:t xml:space="preserve">find</w:t>
      </w:r>
      <w:r>
        <w:t xml:space="preserve"> </w:t>
      </w:r>
      <w:r>
        <w:t xml:space="preserve">no</w:t>
      </w:r>
      <w:r>
        <w:t xml:space="preserve"> </w:t>
      </w:r>
      <w:r>
        <w:t xml:space="preserve">evidence</w:t>
      </w:r>
      <w:r>
        <w:t xml:space="preserve"> </w:t>
      </w:r>
      <w:r>
        <w:t xml:space="preserve">that</w:t>
      </w:r>
      <w:r>
        <w:t xml:space="preserve"> </w:t>
      </w:r>
      <w:r>
        <w:t xml:space="preserve">Amendment</w:t>
      </w:r>
      <w:r>
        <w:t xml:space="preserve"> </w:t>
      </w:r>
      <w:r>
        <w:t xml:space="preserve">4</w:t>
      </w:r>
      <w:r>
        <w:t xml:space="preserve"> </w:t>
      </w:r>
      <w:r>
        <w:t xml:space="preserve">increased</w:t>
      </w:r>
      <w:r>
        <w:t xml:space="preserve"> </w:t>
      </w:r>
      <w:r>
        <w:t xml:space="preserve">the</w:t>
      </w:r>
      <w:r>
        <w:t xml:space="preserve"> </w:t>
      </w:r>
      <w:r>
        <w:t xml:space="preserve">turnout</w:t>
      </w:r>
      <w:r>
        <w:t xml:space="preserve"> </w:t>
      </w:r>
      <w:r>
        <w:t xml:space="preserve">of</w:t>
      </w:r>
      <w:r>
        <w:t xml:space="preserve"> </w:t>
      </w:r>
      <w:r>
        <w:t xml:space="preserve">these</w:t>
      </w:r>
      <w:r>
        <w:t xml:space="preserve"> </w:t>
      </w:r>
      <w:r>
        <w:t xml:space="preserve">neighborhoods</w:t>
      </w:r>
      <w:r>
        <w:t xml:space="preserve"> </w:t>
      </w:r>
      <w:r>
        <w:t xml:space="preserve">or</w:t>
      </w:r>
      <w:r>
        <w:t xml:space="preserve"> </w:t>
      </w:r>
      <w:r>
        <w:t xml:space="preserve">eligible</w:t>
      </w:r>
      <w:r>
        <w:t xml:space="preserve"> </w:t>
      </w:r>
      <w:r>
        <w:t xml:space="preserve">voters,</w:t>
      </w:r>
      <w:r>
        <w:t xml:space="preserve"> </w:t>
      </w:r>
      <w:r>
        <w:t xml:space="preserve">indicating</w:t>
      </w:r>
      <w:r>
        <w:t xml:space="preserve"> </w:t>
      </w:r>
      <w:r>
        <w:t xml:space="preserve">that</w:t>
      </w:r>
      <w:r>
        <w:t xml:space="preserve"> </w:t>
      </w:r>
      <w:r>
        <w:t xml:space="preserve">even</w:t>
      </w:r>
      <w:r>
        <w:t xml:space="preserve"> </w:t>
      </w:r>
      <w:r>
        <w:t xml:space="preserve">greater</w:t>
      </w:r>
      <w:r>
        <w:t xml:space="preserve"> </w:t>
      </w:r>
      <w:r>
        <w:t xml:space="preserve">engagement</w:t>
      </w:r>
      <w:r>
        <w:t xml:space="preserve"> </w:t>
      </w:r>
      <w:r>
        <w:t xml:space="preserve">and</w:t>
      </w:r>
      <w:r>
        <w:t xml:space="preserve"> </w:t>
      </w:r>
      <w:r>
        <w:t xml:space="preserve">investments</w:t>
      </w:r>
      <w:r>
        <w:t xml:space="preserve"> </w:t>
      </w:r>
      <w:r>
        <w:t xml:space="preserve">must</w:t>
      </w:r>
      <w:r>
        <w:t xml:space="preserve"> </w:t>
      </w:r>
      <w:r>
        <w:t xml:space="preserve">be</w:t>
      </w:r>
      <w:r>
        <w:t xml:space="preserve"> </w:t>
      </w:r>
      <w:r>
        <w:t xml:space="preserve">made</w:t>
      </w:r>
      <w:r>
        <w:t xml:space="preserve"> </w:t>
      </w:r>
      <w:r>
        <w:t xml:space="preserve">to</w:t>
      </w:r>
      <w:r>
        <w:t xml:space="preserve"> </w:t>
      </w:r>
      <w:r>
        <w:t xml:space="preserve">overcome</w:t>
      </w:r>
      <w:r>
        <w:t xml:space="preserve"> </w:t>
      </w:r>
      <w:r>
        <w:t xml:space="preserve">the</w:t>
      </w:r>
      <w:r>
        <w:t xml:space="preserve"> </w:t>
      </w:r>
      <w:r>
        <w:t xml:space="preserve">depressed</w:t>
      </w:r>
      <w:r>
        <w:t xml:space="preserve"> </w:t>
      </w:r>
      <w:r>
        <w:t xml:space="preserve">turnout</w:t>
      </w:r>
      <w:r>
        <w:t xml:space="preserve"> </w:t>
      </w:r>
      <w:r>
        <w:t xml:space="preserve">out</w:t>
      </w:r>
      <w:r>
        <w:t xml:space="preserve"> </w:t>
      </w:r>
      <w:r>
        <w:t xml:space="preserve">than</w:t>
      </w:r>
      <w:r>
        <w:t xml:space="preserve"> </w:t>
      </w:r>
      <w:r>
        <w:t xml:space="preserve">a</w:t>
      </w:r>
      <w:r>
        <w:t xml:space="preserve"> </w:t>
      </w:r>
      <w:r>
        <w:t xml:space="preserve">one-off</w:t>
      </w:r>
      <w:r>
        <w:t xml:space="preserve"> </w:t>
      </w:r>
      <w:r>
        <w:t xml:space="preserve">ballot</w:t>
      </w:r>
      <w:r>
        <w:t xml:space="preserve"> </w:t>
      </w:r>
      <w:r>
        <w:t xml:space="preserve">initiative.</w:t>
      </w:r>
    </w:p>
    <w:p>
      <w:pPr>
        <w:pStyle w:val="Heading2"/>
      </w:pPr>
      <w:bookmarkStart w:id="22" w:name="introduction"/>
      <w:r>
        <w:t xml:space="preserve">Introduction</w:t>
      </w:r>
      <w:bookmarkEnd w:id="22"/>
    </w:p>
    <w:p>
      <w:pPr>
        <w:pStyle w:val="FirstParagraph"/>
      </w:pPr>
      <w:r>
        <w:t xml:space="preserve">On November 6</w:t>
      </w:r>
      <w:r>
        <w:rPr>
          <w:vertAlign w:val="superscript"/>
        </w:rPr>
        <w:t xml:space="preserve">th</w:t>
      </w:r>
      <w:r>
        <w:t xml:space="preserve">, 2018, Floridians voted to amend their state constitution to re-enfranchise individuals with felony convictions in their past</w:t>
      </w:r>
      <w:r>
        <w:t xml:space="preserve"> </w:t>
      </w:r>
      <w:r>
        <w:t xml:space="preserve">(Taylor</w:t>
      </w:r>
      <w:r>
        <w:t xml:space="preserve"> </w:t>
      </w:r>
      <w:hyperlink w:anchor="ref-Taylor2018">
        <w:r>
          <w:rPr>
            <w:rStyle w:val="Hyperlink"/>
          </w:rPr>
          <w:t xml:space="preserve">2018</w:t>
        </w:r>
      </w:hyperlink>
      <w:r>
        <w:t xml:space="preserve">)</w:t>
      </w:r>
      <w:r>
        <w:t xml:space="preserve">. The move was hailed as transformative for Floridian — and American — democracy;</w:t>
      </w:r>
      <w:r>
        <w:t xml:space="preserve"> </w:t>
      </w:r>
      <w:r>
        <w:t xml:space="preserve">Uggen, Larson, and Shannon (</w:t>
      </w:r>
      <w:hyperlink w:anchor="ref-sentencing_2016">
        <w:r>
          <w:rPr>
            <w:rStyle w:val="Hyperlink"/>
          </w:rPr>
          <w:t xml:space="preserve">2016</w:t>
        </w:r>
      </w:hyperlink>
      <w:r>
        <w:t xml:space="preserve">)</w:t>
      </w:r>
      <w:r>
        <w:t xml:space="preserve"> </w:t>
      </w:r>
      <w:r>
        <w:t xml:space="preserve">had estimated a few years earlier that some 1.5 million Floridians were disenfranchised and had finished serving their sentences, making the amendment the largest expansion of the franchise in the United States since the Twenty-sixth Amendment lowered the voting age to 18. The amendment received broad support. Although it needed just 60 percent of the vote to pass, 64.5 percent of voters supported the ballot initiative. This support contrasts sharply with other statewide races: Ron DeSantis won the gubernatorial race with only 49.5 percent of the vote, while winning just 49.9 percent sent Rick Scott to the United States Senate.</w:t>
      </w:r>
    </w:p>
    <w:p>
      <w:pPr>
        <w:pStyle w:val="BodyText"/>
      </w:pPr>
      <w:r>
        <w:t xml:space="preserve">Prior to 2018, Floridians convicted of felony offenses were permanently disenfranchised unless they applied for and received an individual pardon from the state’s clemency board. This was characterized by a</w:t>
      </w:r>
      <w:r>
        <w:t xml:space="preserve"> </w:t>
      </w:r>
      <w:r>
        <w:t xml:space="preserve">“</w:t>
      </w:r>
      <w:r>
        <w:t xml:space="preserve">low success rate, cumbersome process, and lengthy amount of time</w:t>
      </w:r>
      <w:r>
        <w:t xml:space="preserve">”</w:t>
      </w:r>
      <w:r>
        <w:t xml:space="preserve"> </w:t>
      </w:r>
      <w:r>
        <w:t xml:space="preserve">(B. L. Miller and Spillane</w:t>
      </w:r>
      <w:r>
        <w:t xml:space="preserve"> </w:t>
      </w:r>
      <w:hyperlink w:anchor="ref-Miller2012a">
        <w:r>
          <w:rPr>
            <w:rStyle w:val="Hyperlink"/>
          </w:rPr>
          <w:t xml:space="preserve">2012</w:t>
        </w:r>
      </w:hyperlink>
      <w:hyperlink w:anchor="ref-Miller2012a">
        <w:r>
          <w:rPr>
            <w:rStyle w:val="Hyperlink"/>
          </w:rPr>
          <w:t xml:space="preserve">b</w:t>
        </w:r>
      </w:hyperlink>
      <w:r>
        <w:t xml:space="preserve">, 432)</w:t>
      </w:r>
      <w:r>
        <w:t xml:space="preserve"> </w:t>
      </w:r>
      <w:r>
        <w:t xml:space="preserve">and was driven in part by gubernatorial discretion: although Charlie Crist restored voting rights to roughly 150 thousand individuals over a 4 year period, Rick Scott did so for fewer than 3 thousand people over 8 years</w:t>
      </w:r>
      <w:r>
        <w:t xml:space="preserve"> </w:t>
      </w:r>
      <w:r>
        <w:t xml:space="preserve">(Schlakman</w:t>
      </w:r>
      <w:r>
        <w:t xml:space="preserve"> </w:t>
      </w:r>
      <w:hyperlink w:anchor="ref-Schlakman2018">
        <w:r>
          <w:rPr>
            <w:rStyle w:val="Hyperlink"/>
          </w:rPr>
          <w:t xml:space="preserve">2018</w:t>
        </w:r>
      </w:hyperlink>
      <w:r>
        <w:t xml:space="preserve">)</w:t>
      </w:r>
      <w:r>
        <w:t xml:space="preserve">. At the time Amendment 4 was passed, it was widely reported that the backlog of applications was nearly 10,000 and the wait stretched for as long as a decade</w:t>
      </w:r>
      <w:r>
        <w:t xml:space="preserve"> </w:t>
      </w:r>
      <w:r>
        <w:t xml:space="preserve">(Ramadan, Stucka, and Washington</w:t>
      </w:r>
      <w:r>
        <w:t xml:space="preserve"> </w:t>
      </w:r>
      <w:hyperlink w:anchor="ref-Ramadan2018">
        <w:r>
          <w:rPr>
            <w:rStyle w:val="Hyperlink"/>
          </w:rPr>
          <w:t xml:space="preserve">2018</w:t>
        </w:r>
      </w:hyperlink>
      <w:r>
        <w:t xml:space="preserve">)</w:t>
      </w:r>
      <w:r>
        <w:t xml:space="preserve">. Over the years, Florida’s procedure was subject to numerous lawsuits, and was ruled unconstitutional in early 2018 with Judge Mark Walker describing it as</w:t>
      </w:r>
      <w:r>
        <w:t xml:space="preserve"> </w:t>
      </w:r>
      <w:r>
        <w:t xml:space="preserve">“</w:t>
      </w:r>
      <w:r>
        <w:t xml:space="preserve">a gauntlet of constitutionally infirm hurdles.</w:t>
      </w:r>
      <w:r>
        <w:t xml:space="preserve">”</w:t>
      </w:r>
      <w:r>
        <w:rPr>
          <w:rStyle w:val="FootnoteReference"/>
        </w:rPr>
        <w:footnoteReference w:id="23"/>
      </w:r>
      <w:r>
        <w:t xml:space="preserve"> </w:t>
      </w:r>
      <w:r>
        <w:t xml:space="preserve">Amendment 4 promised to automatically restore voting rights once individuals had completed their sentence, though it did not apply to individuals convicted of murder or sexual offenses.</w:t>
      </w:r>
    </w:p>
    <w:p>
      <w:pPr>
        <w:pStyle w:val="BodyText"/>
      </w:pPr>
      <w:r>
        <w:t xml:space="preserve">This study explores whether the opportunity to vote on Amendment 4 increased participation among eligible voters who lived with or near individuals disenfranchised due to a period of felony incarceration. Americans’ political knowledge is deeply shaped by the incarceration of a loved one</w:t>
      </w:r>
      <w:r>
        <w:t xml:space="preserve"> </w:t>
      </w:r>
      <w:r>
        <w:t xml:space="preserve">(Lee, Porter, and Comfort</w:t>
      </w:r>
      <w:r>
        <w:t xml:space="preserve"> </w:t>
      </w:r>
      <w:hyperlink w:anchor="ref-Lee2014">
        <w:r>
          <w:rPr>
            <w:rStyle w:val="Hyperlink"/>
          </w:rPr>
          <w:t xml:space="preserve">2014</w:t>
        </w:r>
      </w:hyperlink>
      <w:r>
        <w:t xml:space="preserve">)</w:t>
      </w:r>
      <w:r>
        <w:t xml:space="preserve">, and exposure to the carceral state chills political involvement even among individuals who are not convicted. Even indirect contact with the criminal justice system leaves would-be voters feeling as though political involvement is not for</w:t>
      </w:r>
      <w:r>
        <w:t xml:space="preserve"> </w:t>
      </w:r>
      <w:r>
        <w:t xml:space="preserve">“</w:t>
      </w:r>
      <w:r>
        <w:t xml:space="preserve">people like me,</w:t>
      </w:r>
      <w:r>
        <w:t xml:space="preserve">”</w:t>
      </w:r>
      <w:r>
        <w:t xml:space="preserve"> </w:t>
      </w:r>
      <w:r>
        <w:t xml:space="preserve">often despite having considerable political knowledge</w:t>
      </w:r>
      <w:r>
        <w:t xml:space="preserve"> </w:t>
      </w:r>
      <w:r>
        <w:t xml:space="preserve">(Lerman and Weaver</w:t>
      </w:r>
      <w:r>
        <w:t xml:space="preserve"> </w:t>
      </w:r>
      <w:hyperlink w:anchor="ref-Lerman2014">
        <w:r>
          <w:rPr>
            <w:rStyle w:val="Hyperlink"/>
          </w:rPr>
          <w:t xml:space="preserve">2014</w:t>
        </w:r>
      </w:hyperlink>
      <w:r>
        <w:t xml:space="preserve">)</w:t>
      </w:r>
      <w:r>
        <w:t xml:space="preserve">. A growing body of quantitative research captures these</w:t>
      </w:r>
      <w:r>
        <w:t xml:space="preserve"> </w:t>
      </w:r>
      <w:r>
        <w:t xml:space="preserve">“</w:t>
      </w:r>
      <w:r>
        <w:t xml:space="preserve">spillover</w:t>
      </w:r>
      <w:r>
        <w:t xml:space="preserve">”</w:t>
      </w:r>
      <w:r>
        <w:t xml:space="preserve"> </w:t>
      </w:r>
      <w:r>
        <w:t xml:space="preserve">effects, demonstrating that neighborhoods with high levels of incarceration and disenfranchisement vote at markedly lower rates than other similar neighborhoods</w:t>
      </w:r>
      <w:r>
        <w:t xml:space="preserve"> </w:t>
      </w:r>
      <w:r>
        <w:t xml:space="preserve">(e.g. Burch</w:t>
      </w:r>
      <w:r>
        <w:t xml:space="preserve"> </w:t>
      </w:r>
      <w:hyperlink w:anchor="ref-Burch2013">
        <w:r>
          <w:rPr>
            <w:rStyle w:val="Hyperlink"/>
          </w:rPr>
          <w:t xml:space="preserve">2013</w:t>
        </w:r>
      </w:hyperlink>
      <w:r>
        <w:t xml:space="preserve">; Morris</w:t>
      </w:r>
      <w:r>
        <w:t xml:space="preserve"> </w:t>
      </w:r>
      <w:hyperlink w:anchor="ref-Morris2020">
        <w:r>
          <w:rPr>
            <w:rStyle w:val="Hyperlink"/>
          </w:rPr>
          <w:t xml:space="preserve">2020</w:t>
        </w:r>
      </w:hyperlink>
      <w:r>
        <w:t xml:space="preserve">)</w:t>
      </w:r>
      <w:r>
        <w:t xml:space="preserve">.</w:t>
      </w:r>
    </w:p>
    <w:p>
      <w:pPr>
        <w:pStyle w:val="BodyText"/>
      </w:pPr>
      <w:r>
        <w:t xml:space="preserve">Amendment 4 in Florida offers a unique opportunity to investigate whether these chilling effects can be overcome by a ballot initiative. As I explain in the section that follows, Amendment 4 offered individuals living with or near formerly incarcerated individuals an opportunity to redefine their relationship with the government in positive ways. Although the ballot initiative was perhaps particularly salient for these individuals, it took place against the backdrop of an entrenched carceral state that negatively structured many facets of their lives</w:t>
      </w:r>
      <w:r>
        <w:t xml:space="preserve"> </w:t>
      </w:r>
      <w:r>
        <w:t xml:space="preserve">(see, for instance, Travis and Waul</w:t>
      </w:r>
      <w:r>
        <w:t xml:space="preserve"> </w:t>
      </w:r>
      <w:hyperlink w:anchor="ref-Travis2003">
        <w:r>
          <w:rPr>
            <w:rStyle w:val="Hyperlink"/>
          </w:rPr>
          <w:t xml:space="preserve">2003</w:t>
        </w:r>
      </w:hyperlink>
      <w:r>
        <w:t xml:space="preserve">)</w:t>
      </w:r>
      <w:r>
        <w:t xml:space="preserve">. It is unclear whether the ballot initiative was sufficient to bring these individuals into the voting booth, or if the fight for political reincorporation will demand longer-term investment in these communities.</w:t>
      </w:r>
    </w:p>
    <w:p>
      <w:pPr>
        <w:pStyle w:val="Heading2"/>
      </w:pPr>
      <w:bookmarkStart w:id="24" w:name="theory-and-literature"/>
      <w:r>
        <w:t xml:space="preserve">Theory and Literature</w:t>
      </w:r>
      <w:bookmarkEnd w:id="24"/>
    </w:p>
    <w:p>
      <w:pPr>
        <w:pStyle w:val="FirstParagraph"/>
      </w:pPr>
      <w:r>
        <w:t xml:space="preserve">It is well established that a criminal conviction — and, more specifically, a period of incarceration — decreases turnout even when individuals are no longer legally disenfranchised</w:t>
      </w:r>
      <w:r>
        <w:t xml:space="preserve"> </w:t>
      </w:r>
      <w:r>
        <w:t xml:space="preserve">(Weaver and Lerman</w:t>
      </w:r>
      <w:r>
        <w:t xml:space="preserve"> </w:t>
      </w:r>
      <w:hyperlink w:anchor="ref-Weaver2010">
        <w:r>
          <w:rPr>
            <w:rStyle w:val="Hyperlink"/>
          </w:rPr>
          <w:t xml:space="preserve">2010</w:t>
        </w:r>
      </w:hyperlink>
      <w:r>
        <w:t xml:space="preserve">; Burch</w:t>
      </w:r>
      <w:r>
        <w:t xml:space="preserve"> </w:t>
      </w:r>
      <w:hyperlink w:anchor="ref-Burch2011">
        <w:r>
          <w:rPr>
            <w:rStyle w:val="Hyperlink"/>
          </w:rPr>
          <w:t xml:space="preserve">2011</w:t>
        </w:r>
      </w:hyperlink>
      <w:r>
        <w:t xml:space="preserve">; White</w:t>
      </w:r>
      <w:r>
        <w:t xml:space="preserve"> </w:t>
      </w:r>
      <w:hyperlink w:anchor="ref-White2019">
        <w:r>
          <w:rPr>
            <w:rStyle w:val="Hyperlink"/>
          </w:rPr>
          <w:t xml:space="preserve">2019</w:t>
        </w:r>
      </w:hyperlink>
      <w:hyperlink w:anchor="ref-White2019">
        <w:r>
          <w:rPr>
            <w:rStyle w:val="Hyperlink"/>
          </w:rPr>
          <w:t xml:space="preserve">b</w:t>
        </w:r>
      </w:hyperlink>
      <w:r>
        <w:t xml:space="preserve">; but see Gerber et al.</w:t>
      </w:r>
      <w:r>
        <w:t xml:space="preserve"> </w:t>
      </w:r>
      <w:hyperlink w:anchor="ref-Gerber2017">
        <w:r>
          <w:rPr>
            <w:rStyle w:val="Hyperlink"/>
          </w:rPr>
          <w:t xml:space="preserve">2017</w:t>
        </w:r>
      </w:hyperlink>
      <w:r>
        <w:t xml:space="preserve">)</w:t>
      </w:r>
      <w:r>
        <w:t xml:space="preserve">. The effect of disenfranchisement policy on the political behavior of individuals who experience the criminal justice system indirectly via the conviction of a family or community member, however, is somewhat mixed. Most research finds that turnout is substantially lower in states with stricter voter disenfranchisement policies or more disenfranchised citizens</w:t>
      </w:r>
      <w:r>
        <w:t xml:space="preserve"> </w:t>
      </w:r>
      <w:r>
        <w:t xml:space="preserve">(e.g. Bowers and Preuhs</w:t>
      </w:r>
      <w:r>
        <w:t xml:space="preserve"> </w:t>
      </w:r>
      <w:hyperlink w:anchor="ref-Bowers2009">
        <w:r>
          <w:rPr>
            <w:rStyle w:val="Hyperlink"/>
          </w:rPr>
          <w:t xml:space="preserve">2009</w:t>
        </w:r>
      </w:hyperlink>
      <w:r>
        <w:t xml:space="preserve">; King and Erickson</w:t>
      </w:r>
      <w:r>
        <w:t xml:space="preserve"> </w:t>
      </w:r>
      <w:hyperlink w:anchor="ref-King2016">
        <w:r>
          <w:rPr>
            <w:rStyle w:val="Hyperlink"/>
          </w:rPr>
          <w:t xml:space="preserve">2016</w:t>
        </w:r>
      </w:hyperlink>
      <w:r>
        <w:t xml:space="preserve">)</w:t>
      </w:r>
      <w:r>
        <w:t xml:space="preserve">, though</w:t>
      </w:r>
      <w:r>
        <w:t xml:space="preserve"> </w:t>
      </w:r>
      <w:r>
        <w:t xml:space="preserve">Miles (</w:t>
      </w:r>
      <w:hyperlink w:anchor="ref-Miles2004">
        <w:r>
          <w:rPr>
            <w:rStyle w:val="Hyperlink"/>
          </w:rPr>
          <w:t xml:space="preserve">2004</w:t>
        </w:r>
      </w:hyperlink>
      <w:r>
        <w:t xml:space="preserve">)</w:t>
      </w:r>
      <w:r>
        <w:t xml:space="preserve"> </w:t>
      </w:r>
      <w:r>
        <w:t xml:space="preserve">argues that these effects are small. The little research that has explored the spillover effects of disenfranchisement policy at the</w:t>
      </w:r>
      <w:r>
        <w:t xml:space="preserve"> </w:t>
      </w:r>
      <w:r>
        <w:rPr>
          <w:i/>
        </w:rPr>
        <w:t xml:space="preserve">neighborhood</w:t>
      </w:r>
      <w:r>
        <w:t xml:space="preserve"> </w:t>
      </w:r>
      <w:r>
        <w:t xml:space="preserve">level has similarly found evidence that incarceration and disenfranchisement demobilizes eligible voters in impacted communities</w:t>
      </w:r>
      <w:r>
        <w:t xml:space="preserve"> </w:t>
      </w:r>
      <w:r>
        <w:t xml:space="preserve">(Burch</w:t>
      </w:r>
      <w:r>
        <w:t xml:space="preserve"> </w:t>
      </w:r>
      <w:hyperlink w:anchor="ref-Burch2013">
        <w:r>
          <w:rPr>
            <w:rStyle w:val="Hyperlink"/>
          </w:rPr>
          <w:t xml:space="preserve">2013</w:t>
        </w:r>
      </w:hyperlink>
      <w:r>
        <w:t xml:space="preserve">; Morris</w:t>
      </w:r>
      <w:r>
        <w:t xml:space="preserve"> </w:t>
      </w:r>
      <w:hyperlink w:anchor="ref-Morris2020">
        <w:r>
          <w:rPr>
            <w:rStyle w:val="Hyperlink"/>
          </w:rPr>
          <w:t xml:space="preserve">2020</w:t>
        </w:r>
      </w:hyperlink>
      <w:r>
        <w:t xml:space="preserve">)</w:t>
      </w:r>
      <w:r>
        <w:t xml:space="preserve">.</w:t>
      </w:r>
    </w:p>
    <w:p>
      <w:pPr>
        <w:pStyle w:val="BodyText"/>
      </w:pPr>
      <w:r>
        <w:t xml:space="preserve">Understanding whether Amendment 4 was likely to recoup the lost turnout of eligible voters who lived with or near the disenfranchised requires understanding</w:t>
      </w:r>
      <w:r>
        <w:t xml:space="preserve"> </w:t>
      </w:r>
      <w:r>
        <w:rPr>
          <w:i/>
        </w:rPr>
        <w:t xml:space="preserve">how</w:t>
      </w:r>
      <w:r>
        <w:t xml:space="preserve"> </w:t>
      </w:r>
      <w:r>
        <w:t xml:space="preserve">their indirect exposure to the criminal justice system (or</w:t>
      </w:r>
      <w:r>
        <w:t xml:space="preserve"> </w:t>
      </w:r>
      <w:r>
        <w:t xml:space="preserve">“</w:t>
      </w:r>
      <w:r>
        <w:t xml:space="preserve">proximal contact</w:t>
      </w:r>
      <w:r>
        <w:t xml:space="preserve">”</w:t>
      </w:r>
      <w:r>
        <w:t xml:space="preserve"> </w:t>
      </w:r>
      <w:r>
        <w:t xml:space="preserve">(Walker</w:t>
      </w:r>
      <w:r>
        <w:t xml:space="preserve"> </w:t>
      </w:r>
      <w:hyperlink w:anchor="ref-Walker2014">
        <w:r>
          <w:rPr>
            <w:rStyle w:val="Hyperlink"/>
          </w:rPr>
          <w:t xml:space="preserve">2014</w:t>
        </w:r>
      </w:hyperlink>
      <w:r>
        <w:t xml:space="preserve">)</w:t>
      </w:r>
      <w:r>
        <w:t xml:space="preserve">) depressed turnout to begin with.</w:t>
      </w:r>
      <w:r>
        <w:t xml:space="preserve"> </w:t>
      </w:r>
      <w:r>
        <w:t xml:space="preserve">White (</w:t>
      </w:r>
      <w:hyperlink w:anchor="ref-White2019a">
        <w:r>
          <w:rPr>
            <w:rStyle w:val="Hyperlink"/>
          </w:rPr>
          <w:t xml:space="preserve">2019</w:t>
        </w:r>
      </w:hyperlink>
      <w:hyperlink w:anchor="ref-White2019a">
        <w:r>
          <w:rPr>
            <w:rStyle w:val="Hyperlink"/>
          </w:rPr>
          <w:t xml:space="preserve">a</w:t>
        </w:r>
      </w:hyperlink>
      <w:r>
        <w:t xml:space="preserve">)</w:t>
      </w:r>
      <w:r>
        <w:t xml:space="preserve"> </w:t>
      </w:r>
      <w:r>
        <w:t xml:space="preserve">argues that indirect exposure can reduce turnout through resource constraints (the return of a family member from prison can place burdens on households that make voting less likely) and social constraints (the stigma associated with a criminal conviction can cause individuals to withdraw from political life), an approach I adopt here.</w:t>
      </w:r>
    </w:p>
    <w:p>
      <w:pPr>
        <w:pStyle w:val="BodyText"/>
      </w:pPr>
      <w:r>
        <w:t xml:space="preserve">Exposure to the criminal justice system can result in result in loss of resources for households and families through both the imposition of legal financial obligations (LFOs) and adverse employment prospects for those with a conviction</w:t>
      </w:r>
      <w:r>
        <w:t xml:space="preserve"> </w:t>
      </w:r>
      <w:r>
        <w:t xml:space="preserve">(Naser and Visher</w:t>
      </w:r>
      <w:r>
        <w:t xml:space="preserve"> </w:t>
      </w:r>
      <w:hyperlink w:anchor="ref-Naser2006">
        <w:r>
          <w:rPr>
            <w:rStyle w:val="Hyperlink"/>
          </w:rPr>
          <w:t xml:space="preserve">2006</w:t>
        </w:r>
      </w:hyperlink>
      <w:r>
        <w:t xml:space="preserve">; Bushway, Stoll, and Weiman</w:t>
      </w:r>
      <w:r>
        <w:t xml:space="preserve"> </w:t>
      </w:r>
      <w:hyperlink w:anchor="ref-Bushway2007">
        <w:r>
          <w:rPr>
            <w:rStyle w:val="Hyperlink"/>
          </w:rPr>
          <w:t xml:space="preserve">2007</w:t>
        </w:r>
      </w:hyperlink>
      <w:r>
        <w:t xml:space="preserve">; Martin et al.</w:t>
      </w:r>
      <w:r>
        <w:t xml:space="preserve"> </w:t>
      </w:r>
      <w:hyperlink w:anchor="ref-Martin2018">
        <w:r>
          <w:rPr>
            <w:rStyle w:val="Hyperlink"/>
          </w:rPr>
          <w:t xml:space="preserve">2018</w:t>
        </w:r>
      </w:hyperlink>
      <w:r>
        <w:t xml:space="preserve">)</w:t>
      </w:r>
      <w:r>
        <w:t xml:space="preserve">. Stressors associated with the return of a household member from prison can make it harder for eligible voters to invest the time and resources involved in registering to vote, learning about candidates, or locating their polling place. It seems unlikely that the presence of Amendment 4 on the ballot could have reduced the costs of voting for this group, and therefore probably left the resource constraints reducing turnout undisturbed.</w:t>
      </w:r>
    </w:p>
    <w:p>
      <w:pPr>
        <w:pStyle w:val="BodyText"/>
      </w:pPr>
      <w:r>
        <w:t xml:space="preserve">Indirect exposure to the criminal justice system can also lower eligible voters’ propensity to vote through social mechanisms. There is shame and stigma associated with having a felony conviction in one’s past</w:t>
      </w:r>
      <w:r>
        <w:t xml:space="preserve"> </w:t>
      </w:r>
      <w:r>
        <w:t xml:space="preserve">(Austin</w:t>
      </w:r>
      <w:r>
        <w:t xml:space="preserve"> </w:t>
      </w:r>
      <w:hyperlink w:anchor="ref-Austin2004">
        <w:r>
          <w:rPr>
            <w:rStyle w:val="Hyperlink"/>
          </w:rPr>
          <w:t xml:space="preserve">2004</w:t>
        </w:r>
      </w:hyperlink>
      <w:r>
        <w:t xml:space="preserve">; Uggen, Manza, and Behrens</w:t>
      </w:r>
      <w:r>
        <w:t xml:space="preserve"> </w:t>
      </w:r>
      <w:hyperlink w:anchor="ref-Uggen2004a">
        <w:r>
          <w:rPr>
            <w:rStyle w:val="Hyperlink"/>
          </w:rPr>
          <w:t xml:space="preserve">2004</w:t>
        </w:r>
      </w:hyperlink>
      <w:r>
        <w:t xml:space="preserve">; Miller and Agnich</w:t>
      </w:r>
      <w:r>
        <w:t xml:space="preserve"> </w:t>
      </w:r>
      <w:hyperlink w:anchor="ref-Miller2016">
        <w:r>
          <w:rPr>
            <w:rStyle w:val="Hyperlink"/>
          </w:rPr>
          <w:t xml:space="preserve">2016</w:t>
        </w:r>
      </w:hyperlink>
      <w:r>
        <w:t xml:space="preserve">)</w:t>
      </w:r>
      <w:r>
        <w:t xml:space="preserve"> </w:t>
      </w:r>
      <w:r>
        <w:t xml:space="preserve">which may also extend to family members without a conviction. Work from Vesla Weaver and Amy Lerman</w:t>
      </w:r>
      <w:r>
        <w:t xml:space="preserve"> </w:t>
      </w:r>
      <w:r>
        <w:t xml:space="preserve">(</w:t>
      </w:r>
      <w:hyperlink w:anchor="ref-Weaver2010">
        <w:r>
          <w:rPr>
            <w:rStyle w:val="Hyperlink"/>
          </w:rPr>
          <w:t xml:space="preserve">2010</w:t>
        </w:r>
      </w:hyperlink>
      <w:r>
        <w:t xml:space="preserve">;</w:t>
      </w:r>
      <w:r>
        <w:t xml:space="preserve"> </w:t>
      </w:r>
      <w:hyperlink w:anchor="ref-Lerman2014">
        <w:r>
          <w:rPr>
            <w:rStyle w:val="Hyperlink"/>
          </w:rPr>
          <w:t xml:space="preserve">2014</w:t>
        </w:r>
      </w:hyperlink>
      <w:r>
        <w:t xml:space="preserve">)</w:t>
      </w:r>
      <w:r>
        <w:t xml:space="preserve"> </w:t>
      </w:r>
      <w:r>
        <w:t xml:space="preserve">describes in great detail how interactions with the criminal justice system structure individuals’ relationship with their government, with a felony conviction serving as</w:t>
      </w:r>
      <w:r>
        <w:t xml:space="preserve"> </w:t>
      </w:r>
      <w:r>
        <w:t xml:space="preserve">“</w:t>
      </w:r>
      <w:r>
        <w:t xml:space="preserve">a durable constraint and marker of their citizenship</w:t>
      </w:r>
      <w:r>
        <w:t xml:space="preserve">”</w:t>
      </w:r>
      <w:r>
        <w:t xml:space="preserve"> </w:t>
      </w:r>
      <w:r>
        <w:t xml:space="preserve">(Lerman and Weaver</w:t>
      </w:r>
      <w:r>
        <w:t xml:space="preserve"> </w:t>
      </w:r>
      <w:hyperlink w:anchor="ref-Lerman2014">
        <w:r>
          <w:rPr>
            <w:rStyle w:val="Hyperlink"/>
          </w:rPr>
          <w:t xml:space="preserve">2014</w:t>
        </w:r>
      </w:hyperlink>
      <w:r>
        <w:t xml:space="preserve">, 133)</w:t>
      </w:r>
      <w:r>
        <w:t xml:space="preserve">. They explain that even citizens without criminal histories in communities with aggressive crime control</w:t>
      </w:r>
      <w:r>
        <w:t xml:space="preserve"> </w:t>
      </w:r>
      <w:r>
        <w:t xml:space="preserve">“</w:t>
      </w:r>
      <w:r>
        <w:t xml:space="preserve">become less likely to believe that they (and those like them) can change</w:t>
      </w:r>
      <w:r>
        <w:t xml:space="preserve"> </w:t>
      </w:r>
      <w:r>
        <w:rPr>
          <w:i/>
        </w:rPr>
        <w:t xml:space="preserve">the system</w:t>
      </w:r>
      <w:r>
        <w:t xml:space="preserve">, a reduction in external efficacy</w:t>
      </w:r>
      <w:r>
        <w:t xml:space="preserve">”</w:t>
      </w:r>
      <w:r>
        <w:t xml:space="preserve"> </w:t>
      </w:r>
      <w:r>
        <w:t xml:space="preserve">(Lerman and Weaver</w:t>
      </w:r>
      <w:r>
        <w:t xml:space="preserve"> </w:t>
      </w:r>
      <w:hyperlink w:anchor="ref-Lerman2014">
        <w:r>
          <w:rPr>
            <w:rStyle w:val="Hyperlink"/>
          </w:rPr>
          <w:t xml:space="preserve">2014</w:t>
        </w:r>
      </w:hyperlink>
      <w:r>
        <w:t xml:space="preserve">, 137, emphasis in the original)</w:t>
      </w:r>
      <w:r>
        <w:t xml:space="preserve">. Their work is replete with examples of individuals who know much about politics yet choose to</w:t>
      </w:r>
      <w:r>
        <w:t xml:space="preserve"> </w:t>
      </w:r>
      <w:r>
        <w:t xml:space="preserve">“</w:t>
      </w:r>
      <w:r>
        <w:t xml:space="preserve">stay below the radar</w:t>
      </w:r>
      <w:r>
        <w:t xml:space="preserve">”</w:t>
      </w:r>
      <w:r>
        <w:t xml:space="preserve"> </w:t>
      </w:r>
      <w:r>
        <w:t xml:space="preserve">because</w:t>
      </w:r>
      <w:r>
        <w:t xml:space="preserve"> </w:t>
      </w:r>
      <w:r>
        <w:t xml:space="preserve">“</w:t>
      </w:r>
      <w:r>
        <w:t xml:space="preserve">‘</w:t>
      </w:r>
      <w:r>
        <w:t xml:space="preserve">they’re [government officials] not interested in what I have to say</w:t>
      </w:r>
      <w:r>
        <w:t xml:space="preserve">’</w:t>
      </w:r>
      <w:r>
        <w:t xml:space="preserve">”</w:t>
      </w:r>
      <w:r>
        <w:t xml:space="preserve"> </w:t>
      </w:r>
      <w:r>
        <w:t xml:space="preserve">(Lerman and Weaver</w:t>
      </w:r>
      <w:r>
        <w:t xml:space="preserve"> </w:t>
      </w:r>
      <w:hyperlink w:anchor="ref-Lerman2014">
        <w:r>
          <w:rPr>
            <w:rStyle w:val="Hyperlink"/>
          </w:rPr>
          <w:t xml:space="preserve">2014</w:t>
        </w:r>
      </w:hyperlink>
      <w:r>
        <w:t xml:space="preserve">, 210)</w:t>
      </w:r>
      <w:r>
        <w:t xml:space="preserve">. Importantly, these demobilizing consequences are not limited to those who are convicted; rather,</w:t>
      </w:r>
      <w:r>
        <w:t xml:space="preserve"> </w:t>
      </w:r>
      <w:r>
        <w:t xml:space="preserve">“</w:t>
      </w:r>
      <w:r>
        <w:t xml:space="preserve">the correctional system becomes a primary mode of political socialization for families of the incarcerated</w:t>
      </w:r>
      <w:r>
        <w:t xml:space="preserve">”</w:t>
      </w:r>
      <w:r>
        <w:t xml:space="preserve"> </w:t>
      </w:r>
      <w:r>
        <w:t xml:space="preserve">through which spouses and children learn to distrust and avoid interaction with the state</w:t>
      </w:r>
      <w:r>
        <w:t xml:space="preserve"> </w:t>
      </w:r>
      <w:r>
        <w:t xml:space="preserve">(Lee, Porter, and Comfort</w:t>
      </w:r>
      <w:r>
        <w:t xml:space="preserve"> </w:t>
      </w:r>
      <w:hyperlink w:anchor="ref-Lee2014">
        <w:r>
          <w:rPr>
            <w:rStyle w:val="Hyperlink"/>
          </w:rPr>
          <w:t xml:space="preserve">2014</w:t>
        </w:r>
      </w:hyperlink>
      <w:r>
        <w:t xml:space="preserve">, 45; see also Comfort</w:t>
      </w:r>
      <w:r>
        <w:t xml:space="preserve"> </w:t>
      </w:r>
      <w:hyperlink w:anchor="ref-Comfort2008">
        <w:r>
          <w:rPr>
            <w:rStyle w:val="Hyperlink"/>
          </w:rPr>
          <w:t xml:space="preserve">2008</w:t>
        </w:r>
      </w:hyperlink>
      <w:r>
        <w:t xml:space="preserve">,</w:t>
      </w:r>
      <w:r>
        <w:t xml:space="preserve"> </w:t>
      </w:r>
      <w:hyperlink w:anchor="ref-Comfort2016">
        <w:r>
          <w:rPr>
            <w:rStyle w:val="Hyperlink"/>
          </w:rPr>
          <w:t xml:space="preserve">2016</w:t>
        </w:r>
      </w:hyperlink>
      <w:r>
        <w:t xml:space="preserve">; Kirk</w:t>
      </w:r>
      <w:r>
        <w:t xml:space="preserve"> </w:t>
      </w:r>
      <w:hyperlink w:anchor="ref-Kirk2016">
        <w:r>
          <w:rPr>
            <w:rStyle w:val="Hyperlink"/>
          </w:rPr>
          <w:t xml:space="preserve">2016</w:t>
        </w:r>
      </w:hyperlink>
      <w:r>
        <w:t xml:space="preserve">)</w:t>
      </w:r>
      <w:r>
        <w:t xml:space="preserve">.</w:t>
      </w:r>
    </w:p>
    <w:p>
      <w:pPr>
        <w:pStyle w:val="BodyText"/>
      </w:pPr>
      <w:r>
        <w:t xml:space="preserve">It seems that both the substance of the proposed constitutional amendment and the messaging used by the campaign supporting its passage could have lessened some of the social barriers to voting. Restoring voting rights to individuals who had been convicted of felony offenses would end the</w:t>
      </w:r>
      <w:r>
        <w:t xml:space="preserve"> </w:t>
      </w:r>
      <w:r>
        <w:t xml:space="preserve">“</w:t>
      </w:r>
      <w:r>
        <w:t xml:space="preserve">civil death</w:t>
      </w:r>
      <w:r>
        <w:t xml:space="preserve">”</w:t>
      </w:r>
      <w:r>
        <w:t xml:space="preserve"> </w:t>
      </w:r>
      <w:r>
        <w:t xml:space="preserve">of felony disenfranchisement</w:t>
      </w:r>
      <w:r>
        <w:t xml:space="preserve"> </w:t>
      </w:r>
      <w:r>
        <w:t xml:space="preserve">(Ewald</w:t>
      </w:r>
      <w:r>
        <w:t xml:space="preserve"> </w:t>
      </w:r>
      <w:hyperlink w:anchor="ref-Ewald2002">
        <w:r>
          <w:rPr>
            <w:rStyle w:val="Hyperlink"/>
          </w:rPr>
          <w:t xml:space="preserve">2002</w:t>
        </w:r>
      </w:hyperlink>
      <w:r>
        <w:t xml:space="preserve">; B. L. Miller and Spillane</w:t>
      </w:r>
      <w:r>
        <w:t xml:space="preserve"> </w:t>
      </w:r>
      <w:hyperlink w:anchor="ref-Miller2012">
        <w:r>
          <w:rPr>
            <w:rStyle w:val="Hyperlink"/>
          </w:rPr>
          <w:t xml:space="preserve">2012</w:t>
        </w:r>
      </w:hyperlink>
      <w:hyperlink w:anchor="ref-Miller2012">
        <w:r>
          <w:rPr>
            <w:rStyle w:val="Hyperlink"/>
          </w:rPr>
          <w:t xml:space="preserve">a</w:t>
        </w:r>
      </w:hyperlink>
      <w:r>
        <w:t xml:space="preserve">)</w:t>
      </w:r>
      <w:r>
        <w:t xml:space="preserve">. This civil death — the legal lessening of a formerly incarcerated individual’s rights as citizen — certainly qualifies as the sort of</w:t>
      </w:r>
      <w:r>
        <w:t xml:space="preserve"> </w:t>
      </w:r>
      <w:r>
        <w:t xml:space="preserve">“</w:t>
      </w:r>
      <w:r>
        <w:t xml:space="preserve">durable constraint and marker</w:t>
      </w:r>
      <w:r>
        <w:t xml:space="preserve">”</w:t>
      </w:r>
      <w:r>
        <w:t xml:space="preserve"> </w:t>
      </w:r>
      <w:r>
        <w:t xml:space="preserve">identified by Weaver and Lerman. The opportunity to end post-sentence disenfranchisement could increase turnout among those in community with the formerly incarcerated. Amendment 4 offered these eligible voters the chance to affirm that their family and community members deserved to have their voices heard in the democratic arena.</w:t>
      </w:r>
    </w:p>
    <w:p>
      <w:pPr>
        <w:pStyle w:val="BodyText"/>
      </w:pPr>
      <w:r>
        <w:t xml:space="preserve">Moreover, the public messaging employed by the Amendment 4 campaign was explicitly designed to change how voters understood the citizenship of disenfranchised individuals. The campaign cast the ballot initiative as an issue of fairness, criticizing Florida’s existing disenfranchisement policy for creating two tiers of citizenship. The organization leading the campaign leveraged the notion that disenfranchised citizens deserved to be re-incorporated into the body politic in its very name —</w:t>
      </w:r>
      <w:r>
        <w:t xml:space="preserve"> </w:t>
      </w:r>
      <w:r>
        <w:t xml:space="preserve">“</w:t>
      </w:r>
      <w:r>
        <w:t xml:space="preserve">Second Chances Florida.</w:t>
      </w:r>
      <w:r>
        <w:t xml:space="preserve">”</w:t>
      </w:r>
      <w:r>
        <w:t xml:space="preserve"> </w:t>
      </w:r>
      <w:r>
        <w:t xml:space="preserve">The framing was effective: the editorial boards of each of Florida’s three biggest newspapers endorsed the amendment, all using language related to fairness and civic redemption. The Tampa Bay Times told readers they had a</w:t>
      </w:r>
      <w:r>
        <w:t xml:space="preserve"> </w:t>
      </w:r>
      <w:r>
        <w:t xml:space="preserve">“</w:t>
      </w:r>
      <w:r>
        <w:t xml:space="preserve">remarkable opportunity to remedy that unfairness</w:t>
      </w:r>
      <w:r>
        <w:t xml:space="preserve">”</w:t>
      </w:r>
      <w:r>
        <w:t xml:space="preserve"> </w:t>
      </w:r>
      <w:r>
        <w:t xml:space="preserve">(</w:t>
      </w:r>
      <w:r>
        <w:rPr>
          <w:i/>
        </w:rPr>
        <w:t xml:space="preserve">Tampa Bay Times</w:t>
      </w:r>
      <w:r>
        <w:t xml:space="preserve"> </w:t>
      </w:r>
      <w:hyperlink w:anchor="ref-tampabaytimes2018">
        <w:r>
          <w:rPr>
            <w:rStyle w:val="Hyperlink"/>
          </w:rPr>
          <w:t xml:space="preserve">2018</w:t>
        </w:r>
      </w:hyperlink>
      <w:r>
        <w:t xml:space="preserve">)</w:t>
      </w:r>
      <w:r>
        <w:t xml:space="preserve">; the Sun Sentinel informed voters</w:t>
      </w:r>
      <w:r>
        <w:t xml:space="preserve"> </w:t>
      </w:r>
      <w:r>
        <w:t xml:space="preserve">“</w:t>
      </w:r>
      <w:r>
        <w:t xml:space="preserve">[t]here may never be an opportunity to do a better thing than to vote yes on this reform</w:t>
      </w:r>
      <w:r>
        <w:t xml:space="preserve">”</w:t>
      </w:r>
      <w:r>
        <w:t xml:space="preserve"> </w:t>
      </w:r>
      <w:r>
        <w:t xml:space="preserve">(</w:t>
      </w:r>
      <w:r>
        <w:rPr>
          <w:i/>
        </w:rPr>
        <w:t xml:space="preserve">Sun Sentinel</w:t>
      </w:r>
      <w:r>
        <w:t xml:space="preserve"> </w:t>
      </w:r>
      <w:hyperlink w:anchor="ref-SunSentinelEditorial2018">
        <w:r>
          <w:rPr>
            <w:rStyle w:val="Hyperlink"/>
          </w:rPr>
          <w:t xml:space="preserve">2018</w:t>
        </w:r>
      </w:hyperlink>
      <w:r>
        <w:t xml:space="preserve">)</w:t>
      </w:r>
      <w:r>
        <w:t xml:space="preserve">; and the Orlando Sentinel said that Florida’s then-policy</w:t>
      </w:r>
      <w:r>
        <w:t xml:space="preserve"> </w:t>
      </w:r>
      <w:r>
        <w:t xml:space="preserve">“</w:t>
      </w:r>
      <w:r>
        <w:t xml:space="preserve">denie[d] our fellow citizens a second chance. It denie[d] redemption</w:t>
      </w:r>
      <w:r>
        <w:t xml:space="preserve">”</w:t>
      </w:r>
      <w:r>
        <w:t xml:space="preserve"> </w:t>
      </w:r>
      <w:r>
        <w:t xml:space="preserve">(</w:t>
      </w:r>
      <w:r>
        <w:rPr>
          <w:i/>
        </w:rPr>
        <w:t xml:space="preserve">Orlando Sentinel</w:t>
      </w:r>
      <w:r>
        <w:t xml:space="preserve"> </w:t>
      </w:r>
      <w:hyperlink w:anchor="ref-ORLANDOSENTINEL2018">
        <w:r>
          <w:rPr>
            <w:rStyle w:val="Hyperlink"/>
          </w:rPr>
          <w:t xml:space="preserve">2018</w:t>
        </w:r>
      </w:hyperlink>
      <w:r>
        <w:t xml:space="preserve">)</w:t>
      </w:r>
      <w:r>
        <w:t xml:space="preserve">. Recent work demonstrates that the demobilizing effects of direct and indirect contact with the criminal justice system can be overcome when these experiences are linked with narratives of injustice</w:t>
      </w:r>
      <w:r>
        <w:t xml:space="preserve"> </w:t>
      </w:r>
      <w:r>
        <w:t xml:space="preserve">(Walker and García-Castañon</w:t>
      </w:r>
      <w:r>
        <w:t xml:space="preserve"> </w:t>
      </w:r>
      <w:hyperlink w:anchor="ref-Walker2017">
        <w:r>
          <w:rPr>
            <w:rStyle w:val="Hyperlink"/>
          </w:rPr>
          <w:t xml:space="preserve">2017</w:t>
        </w:r>
      </w:hyperlink>
      <w:r>
        <w:t xml:space="preserve">; Walker</w:t>
      </w:r>
      <w:r>
        <w:t xml:space="preserve"> </w:t>
      </w:r>
      <w:hyperlink w:anchor="ref-Walker2020">
        <w:r>
          <w:rPr>
            <w:rStyle w:val="Hyperlink"/>
          </w:rPr>
          <w:t xml:space="preserve">2020</w:t>
        </w:r>
      </w:hyperlink>
      <w:r>
        <w:t xml:space="preserve">)</w:t>
      </w:r>
      <w:r>
        <w:t xml:space="preserve">. Insofar as the campaign was successful at helping these individuals understand the experiences of their formerly incarcerated family and community members in the context of a broader narrative of (racial) injustice, they may have been mobilized to vote.</w:t>
      </w:r>
    </w:p>
    <w:p>
      <w:pPr>
        <w:pStyle w:val="BodyText"/>
      </w:pPr>
      <w:r>
        <w:t xml:space="preserve">In addition to newspapers across the state, the campaign deployed</w:t>
      </w:r>
      <w:r>
        <w:t xml:space="preserve"> </w:t>
      </w:r>
      <w:r>
        <w:t xml:space="preserve">“</w:t>
      </w:r>
      <w:r>
        <w:t xml:space="preserve">volunteers from a broad coalition that included advocacy groups, Christian organizations, the League of Women Voters, criminal justice experts and, of course, those who had been convicted of felonies</w:t>
      </w:r>
      <w:r>
        <w:t xml:space="preserve">”</w:t>
      </w:r>
      <w:r>
        <w:t xml:space="preserve"> </w:t>
      </w:r>
      <w:r>
        <w:t xml:space="preserve">(Robles</w:t>
      </w:r>
      <w:r>
        <w:t xml:space="preserve"> </w:t>
      </w:r>
      <w:hyperlink w:anchor="ref-Robles2018">
        <w:r>
          <w:rPr>
            <w:rStyle w:val="Hyperlink"/>
          </w:rPr>
          <w:t xml:space="preserve">2018</w:t>
        </w:r>
      </w:hyperlink>
      <w:r>
        <w:t xml:space="preserve">)</w:t>
      </w:r>
      <w:r>
        <w:t xml:space="preserve">. Andrew Gillum, the Democratic gubernatorial candidate, also vocally supported the amendment, openly discussing his family’s relationship with the criminal justice system and his own sibling’s disenfranchisement</w:t>
      </w:r>
      <w:r>
        <w:t xml:space="preserve"> </w:t>
      </w:r>
      <w:r>
        <w:t xml:space="preserve">(Smith</w:t>
      </w:r>
      <w:r>
        <w:t xml:space="preserve"> </w:t>
      </w:r>
      <w:hyperlink w:anchor="ref-Smith2018">
        <w:r>
          <w:rPr>
            <w:rStyle w:val="Hyperlink"/>
          </w:rPr>
          <w:t xml:space="preserve">2018</w:t>
        </w:r>
      </w:hyperlink>
      <w:r>
        <w:t xml:space="preserve">)</w:t>
      </w:r>
      <w:r>
        <w:t xml:space="preserve">. Voters were thus getting cues from all sorts of messengers that Amendment 4 deserved to be passed, and that individuals with convictions in their past should be allowed to vote. These cues, plus the descriptive representation</w:t>
      </w:r>
      <w:r>
        <w:t xml:space="preserve"> </w:t>
      </w:r>
      <w:r>
        <w:t xml:space="preserve">(Merolla, Sellers, and Fowler</w:t>
      </w:r>
      <w:r>
        <w:t xml:space="preserve"> </w:t>
      </w:r>
      <w:hyperlink w:anchor="ref-Merolla2013">
        <w:r>
          <w:rPr>
            <w:rStyle w:val="Hyperlink"/>
          </w:rPr>
          <w:t xml:space="preserve">2013</w:t>
        </w:r>
      </w:hyperlink>
      <w:r>
        <w:t xml:space="preserve">)</w:t>
      </w:r>
      <w:r>
        <w:t xml:space="preserve"> </w:t>
      </w:r>
      <w:r>
        <w:t xml:space="preserve">promised by Gillum, could have proved mobilizing.</w:t>
      </w:r>
    </w:p>
    <w:p>
      <w:pPr>
        <w:pStyle w:val="BodyText"/>
      </w:pPr>
      <w:r>
        <w:t xml:space="preserve">Finally, it is important to recognize that the geographic concentration of policing and incarceration patterns</w:t>
      </w:r>
      <w:r>
        <w:t xml:space="preserve"> </w:t>
      </w:r>
      <w:r>
        <w:t xml:space="preserve">(e.g. Gelman, Fagan, and Kiss</w:t>
      </w:r>
      <w:r>
        <w:t xml:space="preserve"> </w:t>
      </w:r>
      <w:hyperlink w:anchor="ref-Gelman2007">
        <w:r>
          <w:rPr>
            <w:rStyle w:val="Hyperlink"/>
          </w:rPr>
          <w:t xml:space="preserve">2007</w:t>
        </w:r>
      </w:hyperlink>
      <w:r>
        <w:t xml:space="preserve">)</w:t>
      </w:r>
      <w:r>
        <w:t xml:space="preserve"> </w:t>
      </w:r>
      <w:r>
        <w:t xml:space="preserve">mean that individuals in community with the formerly incarcerated might also have other, direct relationships with the criminal justice system. In 2017 there were 711,831 arrests in Florida but just 134,554 guilty felonious dispositions.</w:t>
      </w:r>
      <w:r>
        <w:rPr>
          <w:rStyle w:val="FootnoteReference"/>
        </w:rPr>
        <w:footnoteReference w:id="25"/>
      </w:r>
      <w:r>
        <w:t xml:space="preserve"> </w:t>
      </w:r>
      <w:r>
        <w:t xml:space="preserve">Although individuals who were arrested but not convicted of felonies were not legally disenfranchised, the literature discussed above demonstrates that even low-level interactions can have a chilling effect on one’s relationship with the government. The rhetoric used to argue in favor of the ballot initiative might have led them to reevaluate their</w:t>
      </w:r>
      <w:r>
        <w:t xml:space="preserve"> </w:t>
      </w:r>
      <w:r>
        <w:rPr>
          <w:i/>
        </w:rPr>
        <w:t xml:space="preserve">own</w:t>
      </w:r>
      <w:r>
        <w:t xml:space="preserve"> </w:t>
      </w:r>
      <w:r>
        <w:t xml:space="preserve">citizen identities, despite not changing their eligibility to vote.</w:t>
      </w:r>
    </w:p>
    <w:p>
      <w:pPr>
        <w:pStyle w:val="BodyText"/>
      </w:pPr>
      <w:r>
        <w:t xml:space="preserve">At the same time, there is some reason to think the ballot initiative might not increase turnout among voters in close contact with formerly incarcerated, disenfranchised individuals. The ruptures discussed above of the citizen’s relationship with the government engendered by the carceral state are deep: individuals under the purview of the carceral state</w:t>
      </w:r>
      <w:r>
        <w:t xml:space="preserve"> </w:t>
      </w:r>
      <w:r>
        <w:t xml:space="preserve">“</w:t>
      </w:r>
      <w:r>
        <w:t xml:space="preserve">learn</w:t>
      </w:r>
      <w:r>
        <w:t xml:space="preserve">”</w:t>
      </w:r>
      <w:r>
        <w:t xml:space="preserve"> </w:t>
      </w:r>
      <w:r>
        <w:t xml:space="preserve">their place in the system over a very long period, both through incarceration and day-to-day interactions with government representatives such as the police. It is perhaps naive to expect that a single ballot initiative could overcome these negative forces.</w:t>
      </w:r>
    </w:p>
    <w:p>
      <w:pPr>
        <w:pStyle w:val="BodyText"/>
      </w:pPr>
      <w:r>
        <w:t xml:space="preserve">Moreover, the individuals in these neighborhoods were perhaps less familiar with the content of Amendment 4 than others:</w:t>
      </w:r>
      <w:r>
        <w:t xml:space="preserve"> </w:t>
      </w:r>
      <w:r>
        <w:t xml:space="preserve">Bowler and Donovan (</w:t>
      </w:r>
      <w:hyperlink w:anchor="ref-Bowler1994">
        <w:r>
          <w:rPr>
            <w:rStyle w:val="Hyperlink"/>
          </w:rPr>
          <w:t xml:space="preserve">1994</w:t>
        </w:r>
      </w:hyperlink>
      <w:r>
        <w:t xml:space="preserve">)</w:t>
      </w:r>
      <w:r>
        <w:t xml:space="preserve">, for instance, demonstrates that education and polarization are strong predictors of individuals’ familiarity with ballot initiatives.</w:t>
      </w:r>
      <w:r>
        <w:t xml:space="preserve"> </w:t>
      </w:r>
      <w:r>
        <w:t xml:space="preserve">Shaker (</w:t>
      </w:r>
      <w:hyperlink w:anchor="ref-Shaker2012">
        <w:r>
          <w:rPr>
            <w:rStyle w:val="Hyperlink"/>
          </w:rPr>
          <w:t xml:space="preserve">2012</w:t>
        </w:r>
      </w:hyperlink>
      <w:r>
        <w:t xml:space="preserve">)</w:t>
      </w:r>
      <w:r>
        <w:t xml:space="preserve"> </w:t>
      </w:r>
      <w:r>
        <w:t xml:space="preserve">also finds that higher-educated individuals are more knowledgeable about local politics. Therefore, despite the greater potential salience of Amendment 4 for these individuals, they may have been less aware of it in the first place, in which case it obviously would not motivate them to cast a ballot.</w:t>
      </w:r>
    </w:p>
    <w:p>
      <w:pPr>
        <w:pStyle w:val="Heading2"/>
      </w:pPr>
      <w:bookmarkStart w:id="27" w:name="research-design-and-expectations"/>
      <w:r>
        <w:t xml:space="preserve">Research Design and Expectations</w:t>
      </w:r>
      <w:bookmarkEnd w:id="27"/>
    </w:p>
    <w:p>
      <w:pPr>
        <w:pStyle w:val="FirstParagraph"/>
      </w:pPr>
      <w:r>
        <w:t xml:space="preserve">I begin by testing whether a neighborhood’s formerly incarcerated population influenced that neighborhood’s turnout in 2018. Because statewide felony probation records are not available, this analysis is based on only the subset of disenfranchised individuals who were imprisoned for a felony conviction. Neighborhoods that are home to formerly incarcerated individuals are identified by geocoding release records from the Florida Department of Corrections, and I offer two definitions of neighborhoods.</w:t>
      </w:r>
    </w:p>
    <w:p>
      <w:pPr>
        <w:pStyle w:val="BodyText"/>
      </w:pPr>
      <w:r>
        <w:t xml:space="preserve">Neighborhoods are first defined as precincts. The Florida Division of Elections makes election results available at this level, which allows me to test turnout specifically on Amendment 4, neighborhood-level support for the amendment, and the share of voters who</w:t>
      </w:r>
      <w:r>
        <w:t xml:space="preserve"> </w:t>
      </w:r>
      <w:r>
        <w:t xml:space="preserve">“</w:t>
      </w:r>
      <w:r>
        <w:t xml:space="preserve">rolled off</w:t>
      </w:r>
      <w:r>
        <w:t xml:space="preserve">”</w:t>
      </w:r>
      <w:r>
        <w:t xml:space="preserve"> </w:t>
      </w:r>
      <w:r>
        <w:t xml:space="preserve">(or chose not to vote) for Amendment 4. Unfortunately, the use of precinct-level data leaves us with a major drawback: when doing analysis at this level, bias-free turnout denominators are hard to come by. Because the Census Bureau does not produce population estimates for individual voting precincts, turnout cannot be calculated by dividing the number of ballots cast by the eligible population; turnout, rather, has to be constructed as a share of registered voters. If there is a relationship between the independent variable of interest and the registration rate of a neighborhood, our estimates will be biased.</w:t>
      </w:r>
    </w:p>
    <w:p>
      <w:pPr>
        <w:pStyle w:val="BodyText"/>
      </w:pPr>
      <w:r>
        <w:t xml:space="preserve">It is not difficult to imagine how this could be the case in the study at hand. Political organizers working on behalf of Amendment 4 may have focused on registering eligible residents in neighborhoods where disenfranchised individuals lived. If these organizers registered many new voters but a relatively small share of the new voters actually turned out, the net effect might be higher turnout among</w:t>
      </w:r>
      <w:r>
        <w:t xml:space="preserve"> </w:t>
      </w:r>
      <w:r>
        <w:rPr>
          <w:i/>
        </w:rPr>
        <w:t xml:space="preserve">eligible residents</w:t>
      </w:r>
      <w:r>
        <w:t xml:space="preserve"> </w:t>
      </w:r>
      <w:r>
        <w:t xml:space="preserve">but lower turnout among</w:t>
      </w:r>
      <w:r>
        <w:t xml:space="preserve"> </w:t>
      </w:r>
      <w:r>
        <w:rPr>
          <w:i/>
        </w:rPr>
        <w:t xml:space="preserve">registered voters</w:t>
      </w:r>
      <w:r>
        <w:t xml:space="preserve">. For further discussion of how improper denominators can bias turnout estimates, see</w:t>
      </w:r>
      <w:r>
        <w:t xml:space="preserve"> </w:t>
      </w:r>
      <w:r>
        <w:t xml:space="preserve">Amos, McDonald, and Watkins (</w:t>
      </w:r>
      <w:hyperlink w:anchor="ref-Amos2017">
        <w:r>
          <w:rPr>
            <w:rStyle w:val="Hyperlink"/>
          </w:rPr>
          <w:t xml:space="preserve">2017</w:t>
        </w:r>
      </w:hyperlink>
      <w:r>
        <w:t xml:space="preserve">)</w:t>
      </w:r>
      <w:r>
        <w:t xml:space="preserve"> </w:t>
      </w:r>
      <w:r>
        <w:t xml:space="preserve">and</w:t>
      </w:r>
      <w:r>
        <w:t xml:space="preserve"> </w:t>
      </w:r>
      <w:r>
        <w:t xml:space="preserve">Amos and McDonald (</w:t>
      </w:r>
      <w:hyperlink w:anchor="ref-Amos2020">
        <w:r>
          <w:rPr>
            <w:rStyle w:val="Hyperlink"/>
          </w:rPr>
          <w:t xml:space="preserve">2020</w:t>
        </w:r>
      </w:hyperlink>
      <w:r>
        <w:t xml:space="preserve">)</w:t>
      </w:r>
      <w:r>
        <w:t xml:space="preserve">.</w:t>
      </w:r>
    </w:p>
    <w:p>
      <w:pPr>
        <w:pStyle w:val="BodyText"/>
      </w:pPr>
      <w:r>
        <w:t xml:space="preserve">To address this potential problem, I also define neighborhoods as Census block groups. The Census Bureau makes estimates of the citizen voting-age population available at this level, a better denominator for calculating turnout. In this case, however, I must use a geocoded voter file to determine turnout. Because I aggregate the number of participants in a block group from individual-level data, I am unable to determine whether an individual actually participated in the contest for Amendment 4 or they rolled off. Similarly, I am unable to interrogate the relationship between block group characteristics and support for Amendment 4. Although each definition of neighborhood presents some drawbacks, the two definitions together paint a full picture.</w:t>
      </w:r>
    </w:p>
    <w:p>
      <w:pPr>
        <w:pStyle w:val="BodyText"/>
      </w:pPr>
      <w:r>
        <w:t xml:space="preserve">After examining whether the presence of formerly incarcerated individuals was related with neighborhoods’ voting behavior, I ask whether voters who lived with formerly incarcerated individuals turned out at higher rates in 2018. For this analysis, I use the release plan addresses of formerly incarcerated individuals (the most recent address available, according to the Department of Corrections) and voter file data to identify registered voters who lived with formerly incarcerated individuals. Voters are considered</w:t>
      </w:r>
      <w:r>
        <w:t xml:space="preserve"> </w:t>
      </w:r>
      <w:r>
        <w:t xml:space="preserve">“</w:t>
      </w:r>
      <w:r>
        <w:t xml:space="preserve">treated</w:t>
      </w:r>
      <w:r>
        <w:t xml:space="preserve">”</w:t>
      </w:r>
      <w:r>
        <w:t xml:space="preserve"> </w:t>
      </w:r>
      <w:r>
        <w:t xml:space="preserve">if they lived with a formerly incarcerated individual, and</w:t>
      </w:r>
      <w:r>
        <w:t xml:space="preserve"> </w:t>
      </w:r>
      <w:r>
        <w:t xml:space="preserve">“</w:t>
      </w:r>
      <w:r>
        <w:t xml:space="preserve">untreated</w:t>
      </w:r>
      <w:r>
        <w:t xml:space="preserve">”</w:t>
      </w:r>
      <w:r>
        <w:t xml:space="preserve"> </w:t>
      </w:r>
      <w:r>
        <w:t xml:space="preserve">otherwise. I then use a variety of individual- and neighborhood-level characteristics to match treated and untreated voters using a genetic algorithm</w:t>
      </w:r>
      <w:r>
        <w:t xml:space="preserve"> </w:t>
      </w:r>
      <w:r>
        <w:t xml:space="preserve">(Sekhon</w:t>
      </w:r>
      <w:r>
        <w:t xml:space="preserve"> </w:t>
      </w:r>
      <w:hyperlink w:anchor="ref-Sekhon2011">
        <w:r>
          <w:rPr>
            <w:rStyle w:val="Hyperlink"/>
          </w:rPr>
          <w:t xml:space="preserve">2011</w:t>
        </w:r>
      </w:hyperlink>
      <w:r>
        <w:t xml:space="preserve">)</w:t>
      </w:r>
      <w:r>
        <w:t xml:space="preserve">.</w:t>
      </w:r>
    </w:p>
    <w:p>
      <w:pPr>
        <w:pStyle w:val="BodyText"/>
      </w:pPr>
      <w:r>
        <w:t xml:space="preserve">After matching these voters, I employ a difference-in-differences specification to determine whether treated voters participated at higher rates in the 2018 election. These analyses are run for all voters who lived with a formerly incarcerated individual, as well as only the subset of households whose members have not been to prison for many years. This final specification allows me to disentangle the depressive effect of indirect exposure to the criminal justice system from the mobilizing effect of Amendment 4 in 2018 by incorporating any depressive effect into the pre-2018 baseline.</w:t>
      </w:r>
    </w:p>
    <w:p>
      <w:pPr>
        <w:pStyle w:val="BodyText"/>
      </w:pPr>
      <w:r>
        <w:t xml:space="preserve">Table</w:t>
      </w:r>
      <w:r>
        <w:t xml:space="preserve"> </w:t>
      </w:r>
      <w:r>
        <w:t xml:space="preserve"> </w:t>
      </w:r>
      <w:r>
        <w:t xml:space="preserve">summarizes the specific hypotheses this manuscript tests.</w:t>
      </w:r>
    </w:p>
    <w:p>
      <w:pPr>
        <w:pStyle w:val="Heading2"/>
      </w:pPr>
      <w:bookmarkStart w:id="28" w:name="data"/>
      <w:r>
        <w:t xml:space="preserve">Data</w:t>
      </w:r>
      <w:bookmarkEnd w:id="28"/>
    </w:p>
    <w:p>
      <w:pPr>
        <w:pStyle w:val="FirstParagraph"/>
      </w:pPr>
      <w:r>
        <w:t xml:space="preserve">I leverage multiple data sources to investigate whether individuals in community with formerly incarcerated residents were more likely to vote in the 2018 election.</w:t>
      </w:r>
    </w:p>
    <w:p>
      <w:pPr>
        <w:pStyle w:val="Heading3"/>
      </w:pPr>
      <w:bookmarkStart w:id="29" w:name="department-of-corrections-data"/>
      <w:r>
        <w:t xml:space="preserve">Department of Corrections Data</w:t>
      </w:r>
      <w:bookmarkEnd w:id="29"/>
    </w:p>
    <w:p>
      <w:pPr>
        <w:pStyle w:val="FirstParagraph"/>
      </w:pPr>
      <w:r>
        <w:t xml:space="preserve">Felony incarceration records come from the Florida Department of Corrections’ Offender Based Information System (OBIS). The OBIS includes all individuals released from prison following a felony conviction since October 1, 1997. Using the recorded release date, I retain only the record associated with an individual’s most recent incarceration. I identify all formerly incarcerated individuals who were finished with their sentence as of the 2018 election by cross-referencing these records against imprisonment and parole records. Individuals sentenced to felony probation, who were also disenfranchised, are not included in this data. I include only individuals who completed their sentence; individuals who died or absconded before their sentence was completed are removed from the dataset.</w:t>
      </w:r>
    </w:p>
    <w:p>
      <w:pPr>
        <w:pStyle w:val="BodyText"/>
      </w:pPr>
      <w:r>
        <w:t xml:space="preserve">The OBIS provides the</w:t>
      </w:r>
      <w:r>
        <w:t xml:space="preserve"> </w:t>
      </w:r>
      <w:r>
        <w:t xml:space="preserve">“</w:t>
      </w:r>
      <w:r>
        <w:t xml:space="preserve">release plan address</w:t>
      </w:r>
      <w:r>
        <w:t xml:space="preserve">”</w:t>
      </w:r>
      <w:r>
        <w:t xml:space="preserve"> </w:t>
      </w:r>
      <w:r>
        <w:t xml:space="preserve">for individuals who were formerly incarcerated. According to the Department of Corrections, this is the most recent address available for individuals who are no longer under supervision.</w:t>
      </w:r>
      <w:r>
        <w:rPr>
          <w:rStyle w:val="FootnoteReference"/>
        </w:rPr>
        <w:footnoteReference w:id="30"/>
      </w:r>
      <w:r>
        <w:t xml:space="preserve"> </w:t>
      </w:r>
      <w:r>
        <w:t xml:space="preserve">Using the release plan address for individuals last released from prison many years ago presents some potential problems. Some of these individuals have surely died or moved. In Appendix B I show that the results presented in the body of this manuscript when I limit the pool of formerly incarcerated people to individuals released from prison during or after 2015. Because these individuals were released more recently, their addresses are probably more accurate.</w:t>
      </w:r>
    </w:p>
    <w:p>
      <w:pPr>
        <w:pStyle w:val="BodyText"/>
      </w:pPr>
      <w:r>
        <w:t xml:space="preserve">The address data are messy and require substantial cleaning. In some cases, the address field is left blank; in others, the record simply notes the road or the town of the individual’s residence, without providing full address information. I assume that any record that does not begin with an integer does not have a full address and cannot be used (this results in the exclusion of just under 3 percent of records). The remaining addresses are geocoded. Individuals whose addresses were geocoded outside of Florida (10.6 percent) or for whom the geocoder failed (3.1 percent) are dropped. At least 94 percent of individuals released to addresses in Florida are therefore included. The failure rate is likely too small to materially impact the analyses.</w:t>
      </w:r>
    </w:p>
    <w:p>
      <w:pPr>
        <w:pStyle w:val="BodyText"/>
      </w:pPr>
      <w:r>
        <w:t xml:space="preserve">Many formerly incarcerated individuals leave prison not for homes with family members, but rather to homeless shelters or other sites of incarceration. Of the five most commonly listed addresses, three were Immigration and Customs Enforcement properties, one was owned by the Salvation Army, and one was a rescue mission. The body of this manuscript excludes formerly incarcerated individuals whose address was listed by five or more individuals, as institutions for returning citizens may have structured responses to Amendment 4 in different ways. Appendix B shows that the primary findings in the manuscript hold when I include all formerly incarcerated individuals. Just over 15 percent of formerly incarcerated individuals listed these sorts of addresses as their post-incarceration residence.</w:t>
      </w:r>
    </w:p>
    <w:p>
      <w:pPr>
        <w:pStyle w:val="BodyText"/>
      </w:pPr>
      <w:r>
        <w:t xml:space="preserve">The successfully geocoded, formerly incarcerated individuals are then mapped to their home Census block groups using shapefiles from the Census Bureau, and to their home voter precincts using shapefile data collected by</w:t>
      </w:r>
      <w:r>
        <w:t xml:space="preserve"> </w:t>
      </w:r>
      <w:r>
        <w:t xml:space="preserve">Kelso and Migurski (</w:t>
      </w:r>
      <w:hyperlink w:anchor="ref-Kelso2018">
        <w:r>
          <w:rPr>
            <w:rStyle w:val="Hyperlink"/>
          </w:rPr>
          <w:t xml:space="preserve">2018</w:t>
        </w:r>
      </w:hyperlink>
      <w:r>
        <w:t xml:space="preserve">)</w:t>
      </w:r>
      <w:r>
        <w:t xml:space="preserve">.</w:t>
      </w:r>
    </w:p>
    <w:p>
      <w:pPr>
        <w:pStyle w:val="BodyText"/>
      </w:pPr>
      <w:r>
        <w:t xml:space="preserve">Between 75 and 80 percent of individuals found guilty of felonies in recent years in Florida have been sentenced to probation,</w:t>
      </w:r>
      <w:r>
        <w:rPr>
          <w:rStyle w:val="FootnoteReference"/>
        </w:rPr>
        <w:footnoteReference w:id="31"/>
      </w:r>
      <w:r>
        <w:t xml:space="preserve"> </w:t>
      </w:r>
      <w:r>
        <w:t xml:space="preserve">but their records are not available statewide and they are thus excluded from this study. This may pose a problem: neighborhoods with residents disenfranchised due to felony probation are also</w:t>
      </w:r>
      <w:r>
        <w:t xml:space="preserve"> </w:t>
      </w:r>
      <w:r>
        <w:t xml:space="preserve">“</w:t>
      </w:r>
      <w:r>
        <w:t xml:space="preserve">treated,</w:t>
      </w:r>
      <w:r>
        <w:t xml:space="preserve">”</w:t>
      </w:r>
      <w:r>
        <w:t xml:space="preserve"> </w:t>
      </w:r>
      <w:r>
        <w:t xml:space="preserve">as are housemates of these individuals. The raw numbers, however, likely overstate the problem: not all individuals sentenced to felony probation actually lose their voting rights. Florida judges are allowed to</w:t>
      </w:r>
      <w:r>
        <w:t xml:space="preserve"> </w:t>
      </w:r>
      <w:r>
        <w:t xml:space="preserve">“</w:t>
      </w:r>
      <w:r>
        <w:t xml:space="preserve">withhold adjudication</w:t>
      </w:r>
      <w:r>
        <w:t xml:space="preserve">”</w:t>
      </w:r>
      <w:r>
        <w:t xml:space="preserve"> </w:t>
      </w:r>
      <w:r>
        <w:t xml:space="preserve">(Tragos and Sartes</w:t>
      </w:r>
      <w:r>
        <w:t xml:space="preserve"> </w:t>
      </w:r>
      <w:hyperlink w:anchor="ref-Tragos2008">
        <w:r>
          <w:rPr>
            <w:rStyle w:val="Hyperlink"/>
          </w:rPr>
          <w:t xml:space="preserve">2008</w:t>
        </w:r>
      </w:hyperlink>
      <w:r>
        <w:t xml:space="preserve">)</w:t>
      </w:r>
      <w:r>
        <w:t xml:space="preserve">, meaning defendants consent to pay fines and restitution and to serve a term of probation, but the civil penalties of a felony conviction are not imposed and they are not disenfranchised.</w:t>
      </w:r>
    </w:p>
    <w:p>
      <w:pPr>
        <w:pStyle w:val="BodyText"/>
      </w:pPr>
      <w:r>
        <w:t xml:space="preserve">Though unavailable statewide, probation records with residential addresses are available for Hillsborough County, the Florida county with the third-highest number of formerly incarcerated individuals according to the OBIS records. In Hillsborough County, the correlation coefficient between the number of felony probationers and formerly incarcerated residents (scaled by population) is 0.92 at the block group level. The number of formerly incarcerated individuals in a neighborhood is therefore a reasonable proxy for the total number of disenfranchised residents.</w:t>
      </w:r>
    </w:p>
    <w:p>
      <w:pPr>
        <w:pStyle w:val="BodyText"/>
      </w:pPr>
      <w:r>
        <w:t xml:space="preserve">The neighborhood- and individual-level models presented in the body of this manuscript are re-estimated for Hillsborough County in Appendix A, with individuals sentenced both to felony incarceration</w:t>
      </w:r>
      <w:r>
        <w:t xml:space="preserve"> </w:t>
      </w:r>
      <w:r>
        <w:rPr>
          <w:i/>
        </w:rPr>
        <w:t xml:space="preserve">and</w:t>
      </w:r>
      <w:r>
        <w:t xml:space="preserve"> </w:t>
      </w:r>
      <w:r>
        <w:t xml:space="preserve">probation included. Their incorporation does not impact the primary results. Although this study relies only on formerly incarcerated individuals, the data available for robustness checks indicate that the relationships detailed here probably extend to the full disenfranchised population.</w:t>
      </w:r>
    </w:p>
    <w:p>
      <w:pPr>
        <w:pStyle w:val="Heading3"/>
      </w:pPr>
      <w:bookmarkStart w:id="33" w:name="voter-file-data-and-census-data"/>
      <w:r>
        <w:t xml:space="preserve">Voter File Data and Census Data</w:t>
      </w:r>
      <w:bookmarkEnd w:id="33"/>
    </w:p>
    <w:p>
      <w:pPr>
        <w:pStyle w:val="FirstParagraph"/>
      </w:pPr>
      <w:r>
        <w:t xml:space="preserve">I primarily use Florida voter file data from the data vendor L2 Political which includes information on individuals such as their home address, their age and gender, their participation history, and their political affiliation. Although the L2 data includes estimates of voters’ race and ethnicity, the raw Florida voter file includes self-identified race and ethnicity. In place of L2’s estimates, I use this self-reported data. I also use the raw Florida file to provide the gender for voters for whom L2 did not have an estimate, as well as voters’ home counties and precincts.</w:t>
      </w:r>
    </w:p>
    <w:p>
      <w:pPr>
        <w:pStyle w:val="BodyText"/>
      </w:pPr>
      <w:r>
        <w:t xml:space="preserve">Precinct and block group demographics are constructed using the voter file data. Neighborhood characteristics such as age and race are the averages of all registered voters in that neighborhood. For characteristics such as income that are unavailable at the individual level, voters are assigned the value associated with their home block group from the American Community Survey’s 2014 – 2018 5-year estimates; the precinct average income, therefore, is effectively the average of all the block groups within that precinct, weighted by the number of registered voters.</w:t>
      </w:r>
    </w:p>
    <w:p>
      <w:pPr>
        <w:pStyle w:val="Heading3"/>
      </w:pPr>
      <w:bookmarkStart w:id="34" w:name="X6559f23eb2fefa473c4852fbc34cd4e758ee415"/>
      <w:r>
        <w:t xml:space="preserve">Matched Department of Corrections and Voter File Data</w:t>
      </w:r>
      <w:bookmarkEnd w:id="34"/>
    </w:p>
    <w:p>
      <w:pPr>
        <w:pStyle w:val="FirstParagraph"/>
      </w:pPr>
      <w:r>
        <w:t xml:space="preserve">I identify registered voters who lived with formerly incarcerated individuals by matching on residential addresses. As discussed above, these addresses are often in different formats. To increase the quality of the matches, I standardize common street and address abbreviations as well as capitalization.</w:t>
      </w:r>
      <w:r>
        <w:t xml:space="preserve"> </w:t>
      </w:r>
      <w:r>
        <w:t xml:space="preserve">“</w:t>
      </w:r>
      <w:r>
        <w:t xml:space="preserve">Boulevard,</w:t>
      </w:r>
      <w:r>
        <w:t xml:space="preserve">”</w:t>
      </w:r>
      <w:r>
        <w:t xml:space="preserve"> </w:t>
      </w:r>
      <w:r>
        <w:t xml:space="preserve">for instance, becomes</w:t>
      </w:r>
      <w:r>
        <w:t xml:space="preserve"> </w:t>
      </w:r>
      <w:r>
        <w:t xml:space="preserve">“</w:t>
      </w:r>
      <w:r>
        <w:t xml:space="preserve">BLVD</w:t>
      </w:r>
      <w:r>
        <w:t xml:space="preserve">”</w:t>
      </w:r>
      <w:r>
        <w:t xml:space="preserve"> </w:t>
      </w:r>
      <w:r>
        <w:t xml:space="preserve">in each instance in the DOC and voter file data. These standardizations are taken from Appendix C of the USPS Postal Addressing Standards</w:t>
      </w:r>
      <w:r>
        <w:t xml:space="preserve"> </w:t>
      </w:r>
      <w:r>
        <w:t xml:space="preserve">(</w:t>
      </w:r>
      <w:hyperlink w:anchor="ref-USPS2015">
        <w:r>
          <w:rPr>
            <w:rStyle w:val="Hyperlink"/>
          </w:rPr>
          <w:t xml:space="preserve">2015</w:t>
        </w:r>
      </w:hyperlink>
      <w:r>
        <w:t xml:space="preserve">)</w:t>
      </w:r>
      <w:r>
        <w:t xml:space="preserve">. Exact matching is required.</w:t>
      </w:r>
    </w:p>
    <w:p>
      <w:pPr>
        <w:pStyle w:val="Heading3"/>
      </w:pPr>
      <w:bookmarkStart w:id="35" w:name="potential-confounders"/>
      <w:r>
        <w:t xml:space="preserve">Potential Confounders</w:t>
      </w:r>
      <w:bookmarkEnd w:id="35"/>
    </w:p>
    <w:p>
      <w:pPr>
        <w:pStyle w:val="FirstParagraph"/>
      </w:pPr>
      <w:r>
        <w:t xml:space="preserve">Voters with indirect exposure to the criminal justice system might have been motivated to turn out through avenues other than the ballot initiative. For instance, Andrew Gillum was poised to become the state’s first Black governor, which could increase Black turnout</w:t>
      </w:r>
      <w:r>
        <w:t xml:space="preserve"> </w:t>
      </w:r>
      <w:r>
        <w:t xml:space="preserve">(e.g. Washington</w:t>
      </w:r>
      <w:r>
        <w:t xml:space="preserve"> </w:t>
      </w:r>
      <w:hyperlink w:anchor="ref-Washington2006">
        <w:r>
          <w:rPr>
            <w:rStyle w:val="Hyperlink"/>
          </w:rPr>
          <w:t xml:space="preserve">2006</w:t>
        </w:r>
      </w:hyperlink>
      <w:r>
        <w:t xml:space="preserve">; Fairdosi and Rogowski</w:t>
      </w:r>
      <w:r>
        <w:t xml:space="preserve"> </w:t>
      </w:r>
      <w:hyperlink w:anchor="ref-Fairdosi2015">
        <w:r>
          <w:rPr>
            <w:rStyle w:val="Hyperlink"/>
          </w:rPr>
          <w:t xml:space="preserve">2015</w:t>
        </w:r>
      </w:hyperlink>
      <w:r>
        <w:t xml:space="preserve">; Miller and Chaturvedi</w:t>
      </w:r>
      <w:r>
        <w:t xml:space="preserve"> </w:t>
      </w:r>
      <w:hyperlink w:anchor="ref-Miller2018">
        <w:r>
          <w:rPr>
            <w:rStyle w:val="Hyperlink"/>
          </w:rPr>
          <w:t xml:space="preserve">2018</w:t>
        </w:r>
      </w:hyperlink>
      <w:r>
        <w:t xml:space="preserve">)</w:t>
      </w:r>
      <w:r>
        <w:t xml:space="preserve">. By controlling for neighborhood demographics (and, in the matching exercise, forcing control voters to mirror treated voters on key demographics such as race and party affiliation), I minimize the differences between the two groups along characteristics known to influence turnout.</w:t>
      </w:r>
    </w:p>
    <w:p>
      <w:pPr>
        <w:pStyle w:val="BodyText"/>
      </w:pPr>
      <w:r>
        <w:t xml:space="preserve">It is also worth considering whether electoral reforms had unique influence on the voters of interest in this study, though there is little reason to believe this is the case. The number of early voting days was cut for the 2012 general election, but the longer period was restored for the 2014 – 2018 period.</w:t>
      </w:r>
      <w:r>
        <w:rPr>
          <w:rStyle w:val="FootnoteReference"/>
        </w:rPr>
        <w:footnoteReference w:id="36"/>
      </w:r>
      <w:r>
        <w:t xml:space="preserve"> </w:t>
      </w:r>
      <w:r>
        <w:t xml:space="preserve">Early voting was not allowed on college campuses in the 2014 and 2016 elections, though it was allowed in 2018</w:t>
      </w:r>
      <w:r>
        <w:t xml:space="preserve"> </w:t>
      </w:r>
      <w:r>
        <w:t xml:space="preserve">(Bousquet</w:t>
      </w:r>
      <w:r>
        <w:t xml:space="preserve"> </w:t>
      </w:r>
      <w:hyperlink w:anchor="ref-Bousquet2018a">
        <w:r>
          <w:rPr>
            <w:rStyle w:val="Hyperlink"/>
          </w:rPr>
          <w:t xml:space="preserve">2018</w:t>
        </w:r>
      </w:hyperlink>
      <w:r>
        <w:t xml:space="preserve">)</w:t>
      </w:r>
      <w:r>
        <w:t xml:space="preserve">. I therefore include neighborhood-level estimates of collegiate education in each of the regressions to mitigate the potential effects of this change. Florida did not enact other reforms such as same-day registration or automatic voter registration over the period, nor did its absentee voting rules change. We can therefore be confident that any turnout effects observed are not being driven by asymmetric responses to electoral rule changes.</w:t>
      </w:r>
    </w:p>
    <w:p>
      <w:pPr>
        <w:pStyle w:val="Heading2"/>
      </w:pPr>
      <w:bookmarkStart w:id="38" w:name="neighborhood-level-results"/>
      <w:r>
        <w:t xml:space="preserve">Neighborhood-Level Results</w:t>
      </w:r>
      <w:bookmarkEnd w:id="38"/>
    </w:p>
    <w:p>
      <w:pPr>
        <w:pStyle w:val="FirstParagraph"/>
      </w:pPr>
      <w:r>
        <w:t xml:space="preserve">I begin by examining whether — and to what extent — neighborhoods with formerly incarcerated individuals differ from neighborhoods elsewhere in the state. A simple comparison of neighborhoods with and without formerly incarcerated individuals, however, proves unhelpful: 97.1 percent of block groups in the state are home to someone who has been to prison, though formerly incarcerated individuals are clearly concentrated in some neighborhoods. Column 1 of Table</w:t>
      </w:r>
      <w:r>
        <w:t xml:space="preserve"> </w:t>
      </w:r>
      <w:r>
        <w:t xml:space="preserve"> </w:t>
      </w:r>
      <w:r>
        <w:t xml:space="preserve">presents the statewide mean of block group characteristics weighted by population. In Column 2, I re-weight the block groups by the number of formerly incarcerated residents.</w:t>
      </w:r>
    </w:p>
    <w:p>
      <w:pPr>
        <w:pStyle w:val="BodyText"/>
      </w:pPr>
      <w:r>
        <w:t xml:space="preserve">Although nearly all parts of the state are impacted by the criminal justice system (and, more specifically, mass incarceration), Table</w:t>
      </w:r>
      <w:r>
        <w:t xml:space="preserve"> </w:t>
      </w:r>
      <w:r>
        <w:t xml:space="preserve"> </w:t>
      </w:r>
      <w:r>
        <w:t xml:space="preserve">makes clear that individuals return home to neighborhoods with lower incomes, higher levels of unemployment, and where a much larger share of the population is Black.</w:t>
      </w:r>
    </w:p>
    <w:p>
      <w:pPr>
        <w:pStyle w:val="BodyText"/>
      </w:pPr>
      <w:r>
        <w:t xml:space="preserve">I next assess whether the presence of formerly incarcerated residents was associated with higher turnout in 2018 using ordinary least squares regressions. In the precinct-level model, turnout is calculated by dividing the number of ballots cast for or against Amendment 4 by the number of actively registered voters in the precinct,</w:t>
      </w:r>
      <w:r>
        <w:rPr>
          <w:rStyle w:val="FootnoteReference"/>
        </w:rPr>
        <w:footnoteReference w:id="39"/>
      </w:r>
      <w:r>
        <w:t xml:space="preserve"> </w:t>
      </w:r>
      <w:r>
        <w:t xml:space="preserve">while block group turnout is calculated by dividing the number of voters marked as participants in the voter file by the adjusted citizen voting age population (ACVAP).</w:t>
      </w:r>
      <w:r>
        <w:rPr>
          <w:rStyle w:val="FootnoteReference"/>
        </w:rPr>
        <w:footnoteReference w:id="40"/>
      </w:r>
      <w:r>
        <w:t xml:space="preserve"> </w:t>
      </w:r>
      <w:r>
        <w:rPr>
          <w:i/>
        </w:rPr>
        <w:t xml:space="preserve">Formerly Incarcerated Residents</w:t>
      </w:r>
      <w:r>
        <w:t xml:space="preserve"> </w:t>
      </w:r>
      <w:r>
        <w:t xml:space="preserve">is the primary independent variable. Models 2 and 4 also include a measure of how long the average formerly incarcerated resident has been out of prison (</w:t>
      </w:r>
      <w:r>
        <w:rPr>
          <w:i/>
        </w:rPr>
        <w:t xml:space="preserve">Av. Years since Most Recent Incarceration</w:t>
      </w:r>
      <w:r>
        <w:t xml:space="preserve">) to test whether recently incarcerated residents impact turnout differently than those who were released many years ago. Neighborhoods with no formerly incarcerated residents are excluded from models 2 and 4. I also control for other covariates known to influence turnout such as age, income, and historical turnout. Finally, I include fixed effects for congressional districts, and robust standard errors are clustered at this level.</w:t>
      </w:r>
      <w:r>
        <w:rPr>
          <w:rStyle w:val="FootnoteReference"/>
        </w:rPr>
        <w:footnoteReference w:id="41"/>
      </w:r>
    </w:p>
    <w:p>
      <w:pPr>
        <w:pStyle w:val="BodyText"/>
      </w:pPr>
      <w:r>
        <w:t xml:space="preserve">Table</w:t>
      </w:r>
      <w:r>
        <w:t xml:space="preserve"> </w:t>
      </w:r>
      <w:r>
        <w:t xml:space="preserve"> </w:t>
      </w:r>
      <w:r>
        <w:t xml:space="preserve">indicates that 2018 turnout was lower in neighborhoods with more formerly incarcerated residents, and the average length of time since formerly incarcerated residents’ most recent incarceration is not related to turnout. The block group models have nearly twice as many observations as the precinct-level ones and their</w:t>
      </w:r>
      <w:r>
        <w:t xml:space="preserve"> </w:t>
      </w:r>
      <w:r>
        <w:rPr>
          <w:i/>
        </w:rPr>
        <w:t xml:space="preserve">R</w:t>
      </w:r>
      <w:r>
        <w:rPr>
          <w:vertAlign w:val="superscript"/>
          <w:i/>
        </w:rPr>
        <w:t xml:space="preserve">2</w:t>
      </w:r>
      <w:r>
        <w:t xml:space="preserve">s are considerably higher, perhaps indicating a better fit. Nevertheless, the estimated coefficient for</w:t>
      </w:r>
      <w:r>
        <w:t xml:space="preserve"> </w:t>
      </w:r>
      <w:r>
        <w:rPr>
          <w:i/>
        </w:rPr>
        <w:t xml:space="preserve">Formerly Incarcerated Residents</w:t>
      </w:r>
      <w:r>
        <w:t xml:space="preserve"> </w:t>
      </w:r>
      <w:r>
        <w:t xml:space="preserve">is the same (when rounded to one hundredth of a percentage point) for both neighborhood definitions.</w:t>
      </w:r>
    </w:p>
    <w:p>
      <w:pPr>
        <w:pStyle w:val="BodyText"/>
      </w:pPr>
      <w:r>
        <w:t xml:space="preserve">The primary coefficients in Table</w:t>
      </w:r>
      <w:r>
        <w:t xml:space="preserve"> </w:t>
      </w:r>
      <w:r>
        <w:t xml:space="preserve"> </w:t>
      </w:r>
      <w:r>
        <w:t xml:space="preserve">are small and perhaps difficult to interpret without context. Figure</w:t>
      </w:r>
      <w:r>
        <w:t xml:space="preserve"> </w:t>
      </w:r>
      <w:r>
        <w:t xml:space="preserve"> </w:t>
      </w:r>
      <w:r>
        <w:t xml:space="preserve">shows the marginal effect of each additional formerly incarcerated resident on precinct-level turnout for Amendment 4 from model 1. All other covariates are held at their means. Although the number of formerly incarcerated residents in a precinct reaches a maximum of 594, there are 300 or fewer such residents in 99.2 percent of precincts, and I limit the figures to this range. Predicted turnout in precincts with zero formerly incarcerated residents is just over 66 percent; in precincts with 300 such residents, predicted turnout was below 61 percent, implying a five-point decrease over the effective range of observed values.</w:t>
      </w:r>
    </w:p>
    <w:p>
      <w:pPr>
        <w:pStyle w:val="CaptionedFigure"/>
      </w:pPr>
      <w:r>
        <w:drawing>
          <wp:inline>
            <wp:extent cx="5334000" cy="3555999"/>
            <wp:effectExtent b="0" l="0" r="0" t="0"/>
            <wp:docPr descr="Marginal Effect of Formerly Incarcerated Residents on Precinct Turnout Among Registered Voters" title="" id="1" name="Picture"/>
            <a:graphic>
              <a:graphicData uri="http://schemas.openxmlformats.org/drawingml/2006/picture">
                <pic:pic>
                  <pic:nvPicPr>
                    <pic:cNvPr descr="amendment_4_turnout_files/figure-docx/marg1-1.png" id="0" name="Picture"/>
                    <pic:cNvPicPr>
                      <a:picLocks noChangeArrowheads="1" noChangeAspect="1"/>
                    </pic:cNvPicPr>
                  </pic:nvPicPr>
                  <pic:blipFill>
                    <a:blip r:embed="rId42"/>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Marginal Effect of Formerly Incarcerated Residents on Precinct Turnout Among Registered Voters</w:t>
      </w:r>
    </w:p>
    <w:p>
      <w:pPr>
        <w:pStyle w:val="BodyText"/>
      </w:pPr>
      <w:r>
        <w:t xml:space="preserve">In Table</w:t>
      </w:r>
      <w:r>
        <w:t xml:space="preserve"> </w:t>
      </w:r>
      <w:r>
        <w:t xml:space="preserve"> </w:t>
      </w:r>
      <w:r>
        <w:t xml:space="preserve">I present the results of OLS models that test whether the number of formerly incarcerated community members influences a neighborhood’s support for Amendment 4 or Amendment 4 roll-off. Roll-off is calculated as</w:t>
      </w:r>
      <w:r>
        <w:t xml:space="preserve"> </w:t>
      </w:r>
      <m:oMath>
        <m:r>
          <m:t>1</m:t>
        </m:r>
        <m:r>
          <m:t>−</m:t>
        </m:r>
        <m:f>
          <m:fPr>
            <m:type m:val="bar"/>
          </m:fPr>
          <m:num>
            <m:r>
              <m:t>B</m:t>
            </m:r>
            <m:r>
              <m:t>a</m:t>
            </m:r>
            <m:r>
              <m:t>l</m:t>
            </m:r>
            <m:r>
              <m:t>l</m:t>
            </m:r>
            <m:r>
              <m:t>o</m:t>
            </m:r>
            <m:r>
              <m:t>t</m:t>
            </m:r>
            <m:r>
              <m:t>s</m:t>
            </m:r>
            <m:r>
              <m:t> </m:t>
            </m:r>
            <m:r>
              <m:t>C</m:t>
            </m:r>
            <m:r>
              <m:t>a</m:t>
            </m:r>
            <m:r>
              <m:t>s</m:t>
            </m:r>
            <m:r>
              <m:t>t</m:t>
            </m:r>
            <m:r>
              <m:t> </m:t>
            </m:r>
            <m:r>
              <m:t>f</m:t>
            </m:r>
            <m:r>
              <m:t>o</m:t>
            </m:r>
            <m:r>
              <m:t>r</m:t>
            </m:r>
            <m:r>
              <m:t> </m:t>
            </m:r>
            <m:r>
              <m:t>A</m:t>
            </m:r>
            <m:r>
              <m:t>m</m:t>
            </m:r>
            <m:r>
              <m:t>e</m:t>
            </m:r>
            <m:r>
              <m:t>n</m:t>
            </m:r>
            <m:r>
              <m:t>d</m:t>
            </m:r>
            <m:r>
              <m:t>m</m:t>
            </m:r>
            <m:r>
              <m:t>e</m:t>
            </m:r>
            <m:r>
              <m:t>n</m:t>
            </m:r>
            <m:r>
              <m:t>t</m:t>
            </m:r>
            <m:r>
              <m:t> </m:t>
            </m:r>
            <m:r>
              <m:t>4</m:t>
            </m:r>
          </m:num>
          <m:den>
            <m:r>
              <m:t>B</m:t>
            </m:r>
            <m:r>
              <m:t>a</m:t>
            </m:r>
            <m:r>
              <m:t>l</m:t>
            </m:r>
            <m:r>
              <m:t>l</m:t>
            </m:r>
            <m:r>
              <m:t>o</m:t>
            </m:r>
            <m:r>
              <m:t>t</m:t>
            </m:r>
            <m:r>
              <m:t>s</m:t>
            </m:r>
            <m:r>
              <m:t> </m:t>
            </m:r>
            <m:r>
              <m:t>C</m:t>
            </m:r>
            <m:r>
              <m:t>a</m:t>
            </m:r>
            <m:r>
              <m:t>s</m:t>
            </m:r>
            <m:r>
              <m:t>t</m:t>
            </m:r>
            <m:r>
              <m:t> </m:t>
            </m:r>
            <m:r>
              <m:t>i</m:t>
            </m:r>
            <m:r>
              <m:t>n</m:t>
            </m:r>
            <m:r>
              <m:t> </m:t>
            </m:r>
            <m:r>
              <m:t>C</m:t>
            </m:r>
            <m:r>
              <m:t>o</m:t>
            </m:r>
            <m:r>
              <m:t>n</m:t>
            </m:r>
            <m:r>
              <m:t>t</m:t>
            </m:r>
            <m:r>
              <m:t>e</m:t>
            </m:r>
            <m:r>
              <m:t>s</m:t>
            </m:r>
            <m:r>
              <m:t>t</m:t>
            </m:r>
            <m:r>
              <m:t> </m:t>
            </m:r>
            <m:r>
              <m:t>w</m:t>
            </m:r>
            <m:r>
              <m:t>i</m:t>
            </m:r>
            <m:r>
              <m:t>t</m:t>
            </m:r>
            <m:r>
              <m:t>h</m:t>
            </m:r>
            <m:r>
              <m:t> </m:t>
            </m:r>
            <m:r>
              <m:t>t</m:t>
            </m:r>
            <m:r>
              <m:t>h</m:t>
            </m:r>
            <m:r>
              <m:t>e</m:t>
            </m:r>
            <m:r>
              <m:t> </m:t>
            </m:r>
            <m:r>
              <m:t>M</m:t>
            </m:r>
            <m:r>
              <m:t>o</m:t>
            </m:r>
            <m:r>
              <m:t>s</m:t>
            </m:r>
            <m:r>
              <m:t>t</m:t>
            </m:r>
            <m:r>
              <m:t> </m:t>
            </m:r>
            <m:r>
              <m:t>V</m:t>
            </m:r>
            <m:r>
              <m:t>o</m:t>
            </m:r>
            <m:r>
              <m:t>t</m:t>
            </m:r>
            <m:r>
              <m:t>e</m:t>
            </m:r>
            <m:r>
              <m:t>s</m:t>
            </m:r>
          </m:den>
        </m:f>
      </m:oMath>
      <w:r>
        <w:t xml:space="preserve">. It ranges from zero (if everyone who cast a ballot made a decision on the Amendment 4 question) to one (if no participants voted for or against Amendment 4). A lower number, therefore, represents lower roll-off and higher engagement.</w:t>
      </w:r>
    </w:p>
    <w:p>
      <w:pPr>
        <w:pStyle w:val="BodyText"/>
      </w:pPr>
      <w:r>
        <w:t xml:space="preserve">Table</w:t>
      </w:r>
      <w:r>
        <w:t xml:space="preserve"> </w:t>
      </w:r>
      <w:r>
        <w:t xml:space="preserve"> </w:t>
      </w:r>
      <w:r>
        <w:t xml:space="preserve">demonstrates that precincts with more formerly incarcerated residents supported Amendment 4 at slightly higher rates. Similarly, roll-off was lower in neighborhoods with more formerly incarcerated residents. It appears that while formerly incarcerated neighbors were not associated with getting people into the voting booth, they were associated with how voters cast their ballots once there.</w:t>
      </w:r>
    </w:p>
    <w:p>
      <w:pPr>
        <w:pStyle w:val="BodyText"/>
      </w:pPr>
      <w:r>
        <w:t xml:space="preserve">Figures</w:t>
      </w:r>
      <w:r>
        <w:t xml:space="preserve"> </w:t>
      </w:r>
      <w:r>
        <w:t xml:space="preserve"> </w:t>
      </w:r>
      <w:r>
        <w:t xml:space="preserve">and</w:t>
      </w:r>
      <w:r>
        <w:t xml:space="preserve"> </w:t>
      </w:r>
      <w:r>
        <w:t xml:space="preserve"> </w:t>
      </w:r>
      <w:r>
        <w:t xml:space="preserve">plot the marginal effect of each additional formerly incarcerated resident on a precinct’s support for Amendment 4 (model 1), and the precinct’s roll-off on Amendment 4 (model 3). These figures make clear that the number of formerly incarcerated residents has a relatively small impact on precinct support for its passage, and a relatively large impact on precinct level roll-off.</w:t>
      </w:r>
    </w:p>
    <w:p>
      <w:pPr>
        <w:pStyle w:val="BodyText"/>
      </w:pPr>
      <w:r>
        <w:drawing>
          <wp:inline>
            <wp:extent cx="5334000" cy="2286000"/>
            <wp:effectExtent b="0" l="0" r="0" t="0"/>
            <wp:docPr descr="Marginal Effect of Formerly Incarcerated Residents on Support for Amendment 4" title="" id="1" name="Picture"/>
            <a:graphic>
              <a:graphicData uri="http://schemas.openxmlformats.org/drawingml/2006/picture">
                <pic:pic>
                  <pic:nvPicPr>
                    <pic:cNvPr descr="amendment_4_turnout_files/figure-docx/marg-alt-1.png" id="0" name="Picture"/>
                    <pic:cNvPicPr>
                      <a:picLocks noChangeArrowheads="1" noChangeAspect="1"/>
                    </pic:cNvPicPr>
                  </pic:nvPicPr>
                  <pic:blipFill>
                    <a:blip r:embed="rId43"/>
                    <a:stretch>
                      <a:fillRect/>
                    </a:stretch>
                  </pic:blipFill>
                  <pic:spPr bwMode="auto">
                    <a:xfrm>
                      <a:off x="0" y="0"/>
                      <a:ext cx="5334000" cy="2286000"/>
                    </a:xfrm>
                    <a:prstGeom prst="rect">
                      <a:avLst/>
                    </a:prstGeom>
                    <a:noFill/>
                    <a:ln w="9525">
                      <a:noFill/>
                      <a:headEnd/>
                      <a:tailEnd/>
                    </a:ln>
                  </pic:spPr>
                </pic:pic>
              </a:graphicData>
            </a:graphic>
          </wp:inline>
        </w:drawing>
      </w:r>
      <w:r>
        <w:t xml:space="preserve"> </w:t>
      </w:r>
      <w:r>
        <w:drawing>
          <wp:inline>
            <wp:extent cx="5334000" cy="2286000"/>
            <wp:effectExtent b="0" l="0" r="0" t="0"/>
            <wp:docPr descr="Marginal Effect of Formerly Incarcerated Residents on Amendment 4 Roll-Off" title="" id="1" name="Picture"/>
            <a:graphic>
              <a:graphicData uri="http://schemas.openxmlformats.org/drawingml/2006/picture">
                <pic:pic>
                  <pic:nvPicPr>
                    <pic:cNvPr descr="amendment_4_turnout_files/figure-docx/marg-alt2-1.png" id="0" name="Picture"/>
                    <pic:cNvPicPr>
                      <a:picLocks noChangeArrowheads="1" noChangeAspect="1"/>
                    </pic:cNvPicPr>
                  </pic:nvPicPr>
                  <pic:blipFill>
                    <a:blip r:embed="rId44"/>
                    <a:stretch>
                      <a:fillRect/>
                    </a:stretch>
                  </pic:blipFill>
                  <pic:spPr bwMode="auto">
                    <a:xfrm>
                      <a:off x="0" y="0"/>
                      <a:ext cx="5334000" cy="2286000"/>
                    </a:xfrm>
                    <a:prstGeom prst="rect">
                      <a:avLst/>
                    </a:prstGeom>
                    <a:noFill/>
                    <a:ln w="9525">
                      <a:noFill/>
                      <a:headEnd/>
                      <a:tailEnd/>
                    </a:ln>
                  </pic:spPr>
                </pic:pic>
              </a:graphicData>
            </a:graphic>
          </wp:inline>
        </w:drawing>
      </w:r>
    </w:p>
    <w:p>
      <w:pPr>
        <w:pStyle w:val="BodyText"/>
      </w:pPr>
      <w:r>
        <w:t xml:space="preserve">As expected, the number of formerly incarcerated residents was highly correlated with roll-off. The issue of voting rights restoration is clearly more salient in neighborhoods where more residents would be re-enfranchised by the amendment. Why the relationship between formerly incarcerated residents and support is less strong (though positive and statistically significant) is not as clear, perhaps pointing to a variety of individual responses to crime and criminal justice policy in these neighborhoods.</w:t>
      </w:r>
      <w:r>
        <w:t xml:space="preserve"> </w:t>
      </w:r>
      <w:r>
        <w:t xml:space="preserve">Leverentz (</w:t>
      </w:r>
      <w:hyperlink w:anchor="ref-Leverentz2011">
        <w:r>
          <w:rPr>
            <w:rStyle w:val="Hyperlink"/>
          </w:rPr>
          <w:t xml:space="preserve">2011</w:t>
        </w:r>
      </w:hyperlink>
      <w:r>
        <w:t xml:space="preserve">)</w:t>
      </w:r>
      <w:r>
        <w:t xml:space="preserve"> </w:t>
      </w:r>
      <w:r>
        <w:t xml:space="preserve">argues that punitiveness is positively correlated with the salience of crime. The recently incarcerated residents might activate both punitiveness and support for the amendment, with support winning out slightly.</w:t>
      </w:r>
    </w:p>
    <w:p>
      <w:pPr>
        <w:pStyle w:val="BodyText"/>
      </w:pPr>
      <w:r>
        <w:t xml:space="preserve">Neighborhoods where the formerly incarcerated residents have been out of prison for longer saw both higher support for Amendment 4 and higher roll-off. It is unsurprising that the ballot initiative is less salient (and has higher roll-off) in areas with less-recent incarcerations. It is also possible that as a resident’s incarceration recedes into the past, punitiveness erodes more quickly than support, which would explain the observed higher support for Amendment 4 in these neighborhoods. Ultimately, the data at hand cannot directly test these hypotheses; future work ought to directly interrogate these relationships.</w:t>
      </w:r>
    </w:p>
    <w:p>
      <w:pPr>
        <w:pStyle w:val="Heading2"/>
      </w:pPr>
      <w:bookmarkStart w:id="45" w:name="individual-level-results"/>
      <w:r>
        <w:t xml:space="preserve">Individual-Level Results</w:t>
      </w:r>
      <w:bookmarkEnd w:id="45"/>
    </w:p>
    <w:p>
      <w:pPr>
        <w:pStyle w:val="FirstParagraph"/>
      </w:pPr>
      <w:r>
        <w:t xml:space="preserve">Neighborhood turnout rates could be obscuring underlying patterns. Encouragements to vote at the household level might be too small to register at the neighborhood level, and it is possible that Amendment 4 shaped turnout differently for individuals who live with formerly incarcerated individuals than for their neighbors. A neighborhood may have disengaged from the political process thanks to a history of aggressive state action. Household members of the formerly incarcerated may have had a similar historical response, and yet be more susceptible to mobilization from Amendment 4; they are, after all, the voters whose identities are most likely shaped by indirect exposure to felony disenfranchisement.</w:t>
      </w:r>
    </w:p>
    <w:p>
      <w:pPr>
        <w:pStyle w:val="BodyText"/>
      </w:pPr>
      <w:r>
        <w:t xml:space="preserve">This section directly examines the turnout of individuals who lived with formerly incarcerated individuals in 2018. As discussed above, I identify individuals who live with formerly incarcerated individuals by matching addresses listed in the Department of Corrections release data to the registered voter file. All registered voters who live at an address reported by a formerly incarcerated individual are considered</w:t>
      </w:r>
      <w:r>
        <w:t xml:space="preserve"> </w:t>
      </w:r>
      <w:r>
        <w:t xml:space="preserve">“</w:t>
      </w:r>
      <w:r>
        <w:t xml:space="preserve">treated.</w:t>
      </w:r>
      <w:r>
        <w:t xml:space="preserve">”</w:t>
      </w:r>
    </w:p>
    <w:p>
      <w:pPr>
        <w:pStyle w:val="BodyText"/>
      </w:pPr>
      <w:r>
        <w:t xml:space="preserve">Each treated individual is then genetically matched</w:t>
      </w:r>
      <w:r>
        <w:t xml:space="preserve"> </w:t>
      </w:r>
      <w:r>
        <w:t xml:space="preserve">(Sekhon</w:t>
      </w:r>
      <w:r>
        <w:t xml:space="preserve"> </w:t>
      </w:r>
      <w:hyperlink w:anchor="ref-Sekhon2011">
        <w:r>
          <w:rPr>
            <w:rStyle w:val="Hyperlink"/>
          </w:rPr>
          <w:t xml:space="preserve">2011</w:t>
        </w:r>
      </w:hyperlink>
      <w:r>
        <w:t xml:space="preserve">)</w:t>
      </w:r>
      <w:r>
        <w:t xml:space="preserve"> </w:t>
      </w:r>
      <w:r>
        <w:t xml:space="preserve">with five untreated registered voters elsewhere in her congressional district.</w:t>
      </w:r>
      <w:r>
        <w:rPr>
          <w:rStyle w:val="FootnoteReference"/>
        </w:rPr>
        <w:footnoteReference w:id="46"/>
      </w:r>
      <w:r>
        <w:t xml:space="preserve"> </w:t>
      </w:r>
      <w:r>
        <w:t xml:space="preserve">I use five matches in order to increase the sample size of the study; the large pool of potential controls means this can be done without sacrificing the quality of the matches. Exact matching is done on all characteristics with the exception of registration date, age, median income, and share with some collegiate education. Voters’ block group median income and share with some collegiate education come from the ACS 2018 5 year estimates, while all other characteristics come from the voter file. Matching is done with replacement and ties are not broken, which means that some treated voters may have more than five controls; the regression weights are calculated to allow for this possibility. Table</w:t>
      </w:r>
      <w:r>
        <w:t xml:space="preserve"> </w:t>
      </w:r>
      <w:r>
        <w:t xml:space="preserve"> </w:t>
      </w:r>
      <w:r>
        <w:t xml:space="preserve">presents the results of the matching exercise.</w:t>
      </w:r>
    </w:p>
    <w:p>
      <w:pPr>
        <w:pStyle w:val="BodyText"/>
      </w:pPr>
      <w:r>
        <w:t xml:space="preserve">As Table</w:t>
      </w:r>
      <w:r>
        <w:t xml:space="preserve"> </w:t>
      </w:r>
      <w:r>
        <w:t xml:space="preserve"> </w:t>
      </w:r>
      <w:r>
        <w:t xml:space="preserve">makes clear, the treated registered voters differ in meaningful ways from the rest of the electorate: three times as many are Black, a larger share are registered Democrats, and they live in neighborhoods with lower incomes. The matching process, however, results in a control group that is very similar to the treatment group with at least a 94 percent improvement in the mean difference for each measure.</w:t>
      </w:r>
    </w:p>
    <w:p>
      <w:pPr>
        <w:pStyle w:val="BodyText"/>
      </w:pPr>
      <w:r>
        <w:t xml:space="preserve">Figure</w:t>
      </w:r>
      <w:r>
        <w:t xml:space="preserve"> </w:t>
      </w:r>
      <w:r>
        <w:t xml:space="preserve"> </w:t>
      </w:r>
      <w:r>
        <w:t xml:space="preserve">demonstrates that the parallel trends assumption is satisfied: although the treatment group has lower turnout rates in general, the gap between the treatment and control groups is largely constant between 2010 and 2016. Turnout in each year is measured as a function of voters registered in 2018, which partially explains why observed turnout is higher later in the period. Of course, some of the increase in turnout observed in later years in Figure</w:t>
      </w:r>
      <w:r>
        <w:t xml:space="preserve"> </w:t>
      </w:r>
      <w:r>
        <w:t xml:space="preserve"> </w:t>
      </w:r>
      <w:r>
        <w:t xml:space="preserve">can be attributed to higher</w:t>
      </w:r>
      <w:r>
        <w:t xml:space="preserve"> </w:t>
      </w:r>
      <w:r>
        <w:t xml:space="preserve">“</w:t>
      </w:r>
      <w:r>
        <w:t xml:space="preserve">real</w:t>
      </w:r>
      <w:r>
        <w:t xml:space="preserve">”</w:t>
      </w:r>
      <w:r>
        <w:t xml:space="preserve"> </w:t>
      </w:r>
      <w:r>
        <w:t xml:space="preserve">turnout as a share of eligible citizens.</w:t>
      </w:r>
    </w:p>
    <w:p>
      <w:pPr>
        <w:pStyle w:val="CaptionedFigure"/>
      </w:pPr>
      <w:r>
        <w:drawing>
          <wp:inline>
            <wp:extent cx="5334000" cy="3555999"/>
            <wp:effectExtent b="0" l="0" r="0" t="0"/>
            <wp:docPr descr="General Election Turnout for Treated and Control Voters, 2010 – 2018" title="" id="1" name="Picture"/>
            <a:graphic>
              <a:graphicData uri="http://schemas.openxmlformats.org/drawingml/2006/picture">
                <pic:pic>
                  <pic:nvPicPr>
                    <pic:cNvPr descr="amendment_4_turnout_files/figure-docx/dind-1.png" id="0" name="Picture"/>
                    <pic:cNvPicPr>
                      <a:picLocks noChangeArrowheads="1" noChangeAspect="1"/>
                    </pic:cNvPicPr>
                  </pic:nvPicPr>
                  <pic:blipFill>
                    <a:blip r:embed="rId47"/>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General Election Turnout for Treated and Control Voters, 2010 – 2018</w:t>
      </w:r>
    </w:p>
    <w:p>
      <w:pPr>
        <w:pStyle w:val="BodyText"/>
      </w:pPr>
      <w:r>
        <w:t xml:space="preserve">The trends presented in Figure</w:t>
      </w:r>
      <w:r>
        <w:t xml:space="preserve"> </w:t>
      </w:r>
      <w:r>
        <w:t xml:space="preserve"> </w:t>
      </w:r>
      <w:r>
        <w:t xml:space="preserve">offer preliminary visual corroboration of what I find at the neighborhood level — namely, that 2018 turnout was not higher for voters in close contact with formerly incarcerated individuals. Table</w:t>
      </w:r>
      <w:r>
        <w:t xml:space="preserve"> </w:t>
      </w:r>
      <w:r>
        <w:t xml:space="preserve"> </w:t>
      </w:r>
      <w:r>
        <w:t xml:space="preserve">formalizes these trends into an ordinary least squares regression.</w:t>
      </w:r>
      <w:r>
        <w:rPr>
          <w:rStyle w:val="FootnoteReference"/>
        </w:rPr>
        <w:footnoteReference w:id="48"/>
      </w:r>
      <w:r>
        <w:t xml:space="preserve"> </w:t>
      </w:r>
      <w:r>
        <w:t xml:space="preserve">A treatment dummy distinguishes treated from control voters. The treatment dummy is interacted with another dummy identifying the 2018 election. Robust standard errors are clustered at the level of the match</w:t>
      </w:r>
      <w:r>
        <w:t xml:space="preserve"> </w:t>
      </w:r>
      <w:r>
        <w:t xml:space="preserve">(Abadie and Spiess</w:t>
      </w:r>
      <w:r>
        <w:t xml:space="preserve"> </w:t>
      </w:r>
      <w:hyperlink w:anchor="ref-Abadie2019">
        <w:r>
          <w:rPr>
            <w:rStyle w:val="Hyperlink"/>
          </w:rPr>
          <w:t xml:space="preserve">2019</w:t>
        </w:r>
      </w:hyperlink>
      <w:r>
        <w:t xml:space="preserve">)</w:t>
      </w:r>
      <w:r>
        <w:t xml:space="preserve">. Model 1 presents the model output without the other controls used for matching; model 2 includes these covariates.</w:t>
      </w:r>
    </w:p>
    <w:p>
      <w:pPr>
        <w:pStyle w:val="BodyText"/>
      </w:pPr>
      <w:r>
        <w:t xml:space="preserve">In models 3 and 4 of Table</w:t>
      </w:r>
      <w:r>
        <w:t xml:space="preserve"> </w:t>
      </w:r>
      <w:r>
        <w:t xml:space="preserve"> </w:t>
      </w:r>
      <w:r>
        <w:t xml:space="preserve">I consider the possibility that the negative effects of their incarceration on turnout dissipate over time. In these models, the dummies indicating treatment and the 2018 election are interacted with the number of years since the most recent release of a household member from prison (</w:t>
      </w:r>
      <w:r>
        <w:rPr>
          <w:i/>
        </w:rPr>
        <w:t xml:space="preserve">Years Since Latest Incarceration</w:t>
      </w:r>
      <w:r>
        <w:t xml:space="preserve">, shortened to</w:t>
      </w:r>
      <w:r>
        <w:t xml:space="preserve"> </w:t>
      </w:r>
      <w:r>
        <w:rPr>
          <w:i/>
        </w:rPr>
        <w:t xml:space="preserve">Years Since</w:t>
      </w:r>
      <w:r>
        <w:t xml:space="preserve"> </w:t>
      </w:r>
      <w:r>
        <w:t xml:space="preserve">in interactions). Matched control observations are assigned the value associated with their treated observation. Model 3 includes no other covariates, while model 4 includes the matched variables.</w:t>
      </w:r>
    </w:p>
    <w:p>
      <w:pPr>
        <w:pStyle w:val="BodyText"/>
      </w:pPr>
      <w:r>
        <w:t xml:space="preserve">Formerly incarcerated individuals who were released from prison many years ago may no longer live at the same address they reported when leaving prison. Models 5 – 8 therefore include only the treated individuals (and their matches) whose registration dates predate than the latest prison release date of a household member, who we can be relatively sure lived with an incarcerated individual. The treatment effects in these models tell the same general story.</w:t>
      </w:r>
    </w:p>
    <w:p>
      <w:pPr>
        <w:pStyle w:val="BodyText"/>
      </w:pPr>
      <w:r>
        <w:t xml:space="preserve">Each model in Table</w:t>
      </w:r>
      <w:r>
        <w:t xml:space="preserve"> </w:t>
      </w:r>
      <w:r>
        <w:t xml:space="preserve"> </w:t>
      </w:r>
      <w:r>
        <w:t xml:space="preserve">identifies a negative treatment effect. The coefficients on</w:t>
      </w:r>
      <w:r>
        <w:t xml:space="preserve"> </w:t>
      </w:r>
      <w:r>
        <w:rPr>
          <w:i/>
        </w:rPr>
        <w:t xml:space="preserve">2018 × Treated</w:t>
      </w:r>
      <w:r>
        <w:t xml:space="preserve"> </w:t>
      </w:r>
      <w:r>
        <w:t xml:space="preserve">in models 1 and 2 indicate that turnout among treated voters was about 2.1 percentage points below what it would have been if the gap between treated and control voters in 2018 had conformed to prior years.</w:t>
      </w:r>
    </w:p>
    <w:p>
      <w:pPr>
        <w:pStyle w:val="BodyText"/>
      </w:pPr>
      <w:r>
        <w:t xml:space="preserve">There is some indication that</w:t>
      </w:r>
      <w:r>
        <w:t xml:space="preserve"> </w:t>
      </w:r>
      <w:r>
        <w:t xml:space="preserve">“</w:t>
      </w:r>
      <w:r>
        <w:t xml:space="preserve">spillover</w:t>
      </w:r>
      <w:r>
        <w:t xml:space="preserve">”</w:t>
      </w:r>
      <w:r>
        <w:t xml:space="preserve"> </w:t>
      </w:r>
      <w:r>
        <w:t xml:space="preserve">effects lessen with time. In each model,</w:t>
      </w:r>
      <w:r>
        <w:t xml:space="preserve"> </w:t>
      </w:r>
      <w:r>
        <w:rPr>
          <w:i/>
        </w:rPr>
        <w:t xml:space="preserve">2018 × Treated × Years Since</w:t>
      </w:r>
      <w:r>
        <w:t xml:space="preserve"> </w:t>
      </w:r>
      <w:r>
        <w:t xml:space="preserve">and</w:t>
      </w:r>
      <w:r>
        <w:t xml:space="preserve"> </w:t>
      </w:r>
      <w:r>
        <w:rPr>
          <w:i/>
        </w:rPr>
        <w:t xml:space="preserve">Treated × Years Since</w:t>
      </w:r>
      <w:r>
        <w:t xml:space="preserve"> </w:t>
      </w:r>
      <w:r>
        <w:t xml:space="preserve">is positive and statistically significant. In other words, individuals whose housemates had not been imprisoned for many years were more likely to vote than other treated voters, and this was especially true in 2018. Models 3 and 4 estimate that the treatment effect for an individual whose household member returned from prison within one year of the election was about -3.8 percentage points. For each year the most recent incarceration recedes into the past, the treatment effect decreases by about 0.2 points in years other than 2018, and by 0.4 points in 2018. That the spillover effects</w:t>
      </w:r>
      <w:r>
        <w:t xml:space="preserve"> </w:t>
      </w:r>
      <w:r>
        <w:t xml:space="preserve">“</w:t>
      </w:r>
      <w:r>
        <w:t xml:space="preserve">decay</w:t>
      </w:r>
      <w:r>
        <w:t xml:space="preserve">”</w:t>
      </w:r>
      <w:r>
        <w:t xml:space="preserve"> </w:t>
      </w:r>
      <w:r>
        <w:t xml:space="preserve">is a positive sign, and indicates that the negative socialization induced by a housemate’s incarceration might not be permanent.</w:t>
      </w:r>
    </w:p>
    <w:p>
      <w:pPr>
        <w:pStyle w:val="BodyText"/>
      </w:pPr>
      <w:r>
        <w:t xml:space="preserve">That the effect is moderated by time is unsurprising. Individuals whose household members went to and were released from prison between the 2016 and 2018 elections, for instance, received two treatments: they both were</w:t>
      </w:r>
      <w:r>
        <w:t xml:space="preserve"> </w:t>
      </w:r>
      <w:r>
        <w:t xml:space="preserve">“</w:t>
      </w:r>
      <w:r>
        <w:t xml:space="preserve">negatively</w:t>
      </w:r>
      <w:r>
        <w:t xml:space="preserve">”</w:t>
      </w:r>
      <w:r>
        <w:t xml:space="preserve"> </w:t>
      </w:r>
      <w:r>
        <w:t xml:space="preserve">treated by the incarceration of their housemate and potentially</w:t>
      </w:r>
      <w:r>
        <w:t xml:space="preserve"> </w:t>
      </w:r>
      <w:r>
        <w:t xml:space="preserve">“</w:t>
      </w:r>
      <w:r>
        <w:t xml:space="preserve">positively</w:t>
      </w:r>
      <w:r>
        <w:t xml:space="preserve">”</w:t>
      </w:r>
      <w:r>
        <w:t xml:space="preserve"> </w:t>
      </w:r>
      <w:r>
        <w:t xml:space="preserve">treated by Amendment 4. What</w:t>
      </w:r>
      <w:r>
        <w:t xml:space="preserve"> </w:t>
      </w:r>
      <w:r>
        <w:rPr>
          <w:i/>
        </w:rPr>
        <w:t xml:space="preserve">is</w:t>
      </w:r>
      <w:r>
        <w:t xml:space="preserve"> </w:t>
      </w:r>
      <w:r>
        <w:t xml:space="preserve">surprising, however, is the continued negative treatment effect even for the households furthest removed from the incarceration of a household member. Table</w:t>
      </w:r>
      <w:r>
        <w:t xml:space="preserve"> </w:t>
      </w:r>
      <w:r>
        <w:t xml:space="preserve"> </w:t>
      </w:r>
      <w:r>
        <w:t xml:space="preserve">presents the results of models 5 and 6 from Table</w:t>
      </w:r>
      <w:r>
        <w:t xml:space="preserve"> </w:t>
      </w:r>
      <w:r>
        <w:t xml:space="preserve">, but limits the pool to households where someone last returned home from prison prior to 2010. The</w:t>
      </w:r>
      <w:r>
        <w:t xml:space="preserve"> </w:t>
      </w:r>
      <w:r>
        <w:t xml:space="preserve">“</w:t>
      </w:r>
      <w:r>
        <w:t xml:space="preserve">negative</w:t>
      </w:r>
      <w:r>
        <w:t xml:space="preserve">”</w:t>
      </w:r>
      <w:r>
        <w:t xml:space="preserve"> </w:t>
      </w:r>
      <w:r>
        <w:t xml:space="preserve">treatment for these individuals should be reflected in the base years of the difference-in-differences models. That</w:t>
      </w:r>
      <w:r>
        <w:t xml:space="preserve"> </w:t>
      </w:r>
      <w:r>
        <w:rPr>
          <w:i/>
        </w:rPr>
        <w:t xml:space="preserve">2018 × Treated</w:t>
      </w:r>
      <w:r>
        <w:t xml:space="preserve"> </w:t>
      </w:r>
      <w:r>
        <w:t xml:space="preserve">remains significant and negative for these individuals is puzzling.</w:t>
      </w:r>
    </w:p>
    <w:p>
      <w:pPr>
        <w:pStyle w:val="BodyText"/>
      </w:pPr>
      <w:r>
        <w:t xml:space="preserve">These negative, statistically significant findings should probably not be interpreted to mean that Amendment 4 had a demobilizing effect on individuals whose family and community members would be re-enfranchised by its passage. Rather, it likely highlights that these individuals are less susceptible to other broadly mobilizing phenomena. The 2018 election saw higher turnout than any midterm in a century as many infrequent voters turned out. It appears that voters whose household members have been to prison were less mobilized by the factors that encouraged other demographically similar voters to participate in 2018. This analysis cannot determine whether their indirect exposure to the criminal justice system caused this imperviousness, or if they would have remained on the sidelines in 2018 even if their household members were not disenfranchised. Nevertheless, their relatively depressed turnout in 2018 — even with Amendment 4 on the ballot — underscores just how difficult their political (re)integration is.</w:t>
      </w:r>
    </w:p>
    <w:p>
      <w:pPr>
        <w:pStyle w:val="Heading2"/>
      </w:pPr>
      <w:bookmarkStart w:id="49" w:name="discussion-and-conclusion"/>
      <w:r>
        <w:t xml:space="preserve">Discussion and Conclusion</w:t>
      </w:r>
      <w:bookmarkEnd w:id="49"/>
    </w:p>
    <w:p>
      <w:pPr>
        <w:pStyle w:val="FirstParagraph"/>
      </w:pPr>
      <w:r>
        <w:t xml:space="preserve">Turnout in 2018 hit historic levels for a midterm election as infrequent voters participated and made their voices heard. In addition to hotly contested Congressional, senate, and gubernatorial races, Floridians were presented with the opportunity to restore voting rights to well over a million permanently disenfranchised individuals who had been convicted of felony offenses. Amendment 4 and its organizers were hugely successful — in a year where both statewide winners won by less than 0.5 percentage points, nearly two-thirds of Floridians supported expanding the franchise. Neighborhoods and voters most directly impacted by felony disenfranchisement gained meaningful political representation from the passage of the amendment, and one of the</w:t>
      </w:r>
      <w:r>
        <w:t xml:space="preserve"> </w:t>
      </w:r>
      <w:r>
        <w:t xml:space="preserve">“</w:t>
      </w:r>
      <w:r>
        <w:t xml:space="preserve">durable markers</w:t>
      </w:r>
      <w:r>
        <w:t xml:space="preserve">”</w:t>
      </w:r>
      <w:r>
        <w:t xml:space="preserve"> </w:t>
      </w:r>
      <w:r>
        <w:t xml:space="preserve">of their civil death was nullified. Eligible voters who lived with formerly incarcerated individuals</w:t>
      </w:r>
      <w:r>
        <w:t xml:space="preserve"> </w:t>
      </w:r>
      <w:r>
        <w:rPr>
          <w:i/>
        </w:rPr>
        <w:t xml:space="preserve">did</w:t>
      </w:r>
      <w:r>
        <w:t xml:space="preserve"> </w:t>
      </w:r>
      <w:r>
        <w:t xml:space="preserve">turn out at higher rates in 2018 than in previous elections: among those who were registered as of the 2014 midterm, turnout increased from 41.5 percent that year to 52.5 percent in 2018.</w:t>
      </w:r>
    </w:p>
    <w:p>
      <w:pPr>
        <w:pStyle w:val="BodyText"/>
      </w:pPr>
      <w:r>
        <w:t xml:space="preserve">Despite these major gains in turnout among individuals exposed to the carceral state via the incarceration of a community member, I fail to uncover evidence that Amendment 4 itself increased their turnout above-and-beyond that observed among other voters and in other communities. Although the substance of the amendment and language used to promote it spoke of a reconciled citizenship, these voters were not more likely to participate. In fact, the evidence points in the opposite direction: turnout for these voters actually increased less in 2018 than it did for other voters. Not only was Amendment 4 not particularly mobilizing, but these voters are also less susceptible to factors contributing to statewide surges in turnout. However, lower roll-off in impacted neighborhoods implies that the amendment was highly salient for the voters who did cast a ballot.</w:t>
      </w:r>
    </w:p>
    <w:p>
      <w:pPr>
        <w:pStyle w:val="BodyText"/>
      </w:pPr>
      <w:r>
        <w:t xml:space="preserve">Why Amendment 4 did not mobilize these voters is not immediately apparent. The current study cannot tell whether it was an issue of lower political knowledge, or because the negative socialization of the carceral state runs too deep for a single ballot initiative to overcome. However, if lack of trust in government was the reason that the ballot initiative failed to mobilize these voters, this negative socialization was likely only reinforced in the aftermath of the 2018 election.</w:t>
      </w:r>
    </w:p>
    <w:p>
      <w:pPr>
        <w:pStyle w:val="BodyText"/>
      </w:pPr>
      <w:r>
        <w:t xml:space="preserve">Just months after the 2018 election the Florida legislature passed a bill requiring disenfranchised individuals to pay off all court-ordered financial obligations before registering to vote, despite the fact that the state was incapable of determining how much any individual actually owed</w:t>
      </w:r>
      <w:r>
        <w:t xml:space="preserve"> </w:t>
      </w:r>
      <w:r>
        <w:t xml:space="preserve">(Stern</w:t>
      </w:r>
      <w:r>
        <w:t xml:space="preserve"> </w:t>
      </w:r>
      <w:hyperlink w:anchor="ref-Stern2019">
        <w:r>
          <w:rPr>
            <w:rStyle w:val="Hyperlink"/>
          </w:rPr>
          <w:t xml:space="preserve">2019</w:t>
        </w:r>
      </w:hyperlink>
      <w:r>
        <w:t xml:space="preserve">)</w:t>
      </w:r>
      <w:r>
        <w:t xml:space="preserve">. In May of 2020, a federal judge ruled the law unconstitutional, arguing that conditioning voting rights on the repayment of obligations that individuals cannot afford amounted to a poll tax and violation of the 24th Amendment.</w:t>
      </w:r>
      <w:r>
        <w:rPr>
          <w:rStyle w:val="FootnoteReference"/>
        </w:rPr>
        <w:footnoteReference w:id="50"/>
      </w:r>
      <w:r>
        <w:t xml:space="preserve"> </w:t>
      </w:r>
      <w:r>
        <w:t xml:space="preserve">In September 2020, however, the U.S. Court of Appeals for the 11th Circuit overturned that decision,</w:t>
      </w:r>
      <w:r>
        <w:rPr>
          <w:rStyle w:val="FootnoteReference"/>
        </w:rPr>
        <w:footnoteReference w:id="51"/>
      </w:r>
      <w:r>
        <w:t xml:space="preserve"> </w:t>
      </w:r>
      <w:r>
        <w:t xml:space="preserve">upholding the constitutionality of the law. In his dissent, Judge Adalberto Jordan noted that</w:t>
      </w:r>
      <w:r>
        <w:t xml:space="preserve"> </w:t>
      </w:r>
      <w:r>
        <w:t xml:space="preserve">“</w:t>
      </w:r>
      <w:r>
        <w:t xml:space="preserve">[h]ad Florida wanted to create a system to obstruct, impede, and impair the ability of felons to vote under Amendment 4, it could not have come up with a better one</w:t>
      </w:r>
      <w:r>
        <w:t xml:space="preserve">”</w:t>
      </w:r>
      <w:r>
        <w:t xml:space="preserve"> </w:t>
      </w:r>
      <w:r>
        <w:t xml:space="preserve">and that</w:t>
      </w:r>
      <w:r>
        <w:t xml:space="preserve"> </w:t>
      </w:r>
      <w:r>
        <w:t xml:space="preserve">“</w:t>
      </w:r>
      <w:r>
        <w:t xml:space="preserve">Florida cannot tell felons — the great majority of whom are indigent — how much they owe… and has come up with conflicting (and uncodified) methods for determining how LFO payments by felons should be credited.</w:t>
      </w:r>
      <w:r>
        <w:t xml:space="preserve">”</w:t>
      </w:r>
      <w:r>
        <w:t xml:space="preserve"> </w:t>
      </w:r>
      <w:r>
        <w:t xml:space="preserve">That Florida legislators would condition voting on criteria that cannot be verified, or cannot be afforded, has understandably been described as</w:t>
      </w:r>
      <w:r>
        <w:t xml:space="preserve"> </w:t>
      </w:r>
      <w:r>
        <w:t xml:space="preserve">“</w:t>
      </w:r>
      <w:r>
        <w:t xml:space="preserve">unfair [and] heartbreaking</w:t>
      </w:r>
      <w:r>
        <w:t xml:space="preserve">”</w:t>
      </w:r>
      <w:r>
        <w:t xml:space="preserve"> </w:t>
      </w:r>
      <w:r>
        <w:t xml:space="preserve">by one disenfranchised individual who said the amendment had promised to</w:t>
      </w:r>
      <w:r>
        <w:t xml:space="preserve"> </w:t>
      </w:r>
      <w:r>
        <w:t xml:space="preserve">“</w:t>
      </w:r>
      <w:r>
        <w:t xml:space="preserve">give me a voice in my own future</w:t>
      </w:r>
      <w:r>
        <w:t xml:space="preserve">”</w:t>
      </w:r>
      <w:r>
        <w:t xml:space="preserve"> </w:t>
      </w:r>
      <w:r>
        <w:t xml:space="preserve">(Harris</w:t>
      </w:r>
      <w:r>
        <w:t xml:space="preserve"> </w:t>
      </w:r>
      <w:hyperlink w:anchor="ref-Harris2020">
        <w:r>
          <w:rPr>
            <w:rStyle w:val="Hyperlink"/>
          </w:rPr>
          <w:t xml:space="preserve">2020</w:t>
        </w:r>
      </w:hyperlink>
      <w:r>
        <w:t xml:space="preserve">)</w:t>
      </w:r>
      <w:r>
        <w:t xml:space="preserve">. It remains to be seen how such legislation and litigation will inform how criminal justice-involved individuals understand their relationship with the state and structure their future democratic participation.</w:t>
      </w:r>
    </w:p>
    <w:p>
      <w:pPr>
        <w:pStyle w:val="BodyText"/>
      </w:pPr>
      <w:r>
        <w:t xml:space="preserve">The results of this study point to the next chapter of the fight for political integration and representation for advocates in the Sunshine State. The relatively lower turnout in 2018 for the communities most impacted by the carceral state indicates that formal re-enfranchisement is not enough. If Floridian and American democracy wants to</w:t>
      </w:r>
      <w:r>
        <w:t xml:space="preserve"> </w:t>
      </w:r>
      <w:r>
        <w:rPr>
          <w:i/>
        </w:rPr>
        <w:t xml:space="preserve">actually</w:t>
      </w:r>
      <w:r>
        <w:t xml:space="preserve"> </w:t>
      </w:r>
      <w:r>
        <w:t xml:space="preserve">incorporate voices from these communities — and not simply legally</w:t>
      </w:r>
      <w:r>
        <w:t xml:space="preserve"> </w:t>
      </w:r>
      <w:r>
        <w:rPr>
          <w:i/>
        </w:rPr>
        <w:t xml:space="preserve">allow</w:t>
      </w:r>
      <w:r>
        <w:t xml:space="preserve"> </w:t>
      </w:r>
      <w:r>
        <w:t xml:space="preserve">for their incorporation — the advocacy movement cannot consider its work done once the formal barriers to the ballot box have been torn down. Re-enfranchisement is clearly necessary, but it is not sufficient. Researchers must continue exploring why the political re-incorporation of these communities is so difficult, and organizers on the ground must do the hard work of reknitting them to our body politic.</w:t>
      </w:r>
    </w:p>
    <w:p>
      <w:r>
        <w:br w:type="page"/>
      </w:r>
    </w:p>
    <w:p>
      <w:pPr>
        <w:pStyle w:val="Heading2"/>
      </w:pPr>
      <w:bookmarkStart w:id="52" w:name="references"/>
      <w:r>
        <w:t xml:space="preserve">References</w:t>
      </w:r>
      <w:bookmarkEnd w:id="52"/>
    </w:p>
    <w:bookmarkStart w:id="159" w:name="refs"/>
    <w:bookmarkStart w:id="53" w:name="ref-Abadie2019"/>
    <w:p>
      <w:pPr>
        <w:pStyle w:val="Bibliography"/>
      </w:pPr>
      <w:r>
        <w:t xml:space="preserve">Abadie, Alberto, and Jann Spiess. 2019. “Robust Post-Matching Inference.”</w:t>
      </w:r>
      <w:r>
        <w:t xml:space="preserve"> </w:t>
      </w:r>
      <w:r>
        <w:rPr>
          <w:i/>
        </w:rPr>
        <w:t xml:space="preserve">Working Paper.</w:t>
      </w:r>
    </w:p>
    <w:bookmarkEnd w:id="53"/>
    <w:bookmarkStart w:id="55" w:name="ref-Amos2020"/>
    <w:p>
      <w:pPr>
        <w:pStyle w:val="Bibliography"/>
      </w:pPr>
      <w:r>
        <w:t xml:space="preserve">Amos, Brian, and Michael P. McDonald. 2020. “A Method to Audit the Assignment of Registered Voters to Districts and Precincts.”</w:t>
      </w:r>
      <w:r>
        <w:t xml:space="preserve"> </w:t>
      </w:r>
      <w:r>
        <w:rPr>
          <w:i/>
        </w:rPr>
        <w:t xml:space="preserve">Political Analysis</w:t>
      </w:r>
      <w:r>
        <w:t xml:space="preserve">, 1–16.</w:t>
      </w:r>
      <w:r>
        <w:t xml:space="preserve"> </w:t>
      </w:r>
      <w:hyperlink r:id="rId54">
        <w:r>
          <w:rPr>
            <w:rStyle w:val="Hyperlink"/>
          </w:rPr>
          <w:t xml:space="preserve">https://doi.org/10.1017/pan.2019.44</w:t>
        </w:r>
      </w:hyperlink>
      <w:r>
        <w:t xml:space="preserve">.</w:t>
      </w:r>
    </w:p>
    <w:bookmarkEnd w:id="55"/>
    <w:bookmarkStart w:id="57" w:name="ref-Amos2017"/>
    <w:p>
      <w:pPr>
        <w:pStyle w:val="Bibliography"/>
      </w:pPr>
      <w:r>
        <w:t xml:space="preserve">Amos, Brian, Michael P. McDonald, and Russell Watkins. 2017. “When Boundaries CollideConstructing a National Database of Demographic and Voting Statistics.”</w:t>
      </w:r>
      <w:r>
        <w:t xml:space="preserve"> </w:t>
      </w:r>
      <w:r>
        <w:rPr>
          <w:i/>
        </w:rPr>
        <w:t xml:space="preserve">Public Opinion Quarterly</w:t>
      </w:r>
      <w:r>
        <w:t xml:space="preserve"> </w:t>
      </w:r>
      <w:r>
        <w:t xml:space="preserve">81 (S1): 385–400.</w:t>
      </w:r>
      <w:r>
        <w:t xml:space="preserve"> </w:t>
      </w:r>
      <w:hyperlink r:id="rId56">
        <w:r>
          <w:rPr>
            <w:rStyle w:val="Hyperlink"/>
          </w:rPr>
          <w:t xml:space="preserve">https://doi.org/10.1093/poq/nfx001</w:t>
        </w:r>
      </w:hyperlink>
      <w:r>
        <w:t xml:space="preserve">.</w:t>
      </w:r>
    </w:p>
    <w:bookmarkEnd w:id="57"/>
    <w:bookmarkStart w:id="59" w:name="ref-Austin2004"/>
    <w:p>
      <w:pPr>
        <w:pStyle w:val="Bibliography"/>
      </w:pPr>
      <w:r>
        <w:t xml:space="preserve">Austin, Regina. 2004. “The Shame of It All: Stigma and the Political Disenfranchisement of Formerly Convicted and Incarcerated Persons Symposium on Race, Crime, and Voting: Social, Political, and Philosophical Perspectives on Felony Disenfranchisement in America.”</w:t>
      </w:r>
      <w:r>
        <w:t xml:space="preserve"> </w:t>
      </w:r>
      <w:r>
        <w:rPr>
          <w:i/>
        </w:rPr>
        <w:t xml:space="preserve">Columbia Human Rights Law Review</w:t>
      </w:r>
      <w:r>
        <w:t xml:space="preserve"> </w:t>
      </w:r>
      <w:r>
        <w:t xml:space="preserve">36 (1): 173–92.</w:t>
      </w:r>
      <w:r>
        <w:t xml:space="preserve"> </w:t>
      </w:r>
      <w:hyperlink r:id="rId58">
        <w:r>
          <w:rPr>
            <w:rStyle w:val="Hyperlink"/>
          </w:rPr>
          <w:t xml:space="preserve">https://heinonline.org/HOL/P?h=hein.journals/colhr36&amp;i=181</w:t>
        </w:r>
      </w:hyperlink>
      <w:r>
        <w:t xml:space="preserve">.</w:t>
      </w:r>
    </w:p>
    <w:bookmarkEnd w:id="59"/>
    <w:bookmarkStart w:id="61" w:name="ref-Bousquet2018a"/>
    <w:p>
      <w:pPr>
        <w:pStyle w:val="Bibliography"/>
      </w:pPr>
      <w:r>
        <w:t xml:space="preserve">Bousquet, Steve. 2018. “Judge: Florida’s Early Voting-on-Campus Ban Shows ‘Stark Pattern of Discrimination’.”</w:t>
      </w:r>
      <w:r>
        <w:t xml:space="preserve"> </w:t>
      </w:r>
      <w:r>
        <w:rPr>
          <w:i/>
        </w:rPr>
        <w:t xml:space="preserve">Tampa Bay Times</w:t>
      </w:r>
      <w:r>
        <w:t xml:space="preserve">, July 24, 2018.</w:t>
      </w:r>
      <w:r>
        <w:t xml:space="preserve"> </w:t>
      </w:r>
      <w:hyperlink r:id="rId60">
        <w:r>
          <w:rPr>
            <w:rStyle w:val="Hyperlink"/>
          </w:rPr>
          <w:t xml:space="preserve">https://www.tampabay.comundefined/</w:t>
        </w:r>
      </w:hyperlink>
      <w:r>
        <w:t xml:space="preserve">.</w:t>
      </w:r>
    </w:p>
    <w:bookmarkEnd w:id="61"/>
    <w:bookmarkStart w:id="63" w:name="ref-Bowers2009"/>
    <w:p>
      <w:pPr>
        <w:pStyle w:val="Bibliography"/>
      </w:pPr>
      <w:r>
        <w:t xml:space="preserve">Bowers, Melanie, and Robert R. Preuhs. 2009. “Collateral Consequences of a Collateral Penalty: The Negative Effect of Felon Disenfranchisement Laws on the Political Participation of Nonfelons*.”</w:t>
      </w:r>
      <w:r>
        <w:t xml:space="preserve"> </w:t>
      </w:r>
      <w:r>
        <w:rPr>
          <w:i/>
        </w:rPr>
        <w:t xml:space="preserve">Social Science Quarterly</w:t>
      </w:r>
      <w:r>
        <w:t xml:space="preserve"> </w:t>
      </w:r>
      <w:r>
        <w:t xml:space="preserve">90 (3): 722–43.</w:t>
      </w:r>
      <w:r>
        <w:t xml:space="preserve"> </w:t>
      </w:r>
      <w:hyperlink r:id="rId62">
        <w:r>
          <w:rPr>
            <w:rStyle w:val="Hyperlink"/>
          </w:rPr>
          <w:t xml:space="preserve">https://doi.org/10.1111/j.1540-6237.2009.00640.x</w:t>
        </w:r>
      </w:hyperlink>
      <w:r>
        <w:t xml:space="preserve">.</w:t>
      </w:r>
    </w:p>
    <w:bookmarkEnd w:id="63"/>
    <w:bookmarkStart w:id="65" w:name="ref-Bowler1994"/>
    <w:p>
      <w:pPr>
        <w:pStyle w:val="Bibliography"/>
      </w:pPr>
      <w:r>
        <w:t xml:space="preserve">Bowler, Shaun, and Todd Donovan. 1994. “Information and Opinion Change on Ballot Propositions.”</w:t>
      </w:r>
      <w:r>
        <w:t xml:space="preserve"> </w:t>
      </w:r>
      <w:r>
        <w:rPr>
          <w:i/>
        </w:rPr>
        <w:t xml:space="preserve">Political Behavior</w:t>
      </w:r>
      <w:r>
        <w:t xml:space="preserve"> </w:t>
      </w:r>
      <w:r>
        <w:t xml:space="preserve">16 (4): 411–35.</w:t>
      </w:r>
      <w:r>
        <w:t xml:space="preserve"> </w:t>
      </w:r>
      <w:hyperlink r:id="rId64">
        <w:r>
          <w:rPr>
            <w:rStyle w:val="Hyperlink"/>
          </w:rPr>
          <w:t xml:space="preserve">http://www.jstor.org/stable/586468</w:t>
        </w:r>
      </w:hyperlink>
      <w:r>
        <w:t xml:space="preserve">.</w:t>
      </w:r>
    </w:p>
    <w:bookmarkEnd w:id="65"/>
    <w:bookmarkStart w:id="67" w:name="ref-Burch2011"/>
    <w:p>
      <w:pPr>
        <w:pStyle w:val="Bibliography"/>
      </w:pPr>
      <w:r>
        <w:t xml:space="preserve">Burch, Traci. 2011. “Turnout and Party Registration Among Criminal Offenders in the 2008 General Election.”</w:t>
      </w:r>
      <w:r>
        <w:t xml:space="preserve"> </w:t>
      </w:r>
      <w:r>
        <w:rPr>
          <w:i/>
        </w:rPr>
        <w:t xml:space="preserve">Law &amp; Society Review</w:t>
      </w:r>
      <w:r>
        <w:t xml:space="preserve"> </w:t>
      </w:r>
      <w:r>
        <w:t xml:space="preserve">45 (3): 699–730.</w:t>
      </w:r>
      <w:r>
        <w:t xml:space="preserve"> </w:t>
      </w:r>
      <w:hyperlink r:id="rId66">
        <w:r>
          <w:rPr>
            <w:rStyle w:val="Hyperlink"/>
          </w:rPr>
          <w:t xml:space="preserve">https://doi.org/10.1111/j.1540-5893.2011.00448.x</w:t>
        </w:r>
      </w:hyperlink>
      <w:r>
        <w:t xml:space="preserve">.</w:t>
      </w:r>
    </w:p>
    <w:bookmarkEnd w:id="67"/>
    <w:bookmarkStart w:id="69" w:name="ref-Burch2013"/>
    <w:p>
      <w:pPr>
        <w:pStyle w:val="Bibliography"/>
      </w:pPr>
      <w:r>
        <w:t xml:space="preserve">Burch, Traci R. 2013. “Effects of Imprisonment and Community Supervision on Neighborhood Political Participation in North Carolina:”</w:t>
      </w:r>
      <w:r>
        <w:t xml:space="preserve"> </w:t>
      </w:r>
      <w:r>
        <w:rPr>
          <w:i/>
        </w:rPr>
        <w:t xml:space="preserve">The ANNALS of the American Academy of Political and Social Science</w:t>
      </w:r>
      <w:r>
        <w:t xml:space="preserve">, November.</w:t>
      </w:r>
      <w:r>
        <w:t xml:space="preserve"> </w:t>
      </w:r>
      <w:hyperlink r:id="rId68">
        <w:r>
          <w:rPr>
            <w:rStyle w:val="Hyperlink"/>
          </w:rPr>
          <w:t xml:space="preserve">https://doi.org/10.1177/0002716213503093</w:t>
        </w:r>
      </w:hyperlink>
      <w:r>
        <w:t xml:space="preserve">.</w:t>
      </w:r>
    </w:p>
    <w:bookmarkEnd w:id="69"/>
    <w:bookmarkStart w:id="71" w:name="ref-Bushway2007"/>
    <w:p>
      <w:pPr>
        <w:pStyle w:val="Bibliography"/>
      </w:pPr>
      <w:r>
        <w:t xml:space="preserve">Bushway, Shawn D., Michael A. Stoll, and David Weiman. 2007.</w:t>
      </w:r>
      <w:r>
        <w:t xml:space="preserve"> </w:t>
      </w:r>
      <w:r>
        <w:rPr>
          <w:i/>
        </w:rPr>
        <w:t xml:space="preserve">Barriers to Reentry?: The Labor Market for Released Prisoners in Post-Industrial America</w:t>
      </w:r>
      <w:r>
        <w:t xml:space="preserve">. Russell Sage Foundation.</w:t>
      </w:r>
      <w:r>
        <w:t xml:space="preserve"> </w:t>
      </w:r>
      <w:hyperlink r:id="rId70">
        <w:r>
          <w:rPr>
            <w:rStyle w:val="Hyperlink"/>
          </w:rPr>
          <w:t xml:space="preserve">http://books.google.com?id=YOeFAwAAQBAJ</w:t>
        </w:r>
      </w:hyperlink>
      <w:r>
        <w:t xml:space="preserve">.</w:t>
      </w:r>
    </w:p>
    <w:bookmarkEnd w:id="71"/>
    <w:bookmarkStart w:id="72" w:name="ref-Comfort2008"/>
    <w:p>
      <w:pPr>
        <w:pStyle w:val="Bibliography"/>
      </w:pPr>
      <w:r>
        <w:t xml:space="preserve">Comfort, Megan. 2008.</w:t>
      </w:r>
      <w:r>
        <w:t xml:space="preserve"> </w:t>
      </w:r>
      <w:r>
        <w:rPr>
          <w:i/>
        </w:rPr>
        <w:t xml:space="preserve">Doing Time Together: Love and Family in the Shadow of the Prison</w:t>
      </w:r>
      <w:r>
        <w:t xml:space="preserve">. Chicago: University of Chicago Press.</w:t>
      </w:r>
    </w:p>
    <w:bookmarkEnd w:id="72"/>
    <w:bookmarkStart w:id="74" w:name="ref-Comfort2016"/>
    <w:p>
      <w:pPr>
        <w:pStyle w:val="Bibliography"/>
      </w:pPr>
      <w:r>
        <w:t xml:space="preserve">———. 2016. “‘A Twenty-Hour-a-Day Job’: The Impact of Frequent Low-Level Criminal Justice Involvement on Family Life.”</w:t>
      </w:r>
      <w:r>
        <w:t xml:space="preserve"> </w:t>
      </w:r>
      <w:r>
        <w:rPr>
          <w:i/>
        </w:rPr>
        <w:t xml:space="preserve">The Annals of the American Academy of Political and Social Science</w:t>
      </w:r>
      <w:r>
        <w:t xml:space="preserve"> </w:t>
      </w:r>
      <w:r>
        <w:t xml:space="preserve">665 (1): 63–79.</w:t>
      </w:r>
      <w:r>
        <w:t xml:space="preserve"> </w:t>
      </w:r>
      <w:hyperlink r:id="rId73">
        <w:r>
          <w:rPr>
            <w:rStyle w:val="Hyperlink"/>
          </w:rPr>
          <w:t xml:space="preserve">https://doi.org/10.1177/0002716215625038</w:t>
        </w:r>
      </w:hyperlink>
      <w:r>
        <w:t xml:space="preserve">.</w:t>
      </w:r>
    </w:p>
    <w:bookmarkEnd w:id="74"/>
    <w:bookmarkStart w:id="76" w:name="ref-Ewald2002"/>
    <w:p>
      <w:pPr>
        <w:pStyle w:val="Bibliography"/>
      </w:pPr>
      <w:r>
        <w:t xml:space="preserve">Ewald, A.c. 2002. “"Civil Death": The Ideological Paradox of Criminal Disenfranchisement Law in the United States.”</w:t>
      </w:r>
      <w:r>
        <w:t xml:space="preserve"> </w:t>
      </w:r>
      <w:r>
        <w:rPr>
          <w:i/>
        </w:rPr>
        <w:t xml:space="preserve">Wisconsin Law Review</w:t>
      </w:r>
      <w:r>
        <w:t xml:space="preserve"> </w:t>
      </w:r>
      <w:r>
        <w:t xml:space="preserve">2002 (5): 1045–1137.</w:t>
      </w:r>
      <w:r>
        <w:t xml:space="preserve"> </w:t>
      </w:r>
      <w:hyperlink r:id="rId75">
        <w:r>
          <w:rPr>
            <w:rStyle w:val="Hyperlink"/>
          </w:rPr>
          <w:t xml:space="preserve">http://proxy.library.nyu.edu/login?url=http://search.ebscohost.com/login.aspx?direct=true&amp;db=edselc&amp;AN=edselc.2-52.0-0036997235&amp;site=eds-live</w:t>
        </w:r>
      </w:hyperlink>
      <w:r>
        <w:t xml:space="preserve">.</w:t>
      </w:r>
    </w:p>
    <w:bookmarkEnd w:id="76"/>
    <w:bookmarkStart w:id="78" w:name="ref-Fairdosi2015"/>
    <w:p>
      <w:pPr>
        <w:pStyle w:val="Bibliography"/>
      </w:pPr>
      <w:r>
        <w:t xml:space="preserve">Fairdosi, Amir Shawn, and Jon C. Rogowski. 2015. “Candidate Race, Partisanship, and Political Participation: When Do Black Candidates Increase Black Turnout?”</w:t>
      </w:r>
      <w:r>
        <w:t xml:space="preserve"> </w:t>
      </w:r>
      <w:r>
        <w:rPr>
          <w:i/>
        </w:rPr>
        <w:t xml:space="preserve">Political Research Quarterly</w:t>
      </w:r>
      <w:r>
        <w:t xml:space="preserve"> </w:t>
      </w:r>
      <w:r>
        <w:t xml:space="preserve">68 (2): 337–49.</w:t>
      </w:r>
      <w:r>
        <w:t xml:space="preserve"> </w:t>
      </w:r>
      <w:hyperlink r:id="rId77">
        <w:r>
          <w:rPr>
            <w:rStyle w:val="Hyperlink"/>
          </w:rPr>
          <w:t xml:space="preserve">https://doi.org/10.1177/1065912915577819</w:t>
        </w:r>
      </w:hyperlink>
      <w:r>
        <w:t xml:space="preserve">.</w:t>
      </w:r>
    </w:p>
    <w:bookmarkEnd w:id="78"/>
    <w:bookmarkStart w:id="80" w:name="ref-Gelman2007"/>
    <w:p>
      <w:pPr>
        <w:pStyle w:val="Bibliography"/>
      </w:pPr>
      <w:r>
        <w:t xml:space="preserve">Gelman, Andrew, Jeffrey Fagan, and Alex Kiss. 2007. “An Analysis of the New York City Police Department’s ‘Stop-and-Frisk’ Policy in the Context of Claims of Racial Bias.”</w:t>
      </w:r>
      <w:r>
        <w:t xml:space="preserve"> </w:t>
      </w:r>
      <w:r>
        <w:rPr>
          <w:i/>
        </w:rPr>
        <w:t xml:space="preserve">Journal of the American Statistical Association</w:t>
      </w:r>
      <w:r>
        <w:t xml:space="preserve"> </w:t>
      </w:r>
      <w:r>
        <w:t xml:space="preserve">102 (479): 813–23.</w:t>
      </w:r>
      <w:r>
        <w:t xml:space="preserve"> </w:t>
      </w:r>
      <w:hyperlink r:id="rId79">
        <w:r>
          <w:rPr>
            <w:rStyle w:val="Hyperlink"/>
          </w:rPr>
          <w:t xml:space="preserve">https://doi.org/10.1198/016214506000001040</w:t>
        </w:r>
      </w:hyperlink>
      <w:r>
        <w:t xml:space="preserve">.</w:t>
      </w:r>
    </w:p>
    <w:bookmarkEnd w:id="80"/>
    <w:bookmarkStart w:id="82" w:name="ref-Gerber2017"/>
    <w:p>
      <w:pPr>
        <w:pStyle w:val="Bibliography"/>
      </w:pPr>
      <w:r>
        <w:t xml:space="preserve">Gerber, Alan S., Gregory A. Huber, Marc Meredith, Daniel R. Biggers, and David J. Hendry. 2017. “Does Incarceration Reduce Voting? Evidence About the Political Consequences of Spending Time in Prison.”</w:t>
      </w:r>
      <w:r>
        <w:t xml:space="preserve"> </w:t>
      </w:r>
      <w:r>
        <w:rPr>
          <w:i/>
        </w:rPr>
        <w:t xml:space="preserve">The Journal of Politics</w:t>
      </w:r>
      <w:r>
        <w:t xml:space="preserve"> </w:t>
      </w:r>
      <w:r>
        <w:t xml:space="preserve">79 (4): 1130–46.</w:t>
      </w:r>
      <w:r>
        <w:t xml:space="preserve"> </w:t>
      </w:r>
      <w:hyperlink r:id="rId81">
        <w:r>
          <w:rPr>
            <w:rStyle w:val="Hyperlink"/>
          </w:rPr>
          <w:t xml:space="preserve">https://doi.org/10.1086/692670</w:t>
        </w:r>
      </w:hyperlink>
      <w:r>
        <w:t xml:space="preserve">.</w:t>
      </w:r>
    </w:p>
    <w:bookmarkEnd w:id="82"/>
    <w:bookmarkStart w:id="84" w:name="ref-Harris2020"/>
    <w:p>
      <w:pPr>
        <w:pStyle w:val="Bibliography"/>
      </w:pPr>
      <w:r>
        <w:t xml:space="preserve">Harris, Alex. 2020. “Losing Vote After Amendment 4 Win Is Unfair, Heartbreaking.”</w:t>
      </w:r>
      <w:r>
        <w:t xml:space="preserve"> </w:t>
      </w:r>
      <w:r>
        <w:rPr>
          <w:i/>
        </w:rPr>
        <w:t xml:space="preserve">Orlando Sentinel</w:t>
      </w:r>
      <w:r>
        <w:t xml:space="preserve">, August 7, 2020.</w:t>
      </w:r>
      <w:r>
        <w:t xml:space="preserve"> </w:t>
      </w:r>
      <w:hyperlink r:id="rId83">
        <w:r>
          <w:rPr>
            <w:rStyle w:val="Hyperlink"/>
          </w:rPr>
          <w:t xml:space="preserve">https://www.orlandosentinel.com/opinion/guest-commentary/os-op-limiting-amendment-4-is-a-setback-20200807-hvcef76xongytccvyivu7o4s3y-story.html</w:t>
        </w:r>
      </w:hyperlink>
      <w:r>
        <w:t xml:space="preserve">.</w:t>
      </w:r>
    </w:p>
    <w:bookmarkEnd w:id="84"/>
    <w:bookmarkStart w:id="86" w:name="ref-Kelso2018"/>
    <w:p>
      <w:pPr>
        <w:pStyle w:val="Bibliography"/>
      </w:pPr>
      <w:r>
        <w:t xml:space="preserve">Kelso, Nathaniel, and Michael Migurski. 2018. “Election-Geodata.” election-geodata. 2018.</w:t>
      </w:r>
      <w:r>
        <w:t xml:space="preserve"> </w:t>
      </w:r>
      <w:hyperlink r:id="rId85">
        <w:r>
          <w:rPr>
            <w:rStyle w:val="Hyperlink"/>
          </w:rPr>
          <w:t xml:space="preserve">https://github.com/nvkelso/election-geodata</w:t>
        </w:r>
      </w:hyperlink>
      <w:r>
        <w:t xml:space="preserve">.</w:t>
      </w:r>
    </w:p>
    <w:bookmarkEnd w:id="86"/>
    <w:bookmarkStart w:id="88" w:name="ref-King2016"/>
    <w:p>
      <w:pPr>
        <w:pStyle w:val="Bibliography"/>
      </w:pPr>
      <w:r>
        <w:t xml:space="preserve">King, Bridgett A., and Laura Erickson. 2016. “Disenfranchising the Enfranchised: Exploring the Relationship Between Felony Disenfranchisement and African American Voter Turnout.”</w:t>
      </w:r>
      <w:r>
        <w:t xml:space="preserve"> </w:t>
      </w:r>
      <w:r>
        <w:rPr>
          <w:i/>
        </w:rPr>
        <w:t xml:space="preserve">Journal of Black Studies</w:t>
      </w:r>
      <w:r>
        <w:t xml:space="preserve">, July.</w:t>
      </w:r>
      <w:r>
        <w:t xml:space="preserve"> </w:t>
      </w:r>
      <w:hyperlink r:id="rId87">
        <w:r>
          <w:rPr>
            <w:rStyle w:val="Hyperlink"/>
          </w:rPr>
          <w:t xml:space="preserve">https://doi.org/10.1177/0021934716659195</w:t>
        </w:r>
      </w:hyperlink>
      <w:r>
        <w:t xml:space="preserve">.</w:t>
      </w:r>
    </w:p>
    <w:bookmarkEnd w:id="88"/>
    <w:bookmarkStart w:id="90" w:name="ref-Kirk2016"/>
    <w:p>
      <w:pPr>
        <w:pStyle w:val="Bibliography"/>
      </w:pPr>
      <w:r>
        <w:t xml:space="preserve">Kirk, David S. 2016. “Prisoner Reentry and the Reproduction of Legal Cynicism.”</w:t>
      </w:r>
      <w:r>
        <w:t xml:space="preserve"> </w:t>
      </w:r>
      <w:r>
        <w:rPr>
          <w:i/>
        </w:rPr>
        <w:t xml:space="preserve">Social Problems</w:t>
      </w:r>
      <w:r>
        <w:t xml:space="preserve"> </w:t>
      </w:r>
      <w:r>
        <w:t xml:space="preserve">63 (2): 222–43.</w:t>
      </w:r>
      <w:r>
        <w:t xml:space="preserve"> </w:t>
      </w:r>
      <w:hyperlink r:id="rId89">
        <w:r>
          <w:rPr>
            <w:rStyle w:val="Hyperlink"/>
          </w:rPr>
          <w:t xml:space="preserve">https://doi.org/10.1093/socpro/spw003</w:t>
        </w:r>
      </w:hyperlink>
      <w:r>
        <w:t xml:space="preserve">.</w:t>
      </w:r>
    </w:p>
    <w:bookmarkEnd w:id="90"/>
    <w:bookmarkStart w:id="92" w:name="ref-Lee2014"/>
    <w:p>
      <w:pPr>
        <w:pStyle w:val="Bibliography"/>
      </w:pPr>
      <w:r>
        <w:t xml:space="preserve">Lee, Hedwig, Lauren C. Porter, and Megan Comfort. 2014. “Consequences of Family Member Incarceration: Impacts on Civic Participation and Perceptions of the Legitimacy and Fairness of Government.”</w:t>
      </w:r>
      <w:r>
        <w:t xml:space="preserve"> </w:t>
      </w:r>
      <w:r>
        <w:rPr>
          <w:i/>
        </w:rPr>
        <w:t xml:space="preserve">The ANNALS of the American Academy of Political and Social Science</w:t>
      </w:r>
      <w:r>
        <w:t xml:space="preserve"> </w:t>
      </w:r>
      <w:r>
        <w:t xml:space="preserve">651 (1): 44–73.</w:t>
      </w:r>
      <w:r>
        <w:t xml:space="preserve"> </w:t>
      </w:r>
      <w:hyperlink r:id="rId91">
        <w:r>
          <w:rPr>
            <w:rStyle w:val="Hyperlink"/>
          </w:rPr>
          <w:t xml:space="preserve">https://doi.org/10.1177/0002716213502920</w:t>
        </w:r>
      </w:hyperlink>
      <w:r>
        <w:t xml:space="preserve">.</w:t>
      </w:r>
    </w:p>
    <w:bookmarkEnd w:id="92"/>
    <w:bookmarkStart w:id="93" w:name="ref-Lerman2014"/>
    <w:p>
      <w:pPr>
        <w:pStyle w:val="Bibliography"/>
      </w:pPr>
      <w:r>
        <w:t xml:space="preserve">Lerman, Amy E., and Vesla M. Weaver. 2014.</w:t>
      </w:r>
      <w:r>
        <w:t xml:space="preserve"> </w:t>
      </w:r>
      <w:r>
        <w:rPr>
          <w:i/>
        </w:rPr>
        <w:t xml:space="preserve">Arresting Citizenship: The Democratic Consequences of American Crime Control</w:t>
      </w:r>
      <w:r>
        <w:t xml:space="preserve">. Chicago Studies in American Politics. Chicago ; London: The University of Chicago Press.</w:t>
      </w:r>
    </w:p>
    <w:bookmarkEnd w:id="93"/>
    <w:bookmarkStart w:id="95" w:name="ref-Leverentz2011"/>
    <w:p>
      <w:pPr>
        <w:pStyle w:val="Bibliography"/>
      </w:pPr>
      <w:r>
        <w:t xml:space="preserve">Leverentz, Andrea. 2011. “Neighborhood Context of Attitudes Toward Crime and Reentry.”</w:t>
      </w:r>
      <w:r>
        <w:t xml:space="preserve"> </w:t>
      </w:r>
      <w:r>
        <w:rPr>
          <w:i/>
        </w:rPr>
        <w:t xml:space="preserve">Punishment &amp; Society</w:t>
      </w:r>
      <w:r>
        <w:t xml:space="preserve"> </w:t>
      </w:r>
      <w:r>
        <w:t xml:space="preserve">13 (1): 64–92.</w:t>
      </w:r>
      <w:r>
        <w:t xml:space="preserve"> </w:t>
      </w:r>
      <w:hyperlink r:id="rId94">
        <w:r>
          <w:rPr>
            <w:rStyle w:val="Hyperlink"/>
          </w:rPr>
          <w:t xml:space="preserve">https://doi.org/10.1177/1462474510385629</w:t>
        </w:r>
      </w:hyperlink>
      <w:r>
        <w:t xml:space="preserve">.</w:t>
      </w:r>
    </w:p>
    <w:bookmarkEnd w:id="95"/>
    <w:bookmarkStart w:id="97" w:name="ref-Martin2018"/>
    <w:p>
      <w:pPr>
        <w:pStyle w:val="Bibliography"/>
      </w:pPr>
      <w:r>
        <w:t xml:space="preserve">Martin, Karin D., Bryan L. Sykes, Sarah Shannon, Frank Edwards, and Alexes Harris. 2018. “Monetary Sanctions: Legal Financial Obligations in US Systems of Justice.”</w:t>
      </w:r>
      <w:r>
        <w:t xml:space="preserve"> </w:t>
      </w:r>
      <w:r>
        <w:rPr>
          <w:i/>
        </w:rPr>
        <w:t xml:space="preserve">Annual Review of Criminology</w:t>
      </w:r>
      <w:r>
        <w:t xml:space="preserve"> </w:t>
      </w:r>
      <w:r>
        <w:t xml:space="preserve">1 (1): 471–95.</w:t>
      </w:r>
      <w:r>
        <w:t xml:space="preserve"> </w:t>
      </w:r>
      <w:hyperlink r:id="rId96">
        <w:r>
          <w:rPr>
            <w:rStyle w:val="Hyperlink"/>
          </w:rPr>
          <w:t xml:space="preserve">https://doi.org/10.1146/annurev-criminol-032317-091915</w:t>
        </w:r>
      </w:hyperlink>
      <w:r>
        <w:t xml:space="preserve">.</w:t>
      </w:r>
    </w:p>
    <w:bookmarkEnd w:id="97"/>
    <w:bookmarkStart w:id="99" w:name="ref-McDonald2002"/>
    <w:p>
      <w:pPr>
        <w:pStyle w:val="Bibliography"/>
      </w:pPr>
      <w:r>
        <w:t xml:space="preserve">McDonald, Michael P. 2002. “The Turnout Rate Among Eligible Voters in the States, 1980–2000.”</w:t>
      </w:r>
      <w:r>
        <w:t xml:space="preserve"> </w:t>
      </w:r>
      <w:r>
        <w:rPr>
          <w:i/>
        </w:rPr>
        <w:t xml:space="preserve">State Politics &amp; Policy Quarterly</w:t>
      </w:r>
      <w:r>
        <w:t xml:space="preserve"> </w:t>
      </w:r>
      <w:r>
        <w:t xml:space="preserve">2 (2): 199–212.</w:t>
      </w:r>
      <w:r>
        <w:t xml:space="preserve"> </w:t>
      </w:r>
      <w:hyperlink r:id="rId98">
        <w:r>
          <w:rPr>
            <w:rStyle w:val="Hyperlink"/>
          </w:rPr>
          <w:t xml:space="preserve">https://doi.org/10.1177/153244000200200205</w:t>
        </w:r>
      </w:hyperlink>
      <w:r>
        <w:t xml:space="preserve">.</w:t>
      </w:r>
    </w:p>
    <w:bookmarkEnd w:id="99"/>
    <w:bookmarkStart w:id="101" w:name="ref-Merolla2013"/>
    <w:p>
      <w:pPr>
        <w:pStyle w:val="Bibliography"/>
      </w:pPr>
      <w:r>
        <w:t xml:space="preserve">Merolla, Jennifer L., Abbylin H. Sellers, and Derek J. Fowler. 2013. “Descriptive Representation, Political Efficacy, and African Americans in the 2008 Presidential Election.”</w:t>
      </w:r>
      <w:r>
        <w:t xml:space="preserve"> </w:t>
      </w:r>
      <w:r>
        <w:rPr>
          <w:i/>
        </w:rPr>
        <w:t xml:space="preserve">Political Psychology</w:t>
      </w:r>
      <w:r>
        <w:t xml:space="preserve"> </w:t>
      </w:r>
      <w:r>
        <w:t xml:space="preserve">34 (6): 863–75.</w:t>
      </w:r>
      <w:r>
        <w:t xml:space="preserve"> </w:t>
      </w:r>
      <w:hyperlink r:id="rId100">
        <w:r>
          <w:rPr>
            <w:rStyle w:val="Hyperlink"/>
          </w:rPr>
          <w:t xml:space="preserve">https://doi.org/10.1111/j.1467-9221.2012.00934.x</w:t>
        </w:r>
      </w:hyperlink>
      <w:r>
        <w:t xml:space="preserve">.</w:t>
      </w:r>
    </w:p>
    <w:bookmarkEnd w:id="101"/>
    <w:bookmarkStart w:id="103" w:name="ref-Miles2004"/>
    <w:p>
      <w:pPr>
        <w:pStyle w:val="Bibliography"/>
      </w:pPr>
      <w:r>
        <w:t xml:space="preserve">Miles, Thomas J. 2004. “Felon Disenfranchisement and Voter Turnout.”</w:t>
      </w:r>
      <w:r>
        <w:t xml:space="preserve"> </w:t>
      </w:r>
      <w:r>
        <w:rPr>
          <w:i/>
        </w:rPr>
        <w:t xml:space="preserve">The Journal of Legal Studies</w:t>
      </w:r>
      <w:r>
        <w:t xml:space="preserve"> </w:t>
      </w:r>
      <w:r>
        <w:t xml:space="preserve">33 (1): 85–129.</w:t>
      </w:r>
      <w:r>
        <w:t xml:space="preserve"> </w:t>
      </w:r>
      <w:hyperlink r:id="rId102">
        <w:r>
          <w:rPr>
            <w:rStyle w:val="Hyperlink"/>
          </w:rPr>
          <w:t xml:space="preserve">https://doi.org/10.1086/381290</w:t>
        </w:r>
      </w:hyperlink>
      <w:r>
        <w:t xml:space="preserve">.</w:t>
      </w:r>
    </w:p>
    <w:bookmarkEnd w:id="103"/>
    <w:bookmarkStart w:id="105" w:name="ref-Miller2016"/>
    <w:p>
      <w:pPr>
        <w:pStyle w:val="Bibliography"/>
      </w:pPr>
      <w:r>
        <w:t xml:space="preserve">Miller, Bryan Lee, and Laura E. Agnich. 2016. “Unpaid Debt to Society: Exploring How Ex-Felons View Restrictions on Voting Rights After the Completion of Their Sentence.”</w:t>
      </w:r>
      <w:r>
        <w:t xml:space="preserve"> </w:t>
      </w:r>
      <w:r>
        <w:rPr>
          <w:i/>
        </w:rPr>
        <w:t xml:space="preserve">Contemporary Justice Review</w:t>
      </w:r>
      <w:r>
        <w:t xml:space="preserve"> </w:t>
      </w:r>
      <w:r>
        <w:t xml:space="preserve">19 (1): 69–85.</w:t>
      </w:r>
      <w:r>
        <w:t xml:space="preserve"> </w:t>
      </w:r>
      <w:hyperlink r:id="rId104">
        <w:r>
          <w:rPr>
            <w:rStyle w:val="Hyperlink"/>
          </w:rPr>
          <w:t xml:space="preserve">https://doi.org/10.1080/10282580.2015.1101685</w:t>
        </w:r>
      </w:hyperlink>
      <w:r>
        <w:t xml:space="preserve">.</w:t>
      </w:r>
    </w:p>
    <w:bookmarkEnd w:id="105"/>
    <w:bookmarkStart w:id="107" w:name="ref-Miller2012"/>
    <w:p>
      <w:pPr>
        <w:pStyle w:val="Bibliography"/>
      </w:pPr>
      <w:r>
        <w:t xml:space="preserve">Miller, Bryan Lee, and Joseph F. Spillane. 2012a. “Civil Death: An Examination of Ex-Felon Disenfranchisement and Reintegration:”</w:t>
      </w:r>
      <w:r>
        <w:t xml:space="preserve"> </w:t>
      </w:r>
      <w:r>
        <w:rPr>
          <w:i/>
        </w:rPr>
        <w:t xml:space="preserve">Punishment &amp; Society</w:t>
      </w:r>
      <w:r>
        <w:t xml:space="preserve">, October.</w:t>
      </w:r>
      <w:r>
        <w:t xml:space="preserve"> </w:t>
      </w:r>
      <w:hyperlink r:id="rId106">
        <w:r>
          <w:rPr>
            <w:rStyle w:val="Hyperlink"/>
          </w:rPr>
          <w:t xml:space="preserve">https://doi.org/10.1177/1462474512452513</w:t>
        </w:r>
      </w:hyperlink>
      <w:r>
        <w:t xml:space="preserve">.</w:t>
      </w:r>
    </w:p>
    <w:bookmarkEnd w:id="107"/>
    <w:bookmarkStart w:id="109" w:name="ref-Miller2012a"/>
    <w:p>
      <w:pPr>
        <w:pStyle w:val="Bibliography"/>
      </w:pPr>
      <w:r>
        <w:t xml:space="preserve">———. 2012b. “Governing the Restoration of Civil Rights for Ex-Felons: An Evaluation of the Executive Clemency Board in Florida.”</w:t>
      </w:r>
      <w:r>
        <w:t xml:space="preserve"> </w:t>
      </w:r>
      <w:r>
        <w:rPr>
          <w:i/>
        </w:rPr>
        <w:t xml:space="preserve">Contemporary Justice Review</w:t>
      </w:r>
      <w:r>
        <w:t xml:space="preserve"> </w:t>
      </w:r>
      <w:r>
        <w:t xml:space="preserve">15 (4): 413–34.</w:t>
      </w:r>
      <w:r>
        <w:t xml:space="preserve"> </w:t>
      </w:r>
      <w:hyperlink r:id="rId108">
        <w:r>
          <w:rPr>
            <w:rStyle w:val="Hyperlink"/>
          </w:rPr>
          <w:t xml:space="preserve">https://doi.org/10.1080/10282580.2012.734568</w:t>
        </w:r>
      </w:hyperlink>
      <w:r>
        <w:t xml:space="preserve">.</w:t>
      </w:r>
    </w:p>
    <w:bookmarkEnd w:id="109"/>
    <w:bookmarkStart w:id="111" w:name="ref-Miller2018"/>
    <w:p>
      <w:pPr>
        <w:pStyle w:val="Bibliography"/>
      </w:pPr>
      <w:r>
        <w:t xml:space="preserve">Miller, Peter, and Neilan S. Chaturvedi. 2018. “Get Out the Early Vote: Co-Ethnic Mobilization and Convenience Voting.”</w:t>
      </w:r>
      <w:r>
        <w:t xml:space="preserve"> </w:t>
      </w:r>
      <w:r>
        <w:rPr>
          <w:i/>
        </w:rPr>
        <w:t xml:space="preserve">Journal of Elections, Public Opinion and Parties</w:t>
      </w:r>
      <w:r>
        <w:t xml:space="preserve"> </w:t>
      </w:r>
      <w:r>
        <w:t xml:space="preserve">28 (4): 399–423.</w:t>
      </w:r>
      <w:r>
        <w:t xml:space="preserve"> </w:t>
      </w:r>
      <w:hyperlink r:id="rId110">
        <w:r>
          <w:rPr>
            <w:rStyle w:val="Hyperlink"/>
          </w:rPr>
          <w:t xml:space="preserve">https://doi.org/10.1080/17457289.2018.1437545</w:t>
        </w:r>
      </w:hyperlink>
      <w:r>
        <w:t xml:space="preserve">.</w:t>
      </w:r>
    </w:p>
    <w:bookmarkEnd w:id="111"/>
    <w:bookmarkStart w:id="113" w:name="ref-Morris2020"/>
    <w:p>
      <w:pPr>
        <w:pStyle w:val="Bibliography"/>
      </w:pPr>
      <w:r>
        <w:t xml:space="preserve">Morris, Kevin. 2020. “Neighborhoods and Felony Disenfranchisement: The Case of New York City.”</w:t>
      </w:r>
      <w:r>
        <w:t xml:space="preserve"> </w:t>
      </w:r>
      <w:r>
        <w:rPr>
          <w:i/>
        </w:rPr>
        <w:t xml:space="preserve">Urban Affairs Review</w:t>
      </w:r>
      <w:r>
        <w:t xml:space="preserve">, May, 1078087420921522.</w:t>
      </w:r>
      <w:r>
        <w:t xml:space="preserve"> </w:t>
      </w:r>
      <w:hyperlink r:id="rId112">
        <w:r>
          <w:rPr>
            <w:rStyle w:val="Hyperlink"/>
          </w:rPr>
          <w:t xml:space="preserve">https://doi.org/10.1177/1078087420921522</w:t>
        </w:r>
      </w:hyperlink>
      <w:r>
        <w:t xml:space="preserve">.</w:t>
      </w:r>
    </w:p>
    <w:bookmarkEnd w:id="113"/>
    <w:bookmarkStart w:id="114" w:name="ref-Naser2006"/>
    <w:p>
      <w:pPr>
        <w:pStyle w:val="Bibliography"/>
      </w:pPr>
      <w:r>
        <w:t xml:space="preserve">Naser, Rebecca L, and Christy A Visher. 2006. “Family Members’ Experiences with Incarceration and Reentry.”</w:t>
      </w:r>
      <w:r>
        <w:t xml:space="preserve"> </w:t>
      </w:r>
      <w:r>
        <w:rPr>
          <w:i/>
        </w:rPr>
        <w:t xml:space="preserve">Western Criminology Review</w:t>
      </w:r>
      <w:r>
        <w:t xml:space="preserve"> </w:t>
      </w:r>
      <w:r>
        <w:t xml:space="preserve">7 (2): 20–31.</w:t>
      </w:r>
    </w:p>
    <w:bookmarkEnd w:id="114"/>
    <w:bookmarkStart w:id="116" w:name="ref-ORLANDOSENTINEL2018"/>
    <w:p>
      <w:pPr>
        <w:pStyle w:val="Bibliography"/>
      </w:pPr>
      <w:r>
        <w:rPr>
          <w:i/>
        </w:rPr>
        <w:t xml:space="preserve">Orlando Sentinel</w:t>
      </w:r>
      <w:r>
        <w:t xml:space="preserve">. 2018. “Florida’s Election 2018: Our Endorsements for Governor, U.S. Senate, U.S. House and the Amendments,” October 19, 2018.</w:t>
      </w:r>
      <w:r>
        <w:t xml:space="preserve"> </w:t>
      </w:r>
      <w:hyperlink r:id="rId115">
        <w:r>
          <w:rPr>
            <w:rStyle w:val="Hyperlink"/>
          </w:rPr>
          <w:t xml:space="preserve">https://www.orlandosentinel.com/opinion/editorials/os-op-orlando-sentinel-endorsements-20181018-htmlstory.html#amend4]</w:t>
        </w:r>
      </w:hyperlink>
      <w:r>
        <w:t xml:space="preserve">.</w:t>
      </w:r>
    </w:p>
    <w:bookmarkEnd w:id="116"/>
    <w:bookmarkStart w:id="118" w:name="ref-Ramadan2018"/>
    <w:p>
      <w:pPr>
        <w:pStyle w:val="Bibliography"/>
      </w:pPr>
      <w:r>
        <w:t xml:space="preserve">Ramadan, Lulu, Mike Stucka, and Wayne Washington. 2018. “Florida Felon Voting Rights: Who Got Theirs Back Under Scott?”</w:t>
      </w:r>
      <w:r>
        <w:t xml:space="preserve"> </w:t>
      </w:r>
      <w:r>
        <w:rPr>
          <w:i/>
        </w:rPr>
        <w:t xml:space="preserve">The Palm Beach Post</w:t>
      </w:r>
      <w:r>
        <w:t xml:space="preserve">, October 25, 2018.</w:t>
      </w:r>
      <w:r>
        <w:t xml:space="preserve"> </w:t>
      </w:r>
      <w:hyperlink r:id="rId117">
        <w:r>
          <w:rPr>
            <w:rStyle w:val="Hyperlink"/>
          </w:rPr>
          <w:t xml:space="preserve">https://www.palmbeachpost.com/news/20181025/florida-felon-voting-rights-who-got-theirs-back-under-scott</w:t>
        </w:r>
      </w:hyperlink>
      <w:r>
        <w:t xml:space="preserve">.</w:t>
      </w:r>
    </w:p>
    <w:bookmarkEnd w:id="118"/>
    <w:bookmarkStart w:id="120" w:name="ref-Robles2018"/>
    <w:p>
      <w:pPr>
        <w:pStyle w:val="Bibliography"/>
      </w:pPr>
      <w:r>
        <w:t xml:space="preserve">Robles, Frances. 2018. “1.4 Million Floridians with Felonies Win Long-Denied Right to Vote.”</w:t>
      </w:r>
      <w:r>
        <w:t xml:space="preserve"> </w:t>
      </w:r>
      <w:r>
        <w:rPr>
          <w:i/>
        </w:rPr>
        <w:t xml:space="preserve">The New York Times: U.S.</w:t>
      </w:r>
      <w:r>
        <w:t xml:space="preserve">, November 7, 2018.</w:t>
      </w:r>
      <w:r>
        <w:t xml:space="preserve"> </w:t>
      </w:r>
      <w:hyperlink r:id="rId119">
        <w:r>
          <w:rPr>
            <w:rStyle w:val="Hyperlink"/>
          </w:rPr>
          <w:t xml:space="preserve">https://www.nytimes.com/2018/11/07/us/florida-felon-voting-rights.html</w:t>
        </w:r>
      </w:hyperlink>
      <w:r>
        <w:t xml:space="preserve">.</w:t>
      </w:r>
    </w:p>
    <w:bookmarkEnd w:id="120"/>
    <w:bookmarkStart w:id="122" w:name="ref-Schlakman2018"/>
    <w:p>
      <w:pPr>
        <w:pStyle w:val="Bibliography"/>
      </w:pPr>
      <w:r>
        <w:t xml:space="preserve">Schlakman, Mar. 2018. “Some Facts and Figures You Might Not Know About Civil Rights Restoration in Florida.”</w:t>
      </w:r>
      <w:r>
        <w:t xml:space="preserve"> </w:t>
      </w:r>
      <w:r>
        <w:rPr>
          <w:i/>
        </w:rPr>
        <w:t xml:space="preserve">Tampa Bay Times</w:t>
      </w:r>
      <w:r>
        <w:t xml:space="preserve">, April 19, 2018.</w:t>
      </w:r>
      <w:r>
        <w:t xml:space="preserve"> </w:t>
      </w:r>
      <w:hyperlink r:id="rId121">
        <w:r>
          <w:rPr>
            <w:rStyle w:val="Hyperlink"/>
          </w:rPr>
          <w:t xml:space="preserve">https://www.tampabay.com/opinion/columns/Column-Some-facts-and-figures-you-might-not-know-about-civil-rights-restoration-in-Florida_167477194/</w:t>
        </w:r>
      </w:hyperlink>
      <w:r>
        <w:t xml:space="preserve">.</w:t>
      </w:r>
    </w:p>
    <w:bookmarkEnd w:id="122"/>
    <w:bookmarkStart w:id="124" w:name="ref-Sekhon2011"/>
    <w:p>
      <w:pPr>
        <w:pStyle w:val="Bibliography"/>
      </w:pPr>
      <w:r>
        <w:t xml:space="preserve">Sekhon, Jasjeet S. 2011. “Multivariate and Propensity Score Matching Software with Automated Balance Optimization: The Matching Package for R.”</w:t>
      </w:r>
      <w:r>
        <w:t xml:space="preserve"> </w:t>
      </w:r>
      <w:r>
        <w:rPr>
          <w:i/>
        </w:rPr>
        <w:t xml:space="preserve">Journal of Statistical Software</w:t>
      </w:r>
      <w:r>
        <w:t xml:space="preserve"> </w:t>
      </w:r>
      <w:r>
        <w:t xml:space="preserve">42 (1): 1–52.</w:t>
      </w:r>
      <w:r>
        <w:t xml:space="preserve"> </w:t>
      </w:r>
      <w:hyperlink r:id="rId123">
        <w:r>
          <w:rPr>
            <w:rStyle w:val="Hyperlink"/>
          </w:rPr>
          <w:t xml:space="preserve">https://doi.org/10.18637/jss.v042.i07</w:t>
        </w:r>
      </w:hyperlink>
      <w:r>
        <w:t xml:space="preserve">.</w:t>
      </w:r>
    </w:p>
    <w:bookmarkEnd w:id="124"/>
    <w:bookmarkStart w:id="126" w:name="ref-Shaker2012"/>
    <w:p>
      <w:pPr>
        <w:pStyle w:val="Bibliography"/>
      </w:pPr>
      <w:r>
        <w:t xml:space="preserve">Shaker, Lee. 2012. “Local Political Knowledge and Assessments of Citizen Competence.”</w:t>
      </w:r>
      <w:r>
        <w:t xml:space="preserve"> </w:t>
      </w:r>
      <w:r>
        <w:rPr>
          <w:i/>
        </w:rPr>
        <w:t xml:space="preserve">Public Opinion Quarterly</w:t>
      </w:r>
      <w:r>
        <w:t xml:space="preserve"> </w:t>
      </w:r>
      <w:r>
        <w:t xml:space="preserve">76 (3): 525–37.</w:t>
      </w:r>
      <w:r>
        <w:t xml:space="preserve"> </w:t>
      </w:r>
      <w:hyperlink r:id="rId125">
        <w:r>
          <w:rPr>
            <w:rStyle w:val="Hyperlink"/>
          </w:rPr>
          <w:t xml:space="preserve">https://doi.org/10.1093/poq/nfs018</w:t>
        </w:r>
      </w:hyperlink>
      <w:r>
        <w:t xml:space="preserve">.</w:t>
      </w:r>
    </w:p>
    <w:bookmarkEnd w:id="126"/>
    <w:bookmarkStart w:id="128" w:name="ref-Smith2018"/>
    <w:p>
      <w:pPr>
        <w:pStyle w:val="Bibliography"/>
      </w:pPr>
      <w:r>
        <w:t xml:space="preserve">Smith, Jamil. 2018. “Andrew Gillum Is Ready. Is Florida?” Rolling Stone. October 31, 2018.</w:t>
      </w:r>
      <w:r>
        <w:t xml:space="preserve"> </w:t>
      </w:r>
      <w:hyperlink r:id="rId127">
        <w:r>
          <w:rPr>
            <w:rStyle w:val="Hyperlink"/>
          </w:rPr>
          <w:t xml:space="preserve">https://www.rollingstone.com/politics/politics-features/andrew-gillum-florida-governor-race-749651/</w:t>
        </w:r>
      </w:hyperlink>
      <w:r>
        <w:t xml:space="preserve">.</w:t>
      </w:r>
    </w:p>
    <w:bookmarkEnd w:id="128"/>
    <w:bookmarkStart w:id="130" w:name="ref-Stern2019"/>
    <w:p>
      <w:pPr>
        <w:pStyle w:val="Bibliography"/>
      </w:pPr>
      <w:r>
        <w:t xml:space="preserve">Stern, Mark Joseph. 2019. “Florida Republicans Are Sabotaging a Constitutional Amendment That Gave Felons the Right to Vote.” Slate Magazine. March 20, 2019.</w:t>
      </w:r>
      <w:r>
        <w:t xml:space="preserve"> </w:t>
      </w:r>
      <w:hyperlink r:id="rId129">
        <w:r>
          <w:rPr>
            <w:rStyle w:val="Hyperlink"/>
          </w:rPr>
          <w:t xml:space="preserve">https://slate.com/news-and-politics/2019/03/florida-republicans-felon-voting-rights-amendment-4.html</w:t>
        </w:r>
      </w:hyperlink>
      <w:r>
        <w:t xml:space="preserve">.</w:t>
      </w:r>
    </w:p>
    <w:bookmarkEnd w:id="130"/>
    <w:bookmarkStart w:id="132" w:name="ref-SunSentinelEditorial2018"/>
    <w:p>
      <w:pPr>
        <w:pStyle w:val="Bibliography"/>
      </w:pPr>
      <w:r>
        <w:rPr>
          <w:i/>
        </w:rPr>
        <w:t xml:space="preserve">Sun Sentinel</w:t>
      </w:r>
      <w:r>
        <w:t xml:space="preserve">. 2018. “Five Good — Seven Bad — Amendments for Florida’s Constitution,” October 5, 2018.</w:t>
      </w:r>
      <w:r>
        <w:t xml:space="preserve"> </w:t>
      </w:r>
      <w:hyperlink r:id="rId131">
        <w:r>
          <w:rPr>
            <w:rStyle w:val="Hyperlink"/>
          </w:rPr>
          <w:t xml:space="preserve">https://www.sun-sentinel.com/opinion/endorsements/fl-op-end-good-bad-constitutional-amendments-20181005-story.html</w:t>
        </w:r>
      </w:hyperlink>
      <w:r>
        <w:t xml:space="preserve">.</w:t>
      </w:r>
    </w:p>
    <w:bookmarkEnd w:id="132"/>
    <w:bookmarkStart w:id="134" w:name="ref-tampabaytimes2018"/>
    <w:p>
      <w:pPr>
        <w:pStyle w:val="Bibliography"/>
      </w:pPr>
      <w:r>
        <w:rPr>
          <w:i/>
        </w:rPr>
        <w:t xml:space="preserve">Tampa Bay Times</w:t>
      </w:r>
      <w:r>
        <w:t xml:space="preserve">. 2018. “Times Recommends: Yes on Amendment 4,” October 3, 2018.</w:t>
      </w:r>
      <w:r>
        <w:t xml:space="preserve"> </w:t>
      </w:r>
      <w:hyperlink r:id="rId133">
        <w:r>
          <w:rPr>
            <w:rStyle w:val="Hyperlink"/>
          </w:rPr>
          <w:t xml:space="preserve">https://www.tampabay.com/opinion/editorials/times-recommends-yes-on-amendment-4-20180928/</w:t>
        </w:r>
      </w:hyperlink>
      <w:r>
        <w:t xml:space="preserve">.</w:t>
      </w:r>
    </w:p>
    <w:bookmarkEnd w:id="134"/>
    <w:bookmarkStart w:id="136" w:name="ref-Taylor2018"/>
    <w:p>
      <w:pPr>
        <w:pStyle w:val="Bibliography"/>
      </w:pPr>
      <w:r>
        <w:t xml:space="preserve">Taylor, Adam. 2018. “Florida’s Move to Allow Ex-Felons to Vote Brings U.S. Closer to International Election Norms.”</w:t>
      </w:r>
      <w:r>
        <w:t xml:space="preserve"> </w:t>
      </w:r>
      <w:r>
        <w:rPr>
          <w:i/>
        </w:rPr>
        <w:t xml:space="preserve">Washington Post: WorldViews</w:t>
      </w:r>
      <w:r>
        <w:t xml:space="preserve">, November 7, 2018.</w:t>
      </w:r>
      <w:r>
        <w:t xml:space="preserve"> </w:t>
      </w:r>
      <w:hyperlink r:id="rId135">
        <w:r>
          <w:rPr>
            <w:rStyle w:val="Hyperlink"/>
          </w:rPr>
          <w:t xml:space="preserve">https://www.washingtonpost.com/world/2018/11/07/floridas-move-allow-ex-felons-vote-brings-us-closer-international-election-norms/</w:t>
        </w:r>
      </w:hyperlink>
      <w:r>
        <w:t xml:space="preserve">.</w:t>
      </w:r>
    </w:p>
    <w:bookmarkEnd w:id="136"/>
    <w:bookmarkStart w:id="138" w:name="ref-Tragos2008"/>
    <w:p>
      <w:pPr>
        <w:pStyle w:val="Bibliography"/>
      </w:pPr>
      <w:r>
        <w:t xml:space="preserve">Tragos, George E., and Peter A. Sartes. 2008. “Withhold of Adjudication: What Everyone Needs to Know.” The Florida Bar. February 1, 2008.</w:t>
      </w:r>
      <w:r>
        <w:t xml:space="preserve"> </w:t>
      </w:r>
      <w:hyperlink r:id="rId137">
        <w:r>
          <w:rPr>
            <w:rStyle w:val="Hyperlink"/>
          </w:rPr>
          <w:t xml:space="preserve">https://www.floridabar.org/the-florida-bar-journal/withhold-of-adjudication-what-everyone-needs-to-know/</w:t>
        </w:r>
      </w:hyperlink>
      <w:r>
        <w:t xml:space="preserve">.</w:t>
      </w:r>
    </w:p>
    <w:bookmarkEnd w:id="138"/>
    <w:bookmarkStart w:id="139" w:name="ref-Travis2003"/>
    <w:p>
      <w:pPr>
        <w:pStyle w:val="Bibliography"/>
      </w:pPr>
      <w:r>
        <w:t xml:space="preserve">Travis, Jeremy, and Michelle Waul, eds. 2003.</w:t>
      </w:r>
      <w:r>
        <w:t xml:space="preserve"> </w:t>
      </w:r>
      <w:r>
        <w:rPr>
          <w:i/>
        </w:rPr>
        <w:t xml:space="preserve">Prisoners Once Removed: The Impact of Incarceration and Reentry on Children, Families, and Communities</w:t>
      </w:r>
      <w:r>
        <w:t xml:space="preserve">. Washington, D.C: Urban Institute Press.</w:t>
      </w:r>
    </w:p>
    <w:bookmarkEnd w:id="139"/>
    <w:bookmarkStart w:id="141" w:name="ref-sentencing_2016"/>
    <w:p>
      <w:pPr>
        <w:pStyle w:val="Bibliography"/>
      </w:pPr>
      <w:r>
        <w:t xml:space="preserve">Uggen, Christopher, Ryan Larson, and Sarah Shannon. 2016. “6 Million Lost Voters: State-Level Estimates of Felony Disenfranchisement, 2016.” Research report. The Sentencing Project.</w:t>
      </w:r>
      <w:r>
        <w:t xml:space="preserve"> </w:t>
      </w:r>
      <w:hyperlink r:id="rId140">
        <w:r>
          <w:rPr>
            <w:rStyle w:val="Hyperlink"/>
          </w:rPr>
          <w:t xml:space="preserve">https://www.sentencingproject.org/publications/6-million-lost-voters-state-level-estimates-felony-disenfranchisement-2016/</w:t>
        </w:r>
      </w:hyperlink>
      <w:r>
        <w:t xml:space="preserve">.</w:t>
      </w:r>
    </w:p>
    <w:bookmarkEnd w:id="141"/>
    <w:bookmarkStart w:id="142" w:name="ref-Uggen2004a"/>
    <w:p>
      <w:pPr>
        <w:pStyle w:val="Bibliography"/>
      </w:pPr>
      <w:r>
        <w:t xml:space="preserve">Uggen, Christopher, Jeff Manza, and Angela Behrens. 2004. “‘Less Than the Average Citizens’: Stigma, Role Transition, and the Civic Reintegration of Convicted Felons.” In</w:t>
      </w:r>
      <w:r>
        <w:t xml:space="preserve"> </w:t>
      </w:r>
      <w:r>
        <w:rPr>
          <w:i/>
        </w:rPr>
        <w:t xml:space="preserve">After Crime and Punishment: Pathways to Offender Reintegration</w:t>
      </w:r>
      <w:r>
        <w:t xml:space="preserve">, edited by Shad Maruna and Russell Immarigeon. Portland, OR: Willan Publishing.</w:t>
      </w:r>
    </w:p>
    <w:bookmarkEnd w:id="142"/>
    <w:bookmarkStart w:id="144" w:name="ref-USPS2015"/>
    <w:p>
      <w:pPr>
        <w:pStyle w:val="Bibliography"/>
      </w:pPr>
      <w:r>
        <w:t xml:space="preserve">USPS. 2015. “Appendix C.” Postal Addressing Standards. May 2015.</w:t>
      </w:r>
      <w:r>
        <w:t xml:space="preserve"> </w:t>
      </w:r>
      <w:hyperlink r:id="rId143">
        <w:r>
          <w:rPr>
            <w:rStyle w:val="Hyperlink"/>
          </w:rPr>
          <w:t xml:space="preserve">https://pe.usps.com/text/pub28/28apc_002.htm</w:t>
        </w:r>
      </w:hyperlink>
      <w:r>
        <w:t xml:space="preserve">.</w:t>
      </w:r>
    </w:p>
    <w:bookmarkEnd w:id="144"/>
    <w:bookmarkStart w:id="146" w:name="ref-Walker2014"/>
    <w:p>
      <w:pPr>
        <w:pStyle w:val="Bibliography"/>
      </w:pPr>
      <w:r>
        <w:t xml:space="preserve">Walker, Hannah L. 2014. “Extending the Effects of the Carceral State: Proximal Contact, Political Participation, and Race.”</w:t>
      </w:r>
      <w:r>
        <w:t xml:space="preserve"> </w:t>
      </w:r>
      <w:r>
        <w:rPr>
          <w:i/>
        </w:rPr>
        <w:t xml:space="preserve">Political Research Quarterly</w:t>
      </w:r>
      <w:r>
        <w:t xml:space="preserve">, July.</w:t>
      </w:r>
      <w:r>
        <w:t xml:space="preserve"> </w:t>
      </w:r>
      <w:hyperlink r:id="rId145">
        <w:r>
          <w:rPr>
            <w:rStyle w:val="Hyperlink"/>
          </w:rPr>
          <w:t xml:space="preserve">https://doi.org/10.1177/1065912914542522</w:t>
        </w:r>
      </w:hyperlink>
      <w:r>
        <w:t xml:space="preserve">.</w:t>
      </w:r>
    </w:p>
    <w:bookmarkEnd w:id="146"/>
    <w:bookmarkStart w:id="148" w:name="ref-Walker2020"/>
    <w:p>
      <w:pPr>
        <w:pStyle w:val="Bibliography"/>
      </w:pPr>
      <w:r>
        <w:t xml:space="preserve">———. 2020. “Targeted: The Mobilizing Effect of Perceptions of Unfair Policing Practices.”</w:t>
      </w:r>
      <w:r>
        <w:t xml:space="preserve"> </w:t>
      </w:r>
      <w:r>
        <w:rPr>
          <w:i/>
        </w:rPr>
        <w:t xml:space="preserve">The Journal of Politics</w:t>
      </w:r>
      <w:r>
        <w:t xml:space="preserve"> </w:t>
      </w:r>
      <w:r>
        <w:t xml:space="preserve">82 (1): 119–34.</w:t>
      </w:r>
      <w:r>
        <w:t xml:space="preserve"> </w:t>
      </w:r>
      <w:hyperlink r:id="rId147">
        <w:r>
          <w:rPr>
            <w:rStyle w:val="Hyperlink"/>
          </w:rPr>
          <w:t xml:space="preserve">https://doi.org/10.1086/705684</w:t>
        </w:r>
      </w:hyperlink>
      <w:r>
        <w:t xml:space="preserve">.</w:t>
      </w:r>
    </w:p>
    <w:bookmarkEnd w:id="148"/>
    <w:bookmarkStart w:id="150" w:name="ref-Walker2017"/>
    <w:p>
      <w:pPr>
        <w:pStyle w:val="Bibliography"/>
      </w:pPr>
      <w:r>
        <w:t xml:space="preserve">Walker, Hannah L., and Marcela García-Castañon. 2017. “For Love and Justice: The Mobilizing of Race, Gender, and Criminal Justice Contact.”</w:t>
      </w:r>
      <w:r>
        <w:t xml:space="preserve"> </w:t>
      </w:r>
      <w:r>
        <w:rPr>
          <w:i/>
        </w:rPr>
        <w:t xml:space="preserve">Politics &amp; Gender</w:t>
      </w:r>
      <w:r>
        <w:t xml:space="preserve"> </w:t>
      </w:r>
      <w:r>
        <w:t xml:space="preserve">13 (4): 541–68.</w:t>
      </w:r>
      <w:r>
        <w:t xml:space="preserve"> </w:t>
      </w:r>
      <w:hyperlink r:id="rId149">
        <w:r>
          <w:rPr>
            <w:rStyle w:val="Hyperlink"/>
          </w:rPr>
          <w:t xml:space="preserve">https://doi.org/10.1017/S1743923X17000198</w:t>
        </w:r>
      </w:hyperlink>
      <w:r>
        <w:t xml:space="preserve">.</w:t>
      </w:r>
    </w:p>
    <w:bookmarkEnd w:id="150"/>
    <w:bookmarkStart w:id="152" w:name="ref-Washington2006"/>
    <w:p>
      <w:pPr>
        <w:pStyle w:val="Bibliography"/>
      </w:pPr>
      <w:r>
        <w:t xml:space="preserve">Washington, Ebonya. 2006. “How Black Candidates Affect Voter Turnout.”</w:t>
      </w:r>
      <w:r>
        <w:t xml:space="preserve"> </w:t>
      </w:r>
      <w:r>
        <w:rPr>
          <w:i/>
        </w:rPr>
        <w:t xml:space="preserve">The Quarterly Journal of Economics</w:t>
      </w:r>
      <w:r>
        <w:t xml:space="preserve"> </w:t>
      </w:r>
      <w:r>
        <w:t xml:space="preserve">121 (3): 973–98.</w:t>
      </w:r>
      <w:r>
        <w:t xml:space="preserve"> </w:t>
      </w:r>
      <w:hyperlink r:id="rId151">
        <w:r>
          <w:rPr>
            <w:rStyle w:val="Hyperlink"/>
          </w:rPr>
          <w:t xml:space="preserve">http://www.jstor.org/stable/25098814</w:t>
        </w:r>
      </w:hyperlink>
      <w:r>
        <w:t xml:space="preserve">.</w:t>
      </w:r>
    </w:p>
    <w:bookmarkEnd w:id="152"/>
    <w:bookmarkStart w:id="154" w:name="ref-Weaver2010"/>
    <w:p>
      <w:pPr>
        <w:pStyle w:val="Bibliography"/>
      </w:pPr>
      <w:r>
        <w:t xml:space="preserve">Weaver, Vesla M., and Amy E. Lerman. 2010. “Political Consequences of the Carceral State.”</w:t>
      </w:r>
      <w:r>
        <w:t xml:space="preserve"> </w:t>
      </w:r>
      <w:r>
        <w:rPr>
          <w:i/>
        </w:rPr>
        <w:t xml:space="preserve">American Political Science Review</w:t>
      </w:r>
      <w:r>
        <w:t xml:space="preserve"> </w:t>
      </w:r>
      <w:r>
        <w:t xml:space="preserve">104 (4): 817–33.</w:t>
      </w:r>
      <w:r>
        <w:t xml:space="preserve"> </w:t>
      </w:r>
      <w:hyperlink r:id="rId153">
        <w:r>
          <w:rPr>
            <w:rStyle w:val="Hyperlink"/>
          </w:rPr>
          <w:t xml:space="preserve">https://doi.org/10.1017/S0003055410000456</w:t>
        </w:r>
      </w:hyperlink>
      <w:r>
        <w:t xml:space="preserve">.</w:t>
      </w:r>
    </w:p>
    <w:bookmarkEnd w:id="154"/>
    <w:bookmarkStart w:id="156" w:name="ref-White2019a"/>
    <w:p>
      <w:pPr>
        <w:pStyle w:val="Bibliography"/>
      </w:pPr>
      <w:r>
        <w:t xml:space="preserve">White, Ariel. 2019a. “Family Matters? Voting Behavior in Households with Criminal Justice Contact.”</w:t>
      </w:r>
      <w:r>
        <w:t xml:space="preserve"> </w:t>
      </w:r>
      <w:r>
        <w:rPr>
          <w:i/>
        </w:rPr>
        <w:t xml:space="preserve">American Political Science Review</w:t>
      </w:r>
      <w:r>
        <w:t xml:space="preserve"> </w:t>
      </w:r>
      <w:r>
        <w:t xml:space="preserve">113 (2): 607–13.</w:t>
      </w:r>
      <w:r>
        <w:t xml:space="preserve"> </w:t>
      </w:r>
      <w:hyperlink r:id="rId155">
        <w:r>
          <w:rPr>
            <w:rStyle w:val="Hyperlink"/>
          </w:rPr>
          <w:t xml:space="preserve">https://doi.org/10.1017/S0003055418000862</w:t>
        </w:r>
      </w:hyperlink>
      <w:r>
        <w:t xml:space="preserve">.</w:t>
      </w:r>
    </w:p>
    <w:bookmarkEnd w:id="156"/>
    <w:bookmarkStart w:id="158" w:name="ref-White2019"/>
    <w:p>
      <w:pPr>
        <w:pStyle w:val="Bibliography"/>
      </w:pPr>
      <w:r>
        <w:t xml:space="preserve">———. 2019b. “Misdemeanor Disenfranchisement? The Demobilizing Effects of Brief Jail Spells on Potential Voters.”</w:t>
      </w:r>
      <w:r>
        <w:t xml:space="preserve"> </w:t>
      </w:r>
      <w:r>
        <w:rPr>
          <w:i/>
        </w:rPr>
        <w:t xml:space="preserve">American Political Science Review</w:t>
      </w:r>
      <w:r>
        <w:t xml:space="preserve"> </w:t>
      </w:r>
      <w:r>
        <w:t xml:space="preserve">113 (2): 311–24.</w:t>
      </w:r>
      <w:r>
        <w:t xml:space="preserve"> </w:t>
      </w:r>
      <w:hyperlink r:id="rId157">
        <w:r>
          <w:rPr>
            <w:rStyle w:val="Hyperlink"/>
          </w:rPr>
          <w:t xml:space="preserve">https://doi.org/10.1017/S000305541800093X</w:t>
        </w:r>
      </w:hyperlink>
      <w:r>
        <w:t xml:space="preserve">.</w:t>
      </w:r>
    </w:p>
    <w:bookmarkEnd w:id="158"/>
    <w:bookmarkEnd w:id="159"/>
    <w:p>
      <w:pPr>
        <w:pStyle w:val="Heading2"/>
      </w:pPr>
      <w:bookmarkStart w:id="160" w:name="appendix-a"/>
      <w:r>
        <w:t xml:space="preserve">Appendix A</w:t>
      </w:r>
      <w:bookmarkEnd w:id="160"/>
    </w:p>
    <w:p>
      <w:pPr>
        <w:pStyle w:val="FirstParagraph"/>
      </w:pPr>
      <w:r>
        <w:t xml:space="preserve">As discussed in the body of this manuscript, statewide data on the residential addresses of individuals sentenced to felony probation are not available. These data are, however, available in Hillsborough County, the county in Florida with the third-highest number of formerly incarcerated individuals.</w:t>
      </w:r>
      <w:r>
        <w:rPr>
          <w:rStyle w:val="FootnoteReference"/>
        </w:rPr>
        <w:footnoteReference w:id="161"/>
      </w:r>
      <w:r>
        <w:t xml:space="preserve"> </w:t>
      </w:r>
      <w:r>
        <w:t xml:space="preserve">These records go back to 1988, though I have restricted them to individuals sentenced since October 1, 1997, so that they mirror the incarceration records. I follow the same geocoding and address cleaning procedures as for the incarceration records discussed above. These data do not include unique identifiers. To avoid double-counting, only the most recent record for each unique first name, middle name, last name, and date of birth is retained. This potentially excludes different people whose names and dates of birth are identical. Individuals whose adjudication was withheld are excluded, as are individuals whose names, dates of birth, and addresses match individuals who were formerly incarcerated. This avoids double counting individuals both incarcerated and sentenced to probation.</w:t>
      </w:r>
    </w:p>
    <w:p>
      <w:pPr>
        <w:pStyle w:val="BodyText"/>
      </w:pPr>
      <w:r>
        <w:t xml:space="preserve">Figure</w:t>
      </w:r>
      <w:r>
        <w:t xml:space="preserve"> </w:t>
      </w:r>
      <w:r>
        <w:t xml:space="preserve"> </w:t>
      </w:r>
      <w:r>
        <w:t xml:space="preserve">plots the relationship between the number of formerly incarcerated residents and residents who have been sentenced to felony probation in each block group in Hillsborough County (scaled by population). As the figure makes clear, individuals who have been sentenced to felony probation are concentrated in the same neighborhoods where individuals live after a period of incarceration (the</w:t>
      </w:r>
      <w:r>
        <w:t xml:space="preserve"> </w:t>
      </w:r>
      <w:r>
        <w:rPr>
          <w:i/>
        </w:rPr>
        <w:t xml:space="preserve">R</w:t>
      </w:r>
      <w:r>
        <w:rPr>
          <w:vertAlign w:val="superscript"/>
          <w:i/>
        </w:rPr>
        <w:t xml:space="preserve">2</w:t>
      </w:r>
      <w:r>
        <w:t xml:space="preserve"> </w:t>
      </w:r>
      <w:r>
        <w:t xml:space="preserve">of the bivariate regression is 0.91). As with the marginal effects plots in the body of this manuscript, the figure does not show outlier neighborhoods but the line of best fit and</w:t>
      </w:r>
      <w:r>
        <w:t xml:space="preserve"> </w:t>
      </w:r>
      <w:r>
        <w:rPr>
          <w:i/>
        </w:rPr>
        <w:t xml:space="preserve">R</w:t>
      </w:r>
      <w:r>
        <w:rPr>
          <w:vertAlign w:val="superscript"/>
          <w:i/>
        </w:rPr>
        <w:t xml:space="preserve">2</w:t>
      </w:r>
      <w:r>
        <w:t xml:space="preserve"> </w:t>
      </w:r>
      <w:r>
        <w:t xml:space="preserve">are calculated using all observations.</w:t>
      </w:r>
    </w:p>
    <w:p>
      <w:pPr>
        <w:pStyle w:val="CaptionedFigure"/>
      </w:pPr>
      <w:r>
        <w:drawing>
          <wp:inline>
            <wp:extent cx="5334000" cy="3555999"/>
            <wp:effectExtent b="0" l="0" r="0" t="0"/>
            <wp:docPr descr="Relationship Between Formerly Incarcerated and Probationed Residents, Hillsborough County" title="" id="1" name="Picture"/>
            <a:graphic>
              <a:graphicData uri="http://schemas.openxmlformats.org/drawingml/2006/picture">
                <pic:pic>
                  <pic:nvPicPr>
                    <pic:cNvPr descr="amendment_4_turnout_files/figure-docx/corrplot-1.png" id="0" name="Picture"/>
                    <pic:cNvPicPr>
                      <a:picLocks noChangeArrowheads="1" noChangeAspect="1"/>
                    </pic:cNvPicPr>
                  </pic:nvPicPr>
                  <pic:blipFill>
                    <a:blip r:embed="rId16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Relationship Between Formerly Incarcerated and Probationed Residents, Hillsborough County</w:t>
      </w:r>
    </w:p>
    <w:p>
      <w:pPr>
        <w:pStyle w:val="BodyText"/>
      </w:pPr>
      <w:r>
        <w:t xml:space="preserve">Table</w:t>
      </w:r>
      <w:r>
        <w:t xml:space="preserve"> </w:t>
      </w:r>
      <w:r>
        <w:t xml:space="preserve"> </w:t>
      </w:r>
      <w:r>
        <w:t xml:space="preserve">replicates the models from Tables</w:t>
      </w:r>
      <w:r>
        <w:t xml:space="preserve"> </w:t>
      </w:r>
      <w:r>
        <w:t xml:space="preserve"> </w:t>
      </w:r>
      <w:r>
        <w:t xml:space="preserve">and</w:t>
      </w:r>
      <w:r>
        <w:t xml:space="preserve"> </w:t>
      </w:r>
      <w:r>
        <w:t xml:space="preserve"> </w:t>
      </w:r>
      <w:r>
        <w:t xml:space="preserve">in the main body of this manuscript. In each pair of models in the table, I begin by re-fitting the exact models presented in the body of this manuscript but limiting the precincts and block groups to Hillsborough County. In the second model in each pair, the primary dependent variable includes both formerly incarcerated residents</w:t>
      </w:r>
      <w:r>
        <w:t xml:space="preserve"> </w:t>
      </w:r>
      <w:r>
        <w:rPr>
          <w:i/>
        </w:rPr>
        <w:t xml:space="preserve">and</w:t>
      </w:r>
      <w:r>
        <w:t xml:space="preserve"> </w:t>
      </w:r>
      <w:r>
        <w:t xml:space="preserve">the number of residents who have been convicted of a felony probation.</w:t>
      </w:r>
    </w:p>
    <w:p>
      <w:pPr>
        <w:pStyle w:val="BodyText"/>
      </w:pPr>
      <w:r>
        <w:t xml:space="preserve">The relationship between disenfranchised residents and precinct-level support for Amendment 4, and precinct-level turnout, are nonsignificant in Table</w:t>
      </w:r>
      <w:r>
        <w:t xml:space="preserve"> </w:t>
      </w:r>
      <w:r>
        <w:t xml:space="preserve"> </w:t>
      </w:r>
      <w:r>
        <w:t xml:space="preserve">despite being significant statewide. Block group-level turnout and roll-off remain negatively associated with the presence of disenfranchised individuals. Importantly, in no model does moving from measuring only formerly incarcerated individuals to measuring all disenfranchised individuals change the sign on a statistically significant relationship. This provides corroboration for the argument that the neighborhood-level results presented in the body of this manuscript, measured using only formerly incarcerated residents, apply to the formerly disenfranchised population more generally.</w:t>
      </w:r>
    </w:p>
    <w:p>
      <w:pPr>
        <w:pStyle w:val="BodyText"/>
      </w:pPr>
      <w:r>
        <w:t xml:space="preserve">I next interrogate whether the use of only incarceration records is likely impacting the individual-level analyses presented in the body of the manuscript. I re-run the matching procedure described above, where a registered voter is considered treated if they lived with</w:t>
      </w:r>
      <w:r>
        <w:t xml:space="preserve"> </w:t>
      </w:r>
      <w:r>
        <w:rPr>
          <w:i/>
        </w:rPr>
        <w:t xml:space="preserve">any</w:t>
      </w:r>
      <w:r>
        <w:t xml:space="preserve"> </w:t>
      </w:r>
      <w:r>
        <w:t xml:space="preserve">disenfranchised individual. Potential controls for this matching procedure are limited to Hillsborough County, where we can be sure registered voters do not live with individuals sentenced to felony probation. The matching procedure is successful at reducing differences between treated and control voters in Hillsborough County.</w:t>
      </w:r>
    </w:p>
    <w:p>
      <w:pPr>
        <w:pStyle w:val="BodyText"/>
      </w:pPr>
      <w:r>
        <w:t xml:space="preserve">In Table</w:t>
      </w:r>
      <w:r>
        <w:t xml:space="preserve"> </w:t>
      </w:r>
      <w:r>
        <w:t xml:space="preserve">, models 1 – 4 re-estimate models 1 – 4 from Table</w:t>
      </w:r>
      <w:r>
        <w:t xml:space="preserve"> </w:t>
      </w:r>
      <w:r>
        <w:t xml:space="preserve">, where the pool is limited to treated voters who live in Hillsborough County and their matches. Models 5 – 8 present the results using the broader treatment definition.</w:t>
      </w:r>
    </w:p>
    <w:p>
      <w:pPr>
        <w:pStyle w:val="BodyText"/>
      </w:pPr>
      <w:r>
        <w:t xml:space="preserve">In Hillsborough County, the magnitude of the treatment effect grows when we broaden the treatment group to include anyone who lives with a formerly disenfranchised individual. This raises interesting questions about the potential differential spillover effects of living with a formerly incarcerated individual versus with an individual sentenced to felony probation. This may also be due to some housemates of probationed individuals serving as controls in the main analysis, collapsing the distinction between treated and control and producing conservative estimates. Nonetheless, Table</w:t>
      </w:r>
      <w:r>
        <w:t xml:space="preserve"> </w:t>
      </w:r>
      <w:r>
        <w:t xml:space="preserve"> </w:t>
      </w:r>
      <w:r>
        <w:t xml:space="preserve">provides evidence that the negative treatment effects identified among voters living with formerly incarcerated individuals in the body of this manuscript are likely generalizeable to all voters living with disenfranchised individuals.</w:t>
      </w:r>
    </w:p>
    <w:p>
      <w:r>
        <w:br w:type="page"/>
      </w:r>
    </w:p>
    <w:p>
      <w:pPr>
        <w:pStyle w:val="Heading2"/>
      </w:pPr>
      <w:bookmarkStart w:id="164" w:name="appendix-b"/>
      <w:r>
        <w:t xml:space="preserve">Appendix B</w:t>
      </w:r>
      <w:bookmarkEnd w:id="164"/>
    </w:p>
    <w:p>
      <w:pPr>
        <w:pStyle w:val="FirstParagraph"/>
      </w:pPr>
      <w:r>
        <w:t xml:space="preserve">When discussing the impact of formerly incarcerated residents on neighborhood turnout and support for Amendment 4 in the body of this paper, I include only a subset of formerly incarcerated residents. I exclude individuals who returned from prison to institutions listed by four or more other formerly incarcerated individuals. I choose to exclude these individuals because I am most interested in the relationship between Amendment 4 and the turnout of individuals in proximal contact with the criminal justice system.</w:t>
      </w:r>
      <w:r>
        <w:t xml:space="preserve"> </w:t>
      </w:r>
      <w:r>
        <w:t xml:space="preserve">Walker and García-Castañon (</w:t>
      </w:r>
      <w:hyperlink w:anchor="ref-Walker2017">
        <w:r>
          <w:rPr>
            <w:rStyle w:val="Hyperlink"/>
          </w:rPr>
          <w:t xml:space="preserve">2017</w:t>
        </w:r>
      </w:hyperlink>
      <w:r>
        <w:t xml:space="preserve">)</w:t>
      </w:r>
      <w:r>
        <w:t xml:space="preserve"> </w:t>
      </w:r>
      <w:r>
        <w:t xml:space="preserve">defines proximal contact</w:t>
      </w:r>
      <w:r>
        <w:t xml:space="preserve"> </w:t>
      </w:r>
      <w:r>
        <w:t xml:space="preserve">“</w:t>
      </w:r>
      <w:r>
        <w:t xml:space="preserve">as having a loved one who is a custodial citizen without yourself having had contact</w:t>
      </w:r>
      <w:r>
        <w:t xml:space="preserve">”</w:t>
      </w:r>
      <w:r>
        <w:t xml:space="preserve"> </w:t>
      </w:r>
      <w:r>
        <w:t xml:space="preserve">(542). Because much of the literature focuses on the mechanisms linking personal relationships, proximal contact, and political participation, I limit the sample to formerly incarcerated individuals who are likely returning to neighborhoods with social and familial ties.</w:t>
      </w:r>
    </w:p>
    <w:p>
      <w:pPr>
        <w:pStyle w:val="BodyText"/>
      </w:pPr>
      <w:r>
        <w:t xml:space="preserve">Nevertheless, living in a neighborhood with a large number of formerly incarcerated individuals who reside in institutions like half-way houses or shelters might structure voting behavior. I begin this appendix by re-estimating the models presented in Tables</w:t>
      </w:r>
      <w:r>
        <w:t xml:space="preserve"> </w:t>
      </w:r>
      <w:r>
        <w:t xml:space="preserve"> </w:t>
      </w:r>
      <w:r>
        <w:t xml:space="preserve">and</w:t>
      </w:r>
      <w:r>
        <w:t xml:space="preserve"> </w:t>
      </w:r>
      <w:r>
        <w:t xml:space="preserve"> </w:t>
      </w:r>
      <w:r>
        <w:t xml:space="preserve">in the body of this paper, but now including</w:t>
      </w:r>
      <w:r>
        <w:t xml:space="preserve"> </w:t>
      </w:r>
      <w:r>
        <w:rPr>
          <w:i/>
        </w:rPr>
        <w:t xml:space="preserve">all</w:t>
      </w:r>
      <w:r>
        <w:t xml:space="preserve"> </w:t>
      </w:r>
      <w:r>
        <w:t xml:space="preserve">formerly incarcerated residents. Table</w:t>
      </w:r>
      <w:r>
        <w:t xml:space="preserve"> </w:t>
      </w:r>
      <w:r>
        <w:t xml:space="preserve"> </w:t>
      </w:r>
      <w:r>
        <w:t xml:space="preserve">presents the results of these estimations. Model 1 presents the turnout regression estimated at the block group level, while Models 2 – 4 are estimated using precinct level data.</w:t>
      </w:r>
    </w:p>
    <w:p>
      <w:pPr>
        <w:pStyle w:val="BodyText"/>
      </w:pPr>
      <w:r>
        <w:t xml:space="preserve">The inclusion of all formerly incarcerated residents substantially shrinks the size of the estimated coefficients of interest with respect to the estimates presented in the body of the manuscript. Nevertheless, turnout (measured at the block group and precinct level) and roll-off are significantly and negatively related with the formerly incarcerated population in a neighborhood, and support for Amendment 4 remains positively (and significantly) related. It appears, then, that formerly incarcerated residents who return to institutions have smaller spillover effects on their neighbors’ voting behavior.</w:t>
      </w:r>
    </w:p>
    <w:p>
      <w:pPr>
        <w:pStyle w:val="BodyText"/>
      </w:pPr>
      <w:r>
        <w:t xml:space="preserve">The body of the manuscript also acknowledges that the use of release plan address data may be unreliable considering the fact that many individuals may have moved or died since their discharge from parole. This is especially possible for individuals who have not had contact with the state incarceration agency for many years. To account for this possibility, Table</w:t>
      </w:r>
      <w:r>
        <w:t xml:space="preserve"> </w:t>
      </w:r>
      <w:r>
        <w:t xml:space="preserve"> </w:t>
      </w:r>
      <w:r>
        <w:t xml:space="preserve">re-estimates the models presented in Tables</w:t>
      </w:r>
      <w:r>
        <w:t xml:space="preserve"> </w:t>
      </w:r>
      <w:r>
        <w:t xml:space="preserve"> </w:t>
      </w:r>
      <w:r>
        <w:t xml:space="preserve">and</w:t>
      </w:r>
      <w:r>
        <w:t xml:space="preserve"> </w:t>
      </w:r>
      <w:r>
        <w:t xml:space="preserve">, but limits the formerly incarcerated individuals to those residents who were last released from prison between 2015 and the 2018 election. These individuals are the least likely to have died or moved, simply because their information is the most recent. These models include only individuals who returned to non-institutions, as presented in the body of the manuscript.</w:t>
      </w:r>
    </w:p>
    <w:p>
      <w:pPr>
        <w:pStyle w:val="BodyText"/>
      </w:pPr>
      <w:r>
        <w:t xml:space="preserve">In each of the models presented in Table</w:t>
      </w:r>
      <w:r>
        <w:t xml:space="preserve"> </w:t>
      </w:r>
      <w:r>
        <w:t xml:space="preserve">, the independent variable of interest is statistically significant at the 99 percent level. Moreover, the estimated coefficient is in each case larger than that presented in the body of the manuscript. This could be because using more recent data better identifies communities that are currently home, not just historically home, to formerly incarcerated individuals. On the other hand, a community member’s incarceration may be more salient in places where residents were more recently incarcerated. Proximal contact, in other words, might shape voters’ behavior more strongly if that contact was recent. The individual-level difference-in-differences regressions presented later in the paper would seem to corroborate this as well.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Researcher,</w:t>
      </w:r>
      <w:r>
        <w:t xml:space="preserve"> </w:t>
      </w:r>
      <w:r>
        <w:t xml:space="preserve">Brennan</w:t>
      </w:r>
      <w:r>
        <w:t xml:space="preserve"> </w:t>
      </w:r>
      <w:r>
        <w:t xml:space="preserve">Center</w:t>
      </w:r>
      <w:r>
        <w:t xml:space="preserve"> </w:t>
      </w:r>
      <w:r>
        <w:t xml:space="preserve">for</w:t>
      </w:r>
      <w:r>
        <w:t xml:space="preserve"> </w:t>
      </w:r>
      <w:r>
        <w:t xml:space="preserve">Justice</w:t>
      </w:r>
      <w:r>
        <w:t xml:space="preserve"> </w:t>
      </w:r>
      <w:r>
        <w:t xml:space="preserve">at</w:t>
      </w:r>
      <w:r>
        <w:t xml:space="preserve"> </w:t>
      </w:r>
      <w:r>
        <w:t xml:space="preserve">NYU</w:t>
      </w:r>
      <w:r>
        <w:t xml:space="preserve"> </w:t>
      </w:r>
      <w:r>
        <w:t xml:space="preserve">School</w:t>
      </w:r>
      <w:r>
        <w:t xml:space="preserve"> </w:t>
      </w:r>
      <w:r>
        <w:t xml:space="preserve">of</w:t>
      </w:r>
      <w:r>
        <w:t xml:space="preserve"> </w:t>
      </w:r>
      <w:r>
        <w:t xml:space="preserve">Law,</w:t>
      </w:r>
      <w:r>
        <w:t xml:space="preserve"> </w:t>
      </w:r>
      <w:r>
        <w:t xml:space="preserve">120</w:t>
      </w:r>
      <w:r>
        <w:t xml:space="preserve"> </w:t>
      </w:r>
      <w:r>
        <w:t xml:space="preserve">Broadway</w:t>
      </w:r>
      <w:r>
        <w:t xml:space="preserve"> </w:t>
      </w:r>
      <w:r>
        <w:t xml:space="preserve">Ste</w:t>
      </w:r>
      <w:r>
        <w:t xml:space="preserve"> </w:t>
      </w:r>
      <w:r>
        <w:t xml:space="preserve">1750,</w:t>
      </w:r>
      <w:r>
        <w:t xml:space="preserve"> </w:t>
      </w:r>
      <w:r>
        <w:t xml:space="preserve">New</w:t>
      </w:r>
      <w:r>
        <w:t xml:space="preserve"> </w:t>
      </w:r>
      <w:r>
        <w:t xml:space="preserve">York,</w:t>
      </w:r>
      <w:r>
        <w:t xml:space="preserve"> </w:t>
      </w:r>
      <w:r>
        <w:t xml:space="preserve">NY</w:t>
      </w:r>
      <w:r>
        <w:t xml:space="preserve"> </w:t>
      </w:r>
      <w:r>
        <w:t xml:space="preserve">10271</w:t>
      </w:r>
      <w:r>
        <w:t xml:space="preserve"> </w:t>
      </w:r>
      <w:r>
        <w:t xml:space="preserve">(</w:t>
      </w:r>
      <w:hyperlink r:id="rId21">
        <w:r>
          <w:rPr>
            <w:rStyle w:val="Hyperlink"/>
          </w:rPr>
          <w:t xml:space="preserve">kevin.morris@nyu.edu</w:t>
        </w:r>
      </w:hyperlink>
      <w:r>
        <w:t xml:space="preserve">)</w:t>
      </w:r>
    </w:p>
  </w:footnote>
  <w:footnote w:id="23">
    <w:p>
      <w:pPr>
        <w:pStyle w:val="FootnoteText"/>
      </w:pPr>
      <w:r>
        <w:rPr>
          <w:rStyle w:val="FootnoteReference"/>
        </w:rPr>
        <w:footnoteRef/>
      </w:r>
      <w:r>
        <w:t xml:space="preserve"> </w:t>
      </w:r>
      <w:r>
        <w:t xml:space="preserve">Hand et al. v. Scott et al., 4:17cv128-MW/CAS (U.S. District Court for the Northern District of Florida 2018).</w:t>
      </w:r>
    </w:p>
  </w:footnote>
  <w:footnote w:id="25">
    <w:p>
      <w:pPr>
        <w:pStyle w:val="FootnoteText"/>
      </w:pPr>
      <w:r>
        <w:rPr>
          <w:rStyle w:val="FootnoteReference"/>
        </w:rPr>
        <w:footnoteRef/>
      </w:r>
      <w:r>
        <w:t xml:space="preserve"> </w:t>
      </w:r>
      <w:r>
        <w:t xml:space="preserve">See</w:t>
      </w:r>
      <w:r>
        <w:t xml:space="preserve"> </w:t>
      </w:r>
      <w:hyperlink r:id="rId26">
        <w:r>
          <w:rPr>
            <w:rStyle w:val="Hyperlink"/>
          </w:rPr>
          <w:t xml:space="preserve">http://edr.state.fl.us/Content/resource-demand/criminal-justice/reports/criminal-justice/cj7.pdf</w:t>
        </w:r>
      </w:hyperlink>
      <w:r>
        <w:t xml:space="preserve">.</w:t>
      </w:r>
    </w:p>
  </w:footnote>
  <w:footnote w:id="30">
    <w:p>
      <w:pPr>
        <w:pStyle w:val="FootnoteText"/>
      </w:pPr>
      <w:r>
        <w:rPr>
          <w:rStyle w:val="FootnoteReference"/>
        </w:rPr>
        <w:footnoteRef/>
      </w:r>
      <w:r>
        <w:t xml:space="preserve"> </w:t>
      </w:r>
      <w:r>
        <w:t xml:space="preserve">The OBIS lists current addresses for individuals currently under community supervision, which may differ from the release plan addresses. However, according to a response to a public records request filed by the author with the Department of Corrections, these historical data are not maintained once an individual has been discharged.</w:t>
      </w:r>
    </w:p>
  </w:footnote>
  <w:footnote w:id="31">
    <w:p>
      <w:pPr>
        <w:pStyle w:val="FootnoteText"/>
      </w:pPr>
      <w:r>
        <w:rPr>
          <w:rStyle w:val="FootnoteReference"/>
        </w:rPr>
        <w:footnoteRef/>
      </w:r>
      <w:r>
        <w:t xml:space="preserve"> </w:t>
      </w:r>
      <w:r>
        <w:t xml:space="preserve">See</w:t>
      </w:r>
      <w:r>
        <w:t xml:space="preserve"> </w:t>
      </w:r>
      <w:hyperlink r:id="rId32">
        <w:r>
          <w:rPr>
            <w:rStyle w:val="Hyperlink"/>
          </w:rPr>
          <w:t xml:space="preserve">http://edr.state.fl.us/Content/resource-demand/criminal-justice/reports/criminal-justice/index.cfm</w:t>
        </w:r>
      </w:hyperlink>
      <w:r>
        <w:t xml:space="preserve">.</w:t>
      </w:r>
    </w:p>
  </w:footnote>
  <w:footnote w:id="36">
    <w:p>
      <w:pPr>
        <w:pStyle w:val="FootnoteText"/>
      </w:pPr>
      <w:r>
        <w:rPr>
          <w:rStyle w:val="FootnoteReference"/>
        </w:rPr>
        <w:footnoteRef/>
      </w:r>
      <w:r>
        <w:t xml:space="preserve"> </w:t>
      </w:r>
      <w:r>
        <w:t xml:space="preserve">See</w:t>
      </w:r>
      <w:r>
        <w:t xml:space="preserve"> </w:t>
      </w:r>
      <w:hyperlink r:id="rId37">
        <w:r>
          <w:rPr>
            <w:rStyle w:val="Hyperlink"/>
          </w:rPr>
          <w:t xml:space="preserve">https://ballotpedia.org/Voting_in_Florida</w:t>
        </w:r>
      </w:hyperlink>
      <w:r>
        <w:t xml:space="preserve">.</w:t>
      </w:r>
    </w:p>
  </w:footnote>
  <w:footnote w:id="39">
    <w:p>
      <w:pPr>
        <w:pStyle w:val="FootnoteText"/>
      </w:pPr>
      <w:r>
        <w:rPr>
          <w:rStyle w:val="FootnoteReference"/>
        </w:rPr>
        <w:footnoteRef/>
      </w:r>
      <w:r>
        <w:t xml:space="preserve"> </w:t>
      </w:r>
      <w:r>
        <w:t xml:space="preserve">The 35 precincts where calculated turnout exceeds 100 percent have been dropped from the analysis.</w:t>
      </w:r>
    </w:p>
  </w:footnote>
  <w:footnote w:id="40">
    <w:p>
      <w:pPr>
        <w:pStyle w:val="FootnoteText"/>
      </w:pPr>
      <w:r>
        <w:rPr>
          <w:rStyle w:val="FootnoteReference"/>
        </w:rPr>
        <w:footnoteRef/>
      </w:r>
      <w:r>
        <w:t xml:space="preserve"> </w:t>
      </w:r>
      <w:r>
        <w:t xml:space="preserve">I define ACVAP by subtracting the number of all formerly incarcerated individuals from the Census Bureau’s estimated citizen voting age population (including the individuals who are excluded from the primary independent variable count because they returned to common post-release residences). My definition of ACVAP is similar to the voting eligible population estimated by</w:t>
      </w:r>
      <w:r>
        <w:t xml:space="preserve"> </w:t>
      </w:r>
      <w:r>
        <w:t xml:space="preserve">McDonald (</w:t>
      </w:r>
      <w:hyperlink w:anchor="ref-McDonald2002">
        <w:r>
          <w:rPr>
            <w:rStyle w:val="Hyperlink"/>
          </w:rPr>
          <w:t xml:space="preserve">2002</w:t>
        </w:r>
      </w:hyperlink>
      <w:r>
        <w:t xml:space="preserve">)</w:t>
      </w:r>
      <w:r>
        <w:t xml:space="preserve">, though I do not have estimates of the number of individuals disenfranchised for a felony probation at the neighborhood-level.</w:t>
      </w:r>
    </w:p>
  </w:footnote>
  <w:footnote w:id="41">
    <w:p>
      <w:pPr>
        <w:pStyle w:val="FootnoteText"/>
      </w:pPr>
      <w:r>
        <w:rPr>
          <w:rStyle w:val="FootnoteReference"/>
        </w:rPr>
        <w:footnoteRef/>
      </w:r>
      <w:r>
        <w:t xml:space="preserve"> </w:t>
      </w:r>
      <w:r>
        <w:t xml:space="preserve">Where neighborhoods cross congressional district boundaries they are assigned to the district in which most of their voters live.</w:t>
      </w:r>
    </w:p>
  </w:footnote>
  <w:footnote w:id="46">
    <w:p>
      <w:pPr>
        <w:pStyle w:val="FootnoteText"/>
      </w:pPr>
      <w:r>
        <w:rPr>
          <w:rStyle w:val="FootnoteReference"/>
        </w:rPr>
        <w:footnoteRef/>
      </w:r>
      <w:r>
        <w:t xml:space="preserve"> </w:t>
      </w:r>
      <w:r>
        <w:t xml:space="preserve">Due to computing constraints, a random 5 percent random sample stratified by treatment status is used to calculate the genetic weights. The full sample is used for matching.</w:t>
      </w:r>
    </w:p>
  </w:footnote>
  <w:footnote w:id="48">
    <w:p>
      <w:pPr>
        <w:pStyle w:val="FootnoteText"/>
      </w:pPr>
      <w:r>
        <w:rPr>
          <w:rStyle w:val="FootnoteReference"/>
        </w:rPr>
        <w:footnoteRef/>
      </w:r>
      <w:r>
        <w:t xml:space="preserve"> </w:t>
      </w:r>
      <w:r>
        <w:t xml:space="preserve">Although the dependent variable here is binary — it takes the value 0 if a voter does not participate, and 1 if she does — the coefficients produced by logistic regressions in the difference-in-differences context are largely uninterpretable. I thus use a linear specification here. When the models are estimated using a logistic specification, the treatment effect is virtually identical.</w:t>
      </w:r>
    </w:p>
  </w:footnote>
  <w:footnote w:id="50">
    <w:p>
      <w:pPr>
        <w:pStyle w:val="FootnoteText"/>
      </w:pPr>
      <w:r>
        <w:rPr>
          <w:rStyle w:val="FootnoteReference"/>
        </w:rPr>
        <w:footnoteRef/>
      </w:r>
      <w:r>
        <w:t xml:space="preserve"> </w:t>
      </w:r>
      <w:r>
        <w:t xml:space="preserve">Jones et al. v. DeSantis et al., 4:19cv300-RH/MJF (U.S. District Court for the Northern District of Florida 2020).</w:t>
      </w:r>
    </w:p>
  </w:footnote>
  <w:footnote w:id="51">
    <w:p>
      <w:pPr>
        <w:pStyle w:val="FootnoteText"/>
      </w:pPr>
      <w:r>
        <w:rPr>
          <w:rStyle w:val="FootnoteReference"/>
        </w:rPr>
        <w:footnoteRef/>
      </w:r>
      <w:r>
        <w:t xml:space="preserve"> </w:t>
      </w:r>
      <w:r>
        <w:t xml:space="preserve">Jones et al. v. DeSantis et al., 4:19cv300-RH/MJF (United States Court of Appeals for the Eleventh Circuit).</w:t>
      </w:r>
    </w:p>
  </w:footnote>
  <w:footnote w:id="161">
    <w:p>
      <w:pPr>
        <w:pStyle w:val="FootnoteText"/>
      </w:pPr>
      <w:r>
        <w:rPr>
          <w:rStyle w:val="FootnoteReference"/>
        </w:rPr>
        <w:footnoteRef/>
      </w:r>
      <w:r>
        <w:t xml:space="preserve"> </w:t>
      </w:r>
      <w:r>
        <w:t xml:space="preserve">See</w:t>
      </w:r>
      <w:r>
        <w:t xml:space="preserve"> </w:t>
      </w:r>
      <w:hyperlink r:id="rId162">
        <w:r>
          <w:rPr>
            <w:rStyle w:val="Hyperlink"/>
          </w:rPr>
          <w:t xml:space="preserve">https://www.hillsclerk.com/Records-and-Reports/Public-Data-Files</w:t>
        </w:r>
      </w:hyperlink>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3" Target="media/rId163.png" /><Relationship Type="http://schemas.openxmlformats.org/officeDocument/2006/relationships/image" Id="rId47" Target="media/rId47.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2" Target="media/rId42.png" /><Relationship Type="http://schemas.openxmlformats.org/officeDocument/2006/relationships/hyperlink" Id="rId70" Target="http://books.google.com?id=YOeFAwAAQBAJ" TargetMode="External" /><Relationship Type="http://schemas.openxmlformats.org/officeDocument/2006/relationships/hyperlink" Id="rId26" Target="http://edr.state.fl.us/Content/resource-demand/criminal-justice/reports/criminal-justice/cj7.pdf" TargetMode="External" /><Relationship Type="http://schemas.openxmlformats.org/officeDocument/2006/relationships/hyperlink" Id="rId32" Target="http://edr.state.fl.us/Content/resource-demand/criminal-justice/reports/criminal-justice/index.cfm" TargetMode="External" /><Relationship Type="http://schemas.openxmlformats.org/officeDocument/2006/relationships/hyperlink" Id="rId75" Target="http://proxy.library.nyu.edu/login?url=http://search.ebscohost.com/login.aspx?direct=true&amp;db=edselc&amp;AN=edselc.2-52.0-0036997235&amp;site=eds-live" TargetMode="External" /><Relationship Type="http://schemas.openxmlformats.org/officeDocument/2006/relationships/hyperlink" Id="rId151" Target="http://www.jstor.org/stable/25098814" TargetMode="External" /><Relationship Type="http://schemas.openxmlformats.org/officeDocument/2006/relationships/hyperlink" Id="rId64" Target="http://www.jstor.org/stable/586468" TargetMode="External" /><Relationship Type="http://schemas.openxmlformats.org/officeDocument/2006/relationships/hyperlink" Id="rId37" Target="https://ballotpedia.org/Voting_in_Florida" TargetMode="External" /><Relationship Type="http://schemas.openxmlformats.org/officeDocument/2006/relationships/hyperlink" Id="rId153" Target="https://doi.org/10.1017/S0003055410000456" TargetMode="External" /><Relationship Type="http://schemas.openxmlformats.org/officeDocument/2006/relationships/hyperlink" Id="rId155" Target="https://doi.org/10.1017/S0003055418000862" TargetMode="External" /><Relationship Type="http://schemas.openxmlformats.org/officeDocument/2006/relationships/hyperlink" Id="rId157" Target="https://doi.org/10.1017/S000305541800093X" TargetMode="External" /><Relationship Type="http://schemas.openxmlformats.org/officeDocument/2006/relationships/hyperlink" Id="rId149" Target="https://doi.org/10.1017/S1743923X17000198" TargetMode="External" /><Relationship Type="http://schemas.openxmlformats.org/officeDocument/2006/relationships/hyperlink" Id="rId54" Target="https://doi.org/10.1017/pan.2019.44" TargetMode="External" /><Relationship Type="http://schemas.openxmlformats.org/officeDocument/2006/relationships/hyperlink" Id="rId108" Target="https://doi.org/10.1080/10282580.2012.734568" TargetMode="External" /><Relationship Type="http://schemas.openxmlformats.org/officeDocument/2006/relationships/hyperlink" Id="rId104" Target="https://doi.org/10.1080/10282580.2015.1101685" TargetMode="External" /><Relationship Type="http://schemas.openxmlformats.org/officeDocument/2006/relationships/hyperlink" Id="rId110" Target="https://doi.org/10.1080/17457289.2018.1437545" TargetMode="External" /><Relationship Type="http://schemas.openxmlformats.org/officeDocument/2006/relationships/hyperlink" Id="rId102" Target="https://doi.org/10.1086/381290" TargetMode="External" /><Relationship Type="http://schemas.openxmlformats.org/officeDocument/2006/relationships/hyperlink" Id="rId81" Target="https://doi.org/10.1086/692670" TargetMode="External" /><Relationship Type="http://schemas.openxmlformats.org/officeDocument/2006/relationships/hyperlink" Id="rId147" Target="https://doi.org/10.1086/705684" TargetMode="External" /><Relationship Type="http://schemas.openxmlformats.org/officeDocument/2006/relationships/hyperlink" Id="rId125" Target="https://doi.org/10.1093/poq/nfs018" TargetMode="External" /><Relationship Type="http://schemas.openxmlformats.org/officeDocument/2006/relationships/hyperlink" Id="rId56" Target="https://doi.org/10.1093/poq/nfx001" TargetMode="External" /><Relationship Type="http://schemas.openxmlformats.org/officeDocument/2006/relationships/hyperlink" Id="rId89" Target="https://doi.org/10.1093/socpro/spw003" TargetMode="External" /><Relationship Type="http://schemas.openxmlformats.org/officeDocument/2006/relationships/hyperlink" Id="rId100" Target="https://doi.org/10.1111/j.1467-9221.2012.00934.x" TargetMode="External" /><Relationship Type="http://schemas.openxmlformats.org/officeDocument/2006/relationships/hyperlink" Id="rId66" Target="https://doi.org/10.1111/j.1540-5893.2011.00448.x" TargetMode="External" /><Relationship Type="http://schemas.openxmlformats.org/officeDocument/2006/relationships/hyperlink" Id="rId62" Target="https://doi.org/10.1111/j.1540-6237.2009.00640.x" TargetMode="External" /><Relationship Type="http://schemas.openxmlformats.org/officeDocument/2006/relationships/hyperlink" Id="rId96" Target="https://doi.org/10.1146/annurev-criminol-032317-091915" TargetMode="External" /><Relationship Type="http://schemas.openxmlformats.org/officeDocument/2006/relationships/hyperlink" Id="rId91" Target="https://doi.org/10.1177/0002716213502920" TargetMode="External" /><Relationship Type="http://schemas.openxmlformats.org/officeDocument/2006/relationships/hyperlink" Id="rId68" Target="https://doi.org/10.1177/0002716213503093" TargetMode="External" /><Relationship Type="http://schemas.openxmlformats.org/officeDocument/2006/relationships/hyperlink" Id="rId73" Target="https://doi.org/10.1177/0002716215625038" TargetMode="External" /><Relationship Type="http://schemas.openxmlformats.org/officeDocument/2006/relationships/hyperlink" Id="rId87" Target="https://doi.org/10.1177/0021934716659195" TargetMode="External" /><Relationship Type="http://schemas.openxmlformats.org/officeDocument/2006/relationships/hyperlink" Id="rId145" Target="https://doi.org/10.1177/1065912914542522" TargetMode="External" /><Relationship Type="http://schemas.openxmlformats.org/officeDocument/2006/relationships/hyperlink" Id="rId77" Target="https://doi.org/10.1177/1065912915577819" TargetMode="External" /><Relationship Type="http://schemas.openxmlformats.org/officeDocument/2006/relationships/hyperlink" Id="rId112" Target="https://doi.org/10.1177/1078087420921522" TargetMode="External" /><Relationship Type="http://schemas.openxmlformats.org/officeDocument/2006/relationships/hyperlink" Id="rId94" Target="https://doi.org/10.1177/1462474510385629" TargetMode="External" /><Relationship Type="http://schemas.openxmlformats.org/officeDocument/2006/relationships/hyperlink" Id="rId106" Target="https://doi.org/10.1177/1462474512452513" TargetMode="External" /><Relationship Type="http://schemas.openxmlformats.org/officeDocument/2006/relationships/hyperlink" Id="rId98" Target="https://doi.org/10.1177/153244000200200205" TargetMode="External" /><Relationship Type="http://schemas.openxmlformats.org/officeDocument/2006/relationships/hyperlink" Id="rId79" Target="https://doi.org/10.1198/016214506000001040" TargetMode="External" /><Relationship Type="http://schemas.openxmlformats.org/officeDocument/2006/relationships/hyperlink" Id="rId123" Target="https://doi.org/10.18637/jss.v042.i07" TargetMode="External" /><Relationship Type="http://schemas.openxmlformats.org/officeDocument/2006/relationships/hyperlink" Id="rId85" Target="https://github.com/nvkelso/election-geodata" TargetMode="External" /><Relationship Type="http://schemas.openxmlformats.org/officeDocument/2006/relationships/hyperlink" Id="rId58" Target="https://heinonline.org/HOL/P?h=hein.journals/colhr36&amp;i=181" TargetMode="External" /><Relationship Type="http://schemas.openxmlformats.org/officeDocument/2006/relationships/hyperlink" Id="rId143" Target="https://pe.usps.com/text/pub28/28apc_002.htm" TargetMode="External" /><Relationship Type="http://schemas.openxmlformats.org/officeDocument/2006/relationships/hyperlink" Id="rId129" Target="https://slate.com/news-and-politics/2019/03/florida-republicans-felon-voting-rights-amendment-4.html" TargetMode="External" /><Relationship Type="http://schemas.openxmlformats.org/officeDocument/2006/relationships/hyperlink" Id="rId137" Target="https://www.floridabar.org/the-florida-bar-journal/withhold-of-adjudication-what-everyone-needs-to-know/" TargetMode="External" /><Relationship Type="http://schemas.openxmlformats.org/officeDocument/2006/relationships/hyperlink" Id="rId162" Target="https://www.hillsclerk.com/Records-and-Reports/Public-Data-Files" TargetMode="External" /><Relationship Type="http://schemas.openxmlformats.org/officeDocument/2006/relationships/hyperlink" Id="rId119" Target="https://www.nytimes.com/2018/11/07/us/florida-felon-voting-rights.html" TargetMode="External" /><Relationship Type="http://schemas.openxmlformats.org/officeDocument/2006/relationships/hyperlink" Id="rId115" Target="https://www.orlandosentinel.com/opinion/editorials/os-op-orlando-sentinel-endorsements-20181018-htmlstory.html#amend4%5D" TargetMode="External" /><Relationship Type="http://schemas.openxmlformats.org/officeDocument/2006/relationships/hyperlink" Id="rId83" Target="https://www.orlandosentinel.com/opinion/guest-commentary/os-op-limiting-amendment-4-is-a-setback-20200807-hvcef76xongytccvyivu7o4s3y-story.html" TargetMode="External" /><Relationship Type="http://schemas.openxmlformats.org/officeDocument/2006/relationships/hyperlink" Id="rId117" Target="https://www.palmbeachpost.com/news/20181025/florida-felon-voting-rights-who-got-theirs-back-under-scott" TargetMode="External" /><Relationship Type="http://schemas.openxmlformats.org/officeDocument/2006/relationships/hyperlink" Id="rId127" Target="https://www.rollingstone.com/politics/politics-features/andrew-gillum-florida-governor-race-749651/" TargetMode="External" /><Relationship Type="http://schemas.openxmlformats.org/officeDocument/2006/relationships/hyperlink" Id="rId140" Target="https://www.sentencingproject.org/publications/6-million-lost-voters-state-level-estimates-felony-disenfranchisement-2016/" TargetMode="External" /><Relationship Type="http://schemas.openxmlformats.org/officeDocument/2006/relationships/hyperlink" Id="rId131" Target="https://www.sun-sentinel.com/opinion/endorsements/fl-op-end-good-bad-constitutional-amendments-20181005-story.html" TargetMode="External" /><Relationship Type="http://schemas.openxmlformats.org/officeDocument/2006/relationships/hyperlink" Id="rId121" Target="https://www.tampabay.com/opinion/columns/Column-Some-facts-and-figures-you-might-not-know-about-civil-rights-restoration-in-Florida_167477194/" TargetMode="External" /><Relationship Type="http://schemas.openxmlformats.org/officeDocument/2006/relationships/hyperlink" Id="rId133" Target="https://www.tampabay.com/opinion/editorials/times-recommends-yes-on-amendment-4-20180928/" TargetMode="External" /><Relationship Type="http://schemas.openxmlformats.org/officeDocument/2006/relationships/hyperlink" Id="rId60" Target="https://www.tampabay.comundefined/" TargetMode="External" /><Relationship Type="http://schemas.openxmlformats.org/officeDocument/2006/relationships/hyperlink" Id="rId135" Target="https://www.washingtonpost.com/world/2018/11/07/floridas-move-allow-ex-felons-vote-brings-us-closer-international-election-norms/" TargetMode="External" /><Relationship Type="http://schemas.openxmlformats.org/officeDocument/2006/relationships/hyperlink" Id="rId21" Target="mailto:kevin.morris@nyu.edu" TargetMode="External" /></Relationships>
</file>

<file path=word/_rels/footnotes.xml.rels><?xml version="1.0" encoding="UTF-8"?>
<Relationships xmlns="http://schemas.openxmlformats.org/package/2006/relationships"><Relationship Type="http://schemas.openxmlformats.org/officeDocument/2006/relationships/hyperlink" Id="rId70" Target="http://books.google.com?id=YOeFAwAAQBAJ" TargetMode="External" /><Relationship Type="http://schemas.openxmlformats.org/officeDocument/2006/relationships/hyperlink" Id="rId26" Target="http://edr.state.fl.us/Content/resource-demand/criminal-justice/reports/criminal-justice/cj7.pdf" TargetMode="External" /><Relationship Type="http://schemas.openxmlformats.org/officeDocument/2006/relationships/hyperlink" Id="rId32" Target="http://edr.state.fl.us/Content/resource-demand/criminal-justice/reports/criminal-justice/index.cfm" TargetMode="External" /><Relationship Type="http://schemas.openxmlformats.org/officeDocument/2006/relationships/hyperlink" Id="rId75" Target="http://proxy.library.nyu.edu/login?url=http://search.ebscohost.com/login.aspx?direct=true&amp;db=edselc&amp;AN=edselc.2-52.0-0036997235&amp;site=eds-live" TargetMode="External" /><Relationship Type="http://schemas.openxmlformats.org/officeDocument/2006/relationships/hyperlink" Id="rId151" Target="http://www.jstor.org/stable/25098814" TargetMode="External" /><Relationship Type="http://schemas.openxmlformats.org/officeDocument/2006/relationships/hyperlink" Id="rId64" Target="http://www.jstor.org/stable/586468" TargetMode="External" /><Relationship Type="http://schemas.openxmlformats.org/officeDocument/2006/relationships/hyperlink" Id="rId37" Target="https://ballotpedia.org/Voting_in_Florida" TargetMode="External" /><Relationship Type="http://schemas.openxmlformats.org/officeDocument/2006/relationships/hyperlink" Id="rId153" Target="https://doi.org/10.1017/S0003055410000456" TargetMode="External" /><Relationship Type="http://schemas.openxmlformats.org/officeDocument/2006/relationships/hyperlink" Id="rId155" Target="https://doi.org/10.1017/S0003055418000862" TargetMode="External" /><Relationship Type="http://schemas.openxmlformats.org/officeDocument/2006/relationships/hyperlink" Id="rId157" Target="https://doi.org/10.1017/S000305541800093X" TargetMode="External" /><Relationship Type="http://schemas.openxmlformats.org/officeDocument/2006/relationships/hyperlink" Id="rId149" Target="https://doi.org/10.1017/S1743923X17000198" TargetMode="External" /><Relationship Type="http://schemas.openxmlformats.org/officeDocument/2006/relationships/hyperlink" Id="rId54" Target="https://doi.org/10.1017/pan.2019.44" TargetMode="External" /><Relationship Type="http://schemas.openxmlformats.org/officeDocument/2006/relationships/hyperlink" Id="rId108" Target="https://doi.org/10.1080/10282580.2012.734568" TargetMode="External" /><Relationship Type="http://schemas.openxmlformats.org/officeDocument/2006/relationships/hyperlink" Id="rId104" Target="https://doi.org/10.1080/10282580.2015.1101685" TargetMode="External" /><Relationship Type="http://schemas.openxmlformats.org/officeDocument/2006/relationships/hyperlink" Id="rId110" Target="https://doi.org/10.1080/17457289.2018.1437545" TargetMode="External" /><Relationship Type="http://schemas.openxmlformats.org/officeDocument/2006/relationships/hyperlink" Id="rId102" Target="https://doi.org/10.1086/381290" TargetMode="External" /><Relationship Type="http://schemas.openxmlformats.org/officeDocument/2006/relationships/hyperlink" Id="rId81" Target="https://doi.org/10.1086/692670" TargetMode="External" /><Relationship Type="http://schemas.openxmlformats.org/officeDocument/2006/relationships/hyperlink" Id="rId147" Target="https://doi.org/10.1086/705684" TargetMode="External" /><Relationship Type="http://schemas.openxmlformats.org/officeDocument/2006/relationships/hyperlink" Id="rId125" Target="https://doi.org/10.1093/poq/nfs018" TargetMode="External" /><Relationship Type="http://schemas.openxmlformats.org/officeDocument/2006/relationships/hyperlink" Id="rId56" Target="https://doi.org/10.1093/poq/nfx001" TargetMode="External" /><Relationship Type="http://schemas.openxmlformats.org/officeDocument/2006/relationships/hyperlink" Id="rId89" Target="https://doi.org/10.1093/socpro/spw003" TargetMode="External" /><Relationship Type="http://schemas.openxmlformats.org/officeDocument/2006/relationships/hyperlink" Id="rId100" Target="https://doi.org/10.1111/j.1467-9221.2012.00934.x" TargetMode="External" /><Relationship Type="http://schemas.openxmlformats.org/officeDocument/2006/relationships/hyperlink" Id="rId66" Target="https://doi.org/10.1111/j.1540-5893.2011.00448.x" TargetMode="External" /><Relationship Type="http://schemas.openxmlformats.org/officeDocument/2006/relationships/hyperlink" Id="rId62" Target="https://doi.org/10.1111/j.1540-6237.2009.00640.x" TargetMode="External" /><Relationship Type="http://schemas.openxmlformats.org/officeDocument/2006/relationships/hyperlink" Id="rId96" Target="https://doi.org/10.1146/annurev-criminol-032317-091915" TargetMode="External" /><Relationship Type="http://schemas.openxmlformats.org/officeDocument/2006/relationships/hyperlink" Id="rId91" Target="https://doi.org/10.1177/0002716213502920" TargetMode="External" /><Relationship Type="http://schemas.openxmlformats.org/officeDocument/2006/relationships/hyperlink" Id="rId68" Target="https://doi.org/10.1177/0002716213503093" TargetMode="External" /><Relationship Type="http://schemas.openxmlformats.org/officeDocument/2006/relationships/hyperlink" Id="rId73" Target="https://doi.org/10.1177/0002716215625038" TargetMode="External" /><Relationship Type="http://schemas.openxmlformats.org/officeDocument/2006/relationships/hyperlink" Id="rId87" Target="https://doi.org/10.1177/0021934716659195" TargetMode="External" /><Relationship Type="http://schemas.openxmlformats.org/officeDocument/2006/relationships/hyperlink" Id="rId145" Target="https://doi.org/10.1177/1065912914542522" TargetMode="External" /><Relationship Type="http://schemas.openxmlformats.org/officeDocument/2006/relationships/hyperlink" Id="rId77" Target="https://doi.org/10.1177/1065912915577819" TargetMode="External" /><Relationship Type="http://schemas.openxmlformats.org/officeDocument/2006/relationships/hyperlink" Id="rId112" Target="https://doi.org/10.1177/1078087420921522" TargetMode="External" /><Relationship Type="http://schemas.openxmlformats.org/officeDocument/2006/relationships/hyperlink" Id="rId94" Target="https://doi.org/10.1177/1462474510385629" TargetMode="External" /><Relationship Type="http://schemas.openxmlformats.org/officeDocument/2006/relationships/hyperlink" Id="rId106" Target="https://doi.org/10.1177/1462474512452513" TargetMode="External" /><Relationship Type="http://schemas.openxmlformats.org/officeDocument/2006/relationships/hyperlink" Id="rId98" Target="https://doi.org/10.1177/153244000200200205" TargetMode="External" /><Relationship Type="http://schemas.openxmlformats.org/officeDocument/2006/relationships/hyperlink" Id="rId79" Target="https://doi.org/10.1198/016214506000001040" TargetMode="External" /><Relationship Type="http://schemas.openxmlformats.org/officeDocument/2006/relationships/hyperlink" Id="rId123" Target="https://doi.org/10.18637/jss.v042.i07" TargetMode="External" /><Relationship Type="http://schemas.openxmlformats.org/officeDocument/2006/relationships/hyperlink" Id="rId85" Target="https://github.com/nvkelso/election-geodata" TargetMode="External" /><Relationship Type="http://schemas.openxmlformats.org/officeDocument/2006/relationships/hyperlink" Id="rId58" Target="https://heinonline.org/HOL/P?h=hein.journals/colhr36&amp;i=181" TargetMode="External" /><Relationship Type="http://schemas.openxmlformats.org/officeDocument/2006/relationships/hyperlink" Id="rId143" Target="https://pe.usps.com/text/pub28/28apc_002.htm" TargetMode="External" /><Relationship Type="http://schemas.openxmlformats.org/officeDocument/2006/relationships/hyperlink" Id="rId129" Target="https://slate.com/news-and-politics/2019/03/florida-republicans-felon-voting-rights-amendment-4.html" TargetMode="External" /><Relationship Type="http://schemas.openxmlformats.org/officeDocument/2006/relationships/hyperlink" Id="rId137" Target="https://www.floridabar.org/the-florida-bar-journal/withhold-of-adjudication-what-everyone-needs-to-know/" TargetMode="External" /><Relationship Type="http://schemas.openxmlformats.org/officeDocument/2006/relationships/hyperlink" Id="rId162" Target="https://www.hillsclerk.com/Records-and-Reports/Public-Data-Files" TargetMode="External" /><Relationship Type="http://schemas.openxmlformats.org/officeDocument/2006/relationships/hyperlink" Id="rId119" Target="https://www.nytimes.com/2018/11/07/us/florida-felon-voting-rights.html" TargetMode="External" /><Relationship Type="http://schemas.openxmlformats.org/officeDocument/2006/relationships/hyperlink" Id="rId115" Target="https://www.orlandosentinel.com/opinion/editorials/os-op-orlando-sentinel-endorsements-20181018-htmlstory.html#amend4%5D" TargetMode="External" /><Relationship Type="http://schemas.openxmlformats.org/officeDocument/2006/relationships/hyperlink" Id="rId83" Target="https://www.orlandosentinel.com/opinion/guest-commentary/os-op-limiting-amendment-4-is-a-setback-20200807-hvcef76xongytccvyivu7o4s3y-story.html" TargetMode="External" /><Relationship Type="http://schemas.openxmlformats.org/officeDocument/2006/relationships/hyperlink" Id="rId117" Target="https://www.palmbeachpost.com/news/20181025/florida-felon-voting-rights-who-got-theirs-back-under-scott" TargetMode="External" /><Relationship Type="http://schemas.openxmlformats.org/officeDocument/2006/relationships/hyperlink" Id="rId127" Target="https://www.rollingstone.com/politics/politics-features/andrew-gillum-florida-governor-race-749651/" TargetMode="External" /><Relationship Type="http://schemas.openxmlformats.org/officeDocument/2006/relationships/hyperlink" Id="rId140" Target="https://www.sentencingproject.org/publications/6-million-lost-voters-state-level-estimates-felony-disenfranchisement-2016/" TargetMode="External" /><Relationship Type="http://schemas.openxmlformats.org/officeDocument/2006/relationships/hyperlink" Id="rId131" Target="https://www.sun-sentinel.com/opinion/endorsements/fl-op-end-good-bad-constitutional-amendments-20181005-story.html" TargetMode="External" /><Relationship Type="http://schemas.openxmlformats.org/officeDocument/2006/relationships/hyperlink" Id="rId121" Target="https://www.tampabay.com/opinion/columns/Column-Some-facts-and-figures-you-might-not-know-about-civil-rights-restoration-in-Florida_167477194/" TargetMode="External" /><Relationship Type="http://schemas.openxmlformats.org/officeDocument/2006/relationships/hyperlink" Id="rId133" Target="https://www.tampabay.com/opinion/editorials/times-recommends-yes-on-amendment-4-20180928/" TargetMode="External" /><Relationship Type="http://schemas.openxmlformats.org/officeDocument/2006/relationships/hyperlink" Id="rId60" Target="https://www.tampabay.comundefined/" TargetMode="External" /><Relationship Type="http://schemas.openxmlformats.org/officeDocument/2006/relationships/hyperlink" Id="rId135" Target="https://www.washingtonpost.com/world/2018/11/07/floridas-move-allow-ex-felons-vote-brings-us-closer-international-election-norms/" TargetMode="External" /><Relationship Type="http://schemas.openxmlformats.org/officeDocument/2006/relationships/hyperlink" Id="rId21" Target="mailto:kevin.morris@ny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Turnout and Amendment 4: Mobilizing Eligible Voters Close to the Disenfranchised</dc:title>
  <dc:creator>Kevin Morris</dc:creator>
  <cp:keywords/>
  <dcterms:created xsi:type="dcterms:W3CDTF">2020-12-04T23:01:19Z</dcterms:created>
  <dcterms:modified xsi:type="dcterms:W3CDTF">2020-12-04T23:01:19Z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scholarship has established a link between felony disenfranchisement and lower turnout, particularly in Black communities. Little work, however, has been done to interrogate how this depressive effect might be counteracted. In 2018, Amendment 4 was on the ballot in Florida, and promised to re-enfranchise most of the disenfranchised population. The presence of this ballot initiative offers a unique opportunity to investigate whether ballot initiatives of special interest to these impacted communities might ameliorate some of the depressed turnout in those communities. Using individual-level release records from the Florida Department of Corrections I test whether the ballot initiative mobilized neighborhoods and individuals in close proximity to formerly incarcerated individuals. Using multiple identification strategies, I find no evidence that Amendment 4 increased the turnout of these neighborhoods or eligible voters, indicating that even greater engagement and investments must be made to overcome the depressed turnout out than a one-off ballot initiative.</vt:lpwstr>
  </property>
  <property fmtid="{D5CDD505-2E9C-101B-9397-08002B2CF9AE}" pid="3" name="bibliography">
    <vt:lpwstr>am4.bib</vt:lpwstr>
  </property>
  <property fmtid="{D5CDD505-2E9C-101B-9397-08002B2CF9AE}" pid="4" name="date">
    <vt:lpwstr>December 04, 2020</vt:lpwstr>
  </property>
  <property fmtid="{D5CDD505-2E9C-101B-9397-08002B2CF9AE}" pid="5" name="fontsize">
    <vt:lpwstr>12pt</vt:lpwstr>
  </property>
  <property fmtid="{D5CDD505-2E9C-101B-9397-08002B2CF9AE}" pid="6" name="header-includes">
    <vt:lpwstr/>
  </property>
  <property fmtid="{D5CDD505-2E9C-101B-9397-08002B2CF9AE}" pid="7" name="institute">
    <vt:lpwstr>Brennan Center for Justice</vt:lpwstr>
  </property>
  <property fmtid="{D5CDD505-2E9C-101B-9397-08002B2CF9AE}" pid="8" name="link-citations">
    <vt:lpwstr>yes</vt:lpwstr>
  </property>
  <property fmtid="{D5CDD505-2E9C-101B-9397-08002B2CF9AE}" pid="9" name="output">
    <vt:lpwstr>word_document</vt:lpwstr>
  </property>
  <property fmtid="{D5CDD505-2E9C-101B-9397-08002B2CF9AE}" pid="10" name="subtitle">
    <vt:lpwstr/>
  </property>
  <property fmtid="{D5CDD505-2E9C-101B-9397-08002B2CF9AE}" pid="11" name="thanks">
    <vt:lpwstr>The author thanks Myrna Pérez, Patrick Berry, and Peter Miller for their comments on this project. All errors are my responsibility.</vt:lpwstr>
  </property>
</Properties>
</file>