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>Kevin Trinh Nguyen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2"/>
        </w:rPr>
        <w:t>Austin, TX | kevintnguyen63@gmail.com | (563) 639-6946</w:t>
      </w:r>
    </w:p>
    <w:p>
      <w:pPr>
        <w:spacing w:before="240" w:after="120"/>
      </w:pPr>
      <w:r>
        <w:rPr>
          <w:rFonts w:ascii="Times New Roman" w:hAnsi="Times New Roman" w:eastAsia="Times New Roman"/>
          <w:b w:val="0"/>
          <w:sz w:val="22"/>
        </w:rPr>
        <w:t>March 28, 2026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2"/>
        </w:rPr>
        <w:t>Hiring Manager</w:t>
      </w:r>
    </w:p>
    <w:p>
      <w:pPr>
        <w:spacing w:before="0" w:after="0"/>
      </w:pPr>
      <w:r>
        <w:rPr>
          <w:rFonts w:ascii="Times New Roman" w:hAnsi="Times New Roman" w:eastAsia="Times New Roman"/>
          <w:b w:val="0"/>
          <w:sz w:val="22"/>
        </w:rPr>
        <w:t>Emerson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2"/>
        </w:rPr>
        <w:t>Re: Senior Software Engineer (Embedded Systems/C++)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2"/>
        </w:rPr>
        <w:t>Dear Hiring Manager,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2"/>
        </w:rPr>
        <w:t>At John Deere, I specialized in diagnosing critical failures across embedded and driver software products. I triaged SIGSEGV and SIGABRT crashes in production firmware running on real-time Linux. I traced root causes through kernel logs, core dumps, and hardware/software integration boundaries. I identified race conditions and deadlocks hiding in multithreaded display services under heavy field load. I resolved these defects by refactoring synchronization logic and tightening memory management patterns. Each fix shipped through rigorous regression testing within our CI/CD pipeline before release. That systematic troubleshooting discipline kept field failure rates low across the Gen4OS platform serving thousands of operators.</w:t>
      </w:r>
    </w:p>
    <w:p>
      <w:pPr>
        <w:spacing w:after="160"/>
      </w:pPr>
      <w:r>
        <w:rPr>
          <w:rFonts w:ascii="Times New Roman" w:hAnsi="Times New Roman" w:eastAsia="Times New Roman"/>
          <w:b w:val="0"/>
          <w:sz w:val="22"/>
        </w:rPr>
        <w:t>I also delivered end-to-end product features within an agile/scrum software development environment at John Deere. I owned the AB-Curves guidance feature from initial design through production release across multiple sprints. I completed eight production stories spanning geometry pipeline construction and service layer extensions. I extended the AutoPathTrackService architecture to support new curve computation modes cleanly. I averaged 5.75 story points per sprint and shipped 90 total story points in 2025 alone. I collaborated daily with product owners, QA engineers, and firmware leads during sprint ceremonies. That delivery cadence reflects how I approach code architecture, testing frameworks, and cross-functional product teamwork.</w:t>
      </w:r>
    </w:p>
    <w:p>
      <w:pPr>
        <w:spacing w:before="120" w:after="0"/>
      </w:pPr>
      <w:r>
        <w:rPr>
          <w:rFonts w:ascii="Times New Roman" w:hAnsi="Times New Roman" w:eastAsia="Times New Roman"/>
          <w:b w:val="0"/>
          <w:sz w:val="22"/>
        </w:rPr>
        <w:t>Sincerely</w:t>
      </w:r>
    </w:p>
    <w:p>
      <w:pPr>
        <w:spacing w:before="480"/>
      </w:pPr>
      <w:r>
        <w:rPr>
          <w:rFonts w:ascii="Times New Roman" w:hAnsi="Times New Roman" w:eastAsia="Times New Roman"/>
          <w:b/>
          <w:sz w:val="22"/>
        </w:rPr>
        <w:t>Kevin Trinh Nguyen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