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ICTWEB513 - Q1.14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tabs>
              <w:tab w:val="right" w:pos="11106.14173228346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of contents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11106.14173228346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Executive summary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11106.14173228346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Facebook webpage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11106.14173228346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Wireframes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11106.14173228346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Branding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11106.14173228346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Colour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11106.14173228346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Light/dark version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1106.14173228346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11106.14173228346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Page layout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11106.14173228346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Page flow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Executive summary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This is a study documentation process of the Facebook website covering design and database aspects.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Facebook webpage</w:t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Wireframes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4114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29972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Facebook wireframes aim for responsiveness and have their own version for each device.</w:t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Branding</w:t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Colour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4699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19558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1943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Facebook’s colour palette uses variations of blue to keep a brand identity.</w:t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heading=h.17dp8vu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heading=h.lnxbz9" w:id="11"/>
      <w:bookmarkEnd w:id="11"/>
      <w:r w:rsidDel="00000000" w:rsidR="00000000" w:rsidRPr="00000000">
        <w:rPr>
          <w:rtl w:val="0"/>
        </w:rPr>
        <w:t xml:space="preserve">Light/dark version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70485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Facebook has light and dark versions but always keeping their blue color in order to keep brand identity.</w:t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heading=h.35nkun2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heading=h.1ksv4uv" w:id="13"/>
      <w:bookmarkEnd w:id="13"/>
      <w:r w:rsidDel="00000000" w:rsidR="00000000" w:rsidRPr="00000000">
        <w:rPr>
          <w:rtl w:val="0"/>
        </w:rPr>
        <w:t xml:space="preserve">Database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111987" cy="2658168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1987" cy="2658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902437" cy="2429679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2437" cy="2429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59537" cy="163951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9537" cy="1639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Facebook’s database is based on a polyglot persistence architecture, which means it uses several different loosely coupled components plugged in together like Lego blocks.</w:t>
        <w:br w:type="textWrapping"/>
        <w:t xml:space="preserve">For instance, photo sharing, messenger, social graph, user post, etc. are all different loosely coupled microservices running in conjunction with each other. And every microservice has a separate persistence layer to keep things easy to manage.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Some examples of different databases and it’s variations Facebook uses include: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InnoDB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MyRocks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WebScale 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RocksDB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Memcache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Apache Hadoop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Apache Cassandra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Apache Hive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Presto 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Beringei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Gorilla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LogDevice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heading=h.44sinio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heading=h.2jxsxqh" w:id="15"/>
      <w:bookmarkEnd w:id="15"/>
      <w:r w:rsidDel="00000000" w:rsidR="00000000" w:rsidRPr="00000000">
        <w:rPr>
          <w:rtl w:val="0"/>
        </w:rPr>
        <w:t xml:space="preserve">Page layout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7052400" cy="416560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Facebook page layout is well distributed keeping the most important information always accessible and consistent across all the pages.</w:t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heading=h.z337ya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heading=h.3j2qqm3" w:id="17"/>
      <w:bookmarkEnd w:id="17"/>
      <w:r w:rsidDel="00000000" w:rsidR="00000000" w:rsidRPr="00000000">
        <w:rPr>
          <w:rtl w:val="0"/>
        </w:rPr>
        <w:t xml:space="preserve">Page flow</w:t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heading=h.1y810tw" w:id="18"/>
      <w:bookmarkEnd w:id="18"/>
      <w:r w:rsidDel="00000000" w:rsidR="00000000" w:rsidRPr="00000000">
        <w:rPr/>
        <w:drawing>
          <wp:inline distB="114300" distT="114300" distL="114300" distR="114300">
            <wp:extent cx="7052400" cy="278130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The page flow is pretty simple as the most important information is kept accessible across all pages.</w:t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5840" w:w="12240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  <w:t xml:space="preserve">Author: Kleyton Nishide</w:t>
    </w:r>
  </w:p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  <w:t xml:space="preserve">Date: 11 Mar 2022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21" Type="http://schemas.openxmlformats.org/officeDocument/2006/relationships/footer" Target="footer1.xml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header" Target="header2.xml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jENSfjMLBz8CsVfEEGBSJHPG4Q==">AMUW2mWwQLo51jmuJYyJkul6lsFnmfPwzUrlnQ/ZPOGTdk27tFJRf6S0pWbH8KQbXrsQIqaRiE+yMLyQeOBx4/3fiw9AQyB3Mvxo4bSr3Z4ZwKBNj2RVeU/9rUIHA2OwEykXknAcuDhsCIRUxvi6UIEpuSaaxQ0x88b+sMQndeQ2WcGEnTnCo7rCnHuZWRRPclfMvuj2EZtctMVp/u1bPojvBeBvbL1e9H7Cb/SeifXx9iPcCY3S96wyXezfyIRATQY9ZS7JoY8FpMbDlvrspR7EyoynFhCSl8pnNtIxY3BSwxDCQ+uBYoZ4dwD2TTrX9yigjnW6wK7yH9ZRiNTkij1+TmBaEfcVOuz1G0M6RfM9MWBeDujXCRwPIZEhjI/UF9SxbyHByhm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