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F1C" w:rsidRPr="00BE5BB4" w:rsidRDefault="00BE5BB4" w:rsidP="00BE5BB4">
      <w:pPr>
        <w:pStyle w:val="Heading2"/>
        <w:spacing w:before="0" w:line="480" w:lineRule="auto"/>
        <w:jc w:val="center"/>
        <w:rPr>
          <w:rFonts w:asciiTheme="minorHAnsi" w:hAnsiTheme="minorHAnsi"/>
          <w:sz w:val="22"/>
          <w:szCs w:val="22"/>
        </w:rPr>
      </w:pPr>
      <w:bookmarkStart w:id="0" w:name="variable-composition-of-microbial-biomas"/>
      <w:r w:rsidRPr="00BE5BB4">
        <w:rPr>
          <w:rFonts w:asciiTheme="minorHAnsi" w:hAnsiTheme="minorHAnsi"/>
          <w:sz w:val="22"/>
          <w:szCs w:val="22"/>
        </w:rPr>
        <w:t>Variable Composition of Microbial Biomass Affects the Accuracy of Microbial Explicit Models Simulation</w:t>
      </w:r>
    </w:p>
    <w:bookmarkEnd w:id="0"/>
    <w:p w:rsidR="00424F1C" w:rsidRPr="00BE5BB4" w:rsidRDefault="00BE5BB4" w:rsidP="00BE5BB4">
      <w:pPr>
        <w:spacing w:before="0" w:line="480" w:lineRule="auto"/>
        <w:jc w:val="center"/>
        <w:rPr>
          <w:sz w:val="22"/>
          <w:szCs w:val="22"/>
        </w:rPr>
      </w:pPr>
      <w:r w:rsidRPr="00BE5BB4">
        <w:rPr>
          <w:sz w:val="22"/>
          <w:szCs w:val="22"/>
          <w:vertAlign w:val="superscript"/>
        </w:rPr>
        <w:t>1</w:t>
      </w:r>
      <w:r w:rsidRPr="00BE5BB4">
        <w:rPr>
          <w:sz w:val="22"/>
          <w:szCs w:val="22"/>
        </w:rPr>
        <w:t xml:space="preserve">Petr Capek*, </w:t>
      </w:r>
      <w:r w:rsidRPr="00BE5BB4">
        <w:rPr>
          <w:sz w:val="22"/>
          <w:szCs w:val="22"/>
          <w:vertAlign w:val="superscript"/>
        </w:rPr>
        <w:t>1</w:t>
      </w:r>
      <w:r w:rsidRPr="00BE5BB4">
        <w:rPr>
          <w:sz w:val="22"/>
          <w:szCs w:val="22"/>
        </w:rPr>
        <w:t xml:space="preserve">Katherine Todd-Brown, </w:t>
      </w:r>
      <w:r w:rsidRPr="00BE5BB4">
        <w:rPr>
          <w:sz w:val="22"/>
          <w:szCs w:val="22"/>
          <w:vertAlign w:val="superscript"/>
        </w:rPr>
        <w:t>1</w:t>
      </w:r>
      <w:r w:rsidRPr="00BE5BB4">
        <w:rPr>
          <w:sz w:val="22"/>
          <w:szCs w:val="22"/>
        </w:rPr>
        <w:t xml:space="preserve">Natalie Sadler, </w:t>
      </w:r>
      <w:r w:rsidRPr="00BE5BB4">
        <w:rPr>
          <w:sz w:val="22"/>
          <w:szCs w:val="22"/>
          <w:vertAlign w:val="superscript"/>
        </w:rPr>
        <w:t>1</w:t>
      </w:r>
      <w:r w:rsidRPr="00BE5BB4">
        <w:rPr>
          <w:sz w:val="22"/>
          <w:szCs w:val="22"/>
        </w:rPr>
        <w:t xml:space="preserve">Nancy Hess, </w:t>
      </w:r>
      <w:r w:rsidRPr="00BE5BB4">
        <w:rPr>
          <w:sz w:val="22"/>
          <w:szCs w:val="22"/>
          <w:vertAlign w:val="superscript"/>
        </w:rPr>
        <w:t>1</w:t>
      </w:r>
      <w:r w:rsidRPr="00BE5BB4">
        <w:rPr>
          <w:sz w:val="22"/>
          <w:szCs w:val="22"/>
        </w:rPr>
        <w:t>Kirsten Hofmockel</w:t>
      </w:r>
    </w:p>
    <w:p w:rsidR="00424F1C" w:rsidRDefault="00BE5BB4" w:rsidP="00BE5BB4">
      <w:pPr>
        <w:spacing w:before="0" w:line="480" w:lineRule="auto"/>
        <w:jc w:val="center"/>
        <w:rPr>
          <w:i/>
          <w:sz w:val="22"/>
          <w:szCs w:val="22"/>
        </w:rPr>
      </w:pPr>
      <w:r w:rsidRPr="00BE5BB4">
        <w:rPr>
          <w:i/>
          <w:sz w:val="22"/>
          <w:szCs w:val="22"/>
          <w:vertAlign w:val="superscript"/>
        </w:rPr>
        <w:t>1</w:t>
      </w:r>
      <w:r w:rsidRPr="00BE5BB4">
        <w:rPr>
          <w:i/>
          <w:sz w:val="22"/>
          <w:szCs w:val="22"/>
        </w:rPr>
        <w:t>Pacific Northwest National Laboratory, Environmental Molecular Sciences Laboratory, Richland, WA USA</w:t>
      </w:r>
    </w:p>
    <w:p w:rsidR="00BE5BB4" w:rsidRDefault="00BE5BB4" w:rsidP="00BE5BB4">
      <w:pPr>
        <w:spacing w:before="0" w:line="480" w:lineRule="auto"/>
        <w:jc w:val="center"/>
        <w:rPr>
          <w:sz w:val="22"/>
          <w:szCs w:val="22"/>
        </w:rPr>
      </w:pPr>
      <w:r>
        <w:rPr>
          <w:sz w:val="22"/>
          <w:szCs w:val="22"/>
        </w:rPr>
        <w:t xml:space="preserve">* Corresponding author: </w:t>
      </w:r>
      <w:hyperlink r:id="rId6" w:history="1">
        <w:r w:rsidRPr="00630583">
          <w:rPr>
            <w:rStyle w:val="Hyperlink"/>
            <w:sz w:val="22"/>
            <w:szCs w:val="22"/>
          </w:rPr>
          <w:t>petr.capek@pnnl.gov</w:t>
        </w:r>
      </w:hyperlink>
    </w:p>
    <w:p w:rsidR="00BE5BB4" w:rsidRDefault="00BE5BB4" w:rsidP="00BE5BB4">
      <w:pPr>
        <w:spacing w:line="480" w:lineRule="auto"/>
        <w:jc w:val="center"/>
      </w:pPr>
    </w:p>
    <w:p w:rsidR="00BE5BB4" w:rsidRPr="00654734" w:rsidRDefault="00BE5BB4" w:rsidP="00BE5BB4">
      <w:pPr>
        <w:spacing w:line="480" w:lineRule="auto"/>
        <w:jc w:val="center"/>
      </w:pPr>
      <w:r w:rsidRPr="00654734">
        <w:t>Running headline:</w:t>
      </w:r>
    </w:p>
    <w:p w:rsidR="00BE5BB4" w:rsidRDefault="00BE5BB4" w:rsidP="00BE5BB4">
      <w:pPr>
        <w:spacing w:before="0" w:line="480" w:lineRule="auto"/>
        <w:jc w:val="center"/>
        <w:rPr>
          <w:sz w:val="22"/>
          <w:szCs w:val="22"/>
        </w:rPr>
      </w:pPr>
      <w:r>
        <w:rPr>
          <w:sz w:val="22"/>
          <w:szCs w:val="22"/>
        </w:rPr>
        <w:t xml:space="preserve">Explaining </w:t>
      </w:r>
      <w:r w:rsidRPr="00BE5BB4">
        <w:rPr>
          <w:sz w:val="22"/>
          <w:szCs w:val="22"/>
        </w:rPr>
        <w:t>Variable Composition of Microbial Biomass</w:t>
      </w:r>
    </w:p>
    <w:p w:rsidR="00BE5BB4" w:rsidRDefault="00BE5BB4" w:rsidP="00BE5BB4">
      <w:pPr>
        <w:spacing w:before="0" w:line="480" w:lineRule="auto"/>
        <w:jc w:val="center"/>
        <w:rPr>
          <w:sz w:val="22"/>
          <w:szCs w:val="22"/>
        </w:rPr>
      </w:pPr>
    </w:p>
    <w:p w:rsidR="00BE5BB4" w:rsidRPr="00654734" w:rsidRDefault="00BE5BB4" w:rsidP="00BE5BB4">
      <w:pPr>
        <w:spacing w:line="480" w:lineRule="auto"/>
        <w:jc w:val="center"/>
      </w:pPr>
      <w:r>
        <w:t>Key words</w:t>
      </w:r>
      <w:r w:rsidRPr="00654734">
        <w:t>:</w:t>
      </w:r>
    </w:p>
    <w:p w:rsidR="00BE5BB4" w:rsidRPr="00BE5BB4" w:rsidRDefault="00BE5BB4" w:rsidP="00BE5BB4">
      <w:pPr>
        <w:spacing w:before="0" w:line="480" w:lineRule="auto"/>
        <w:jc w:val="center"/>
        <w:rPr>
          <w:sz w:val="22"/>
          <w:szCs w:val="22"/>
        </w:rPr>
      </w:pPr>
      <w:r>
        <w:rPr>
          <w:sz w:val="22"/>
          <w:szCs w:val="22"/>
        </w:rPr>
        <w:t>Microbial biomass, Biomass composition, Microbial-Explicit Models, Soil</w:t>
      </w:r>
    </w:p>
    <w:p w:rsidR="00BE5BB4" w:rsidRPr="00BE5BB4" w:rsidRDefault="00BE5BB4" w:rsidP="00BE5BB4">
      <w:pPr>
        <w:spacing w:before="0" w:line="480" w:lineRule="auto"/>
        <w:jc w:val="center"/>
        <w:rPr>
          <w:sz w:val="22"/>
          <w:szCs w:val="22"/>
        </w:rPr>
      </w:pPr>
    </w:p>
    <w:p w:rsidR="00BE5BB4" w:rsidRDefault="00BE5BB4">
      <w:pPr>
        <w:spacing w:before="0" w:after="200"/>
        <w:rPr>
          <w:rFonts w:eastAsiaTheme="majorEastAsia" w:cstheme="majorBidi"/>
          <w:b/>
          <w:bCs/>
          <w:color w:val="4F81BD" w:themeColor="accent1"/>
          <w:sz w:val="22"/>
          <w:szCs w:val="22"/>
        </w:rPr>
      </w:pPr>
      <w:bookmarkStart w:id="1" w:name="summary"/>
      <w:r>
        <w:rPr>
          <w:sz w:val="22"/>
          <w:szCs w:val="22"/>
        </w:rPr>
        <w:br w:type="page"/>
      </w:r>
    </w:p>
    <w:p w:rsidR="00424F1C" w:rsidRPr="00BE5BB4" w:rsidRDefault="00BE5BB4" w:rsidP="00BE5BB4">
      <w:pPr>
        <w:pStyle w:val="Heading2"/>
        <w:spacing w:before="0" w:line="480" w:lineRule="auto"/>
        <w:rPr>
          <w:rFonts w:asciiTheme="minorHAnsi" w:hAnsiTheme="minorHAnsi"/>
          <w:sz w:val="22"/>
          <w:szCs w:val="22"/>
        </w:rPr>
      </w:pPr>
      <w:r w:rsidRPr="00BE5BB4">
        <w:rPr>
          <w:rFonts w:asciiTheme="minorHAnsi" w:hAnsiTheme="minorHAnsi"/>
          <w:sz w:val="22"/>
          <w:szCs w:val="22"/>
        </w:rPr>
        <w:lastRenderedPageBreak/>
        <w:t>Summary</w:t>
      </w:r>
    </w:p>
    <w:bookmarkEnd w:id="1"/>
    <w:p w:rsidR="00424F1C" w:rsidRPr="00BE5BB4" w:rsidRDefault="00BE5BB4" w:rsidP="00BE5BB4">
      <w:pPr>
        <w:pStyle w:val="Compact"/>
        <w:numPr>
          <w:ilvl w:val="0"/>
          <w:numId w:val="2"/>
        </w:numPr>
        <w:spacing w:before="0" w:line="480" w:lineRule="auto"/>
        <w:rPr>
          <w:sz w:val="22"/>
          <w:szCs w:val="22"/>
        </w:rPr>
      </w:pPr>
      <w:r w:rsidRPr="00BE5BB4">
        <w:rPr>
          <w:sz w:val="22"/>
          <w:szCs w:val="22"/>
        </w:rPr>
        <w:t xml:space="preserve">Microbial-explicit biogeochemical models become rapidly developing area of soil and earth science. At their current state, they are sometimes </w:t>
      </w:r>
      <w:proofErr w:type="spellStart"/>
      <w:r w:rsidRPr="00BE5BB4">
        <w:rPr>
          <w:sz w:val="22"/>
          <w:szCs w:val="22"/>
        </w:rPr>
        <w:t>critisized</w:t>
      </w:r>
      <w:proofErr w:type="spellEnd"/>
      <w:r w:rsidRPr="00BE5BB4">
        <w:rPr>
          <w:sz w:val="22"/>
          <w:szCs w:val="22"/>
        </w:rPr>
        <w:t xml:space="preserve"> for ignoring important controlling factors of element cycling such as diffusion rate of organic substrate in structured soil environment, substrate quality or microbial community composition.</w:t>
      </w:r>
    </w:p>
    <w:p w:rsidR="00424F1C" w:rsidRPr="00BE5BB4" w:rsidRDefault="00BE5BB4" w:rsidP="00BE5BB4">
      <w:pPr>
        <w:pStyle w:val="Compact"/>
        <w:numPr>
          <w:ilvl w:val="0"/>
          <w:numId w:val="2"/>
        </w:numPr>
        <w:spacing w:before="0" w:line="480" w:lineRule="auto"/>
        <w:rPr>
          <w:sz w:val="22"/>
          <w:szCs w:val="22"/>
        </w:rPr>
      </w:pPr>
      <w:r w:rsidRPr="00BE5BB4">
        <w:rPr>
          <w:sz w:val="22"/>
          <w:szCs w:val="22"/>
        </w:rPr>
        <w:t>These models depend on the data soil science can provide. There exist inherent methodological limitations associated with quantification of soil microbial biomass, which cannot be measured directly but only indirectly as various proxy parameters converted to biomass using ad-hoc conversion factors.</w:t>
      </w:r>
    </w:p>
    <w:p w:rsidR="00424F1C" w:rsidRPr="00BE5BB4" w:rsidRDefault="00BE5BB4" w:rsidP="00BE5BB4">
      <w:pPr>
        <w:pStyle w:val="Compact"/>
        <w:numPr>
          <w:ilvl w:val="0"/>
          <w:numId w:val="2"/>
        </w:numPr>
        <w:spacing w:before="0" w:line="480" w:lineRule="auto"/>
        <w:rPr>
          <w:sz w:val="22"/>
          <w:szCs w:val="22"/>
        </w:rPr>
      </w:pPr>
      <w:r w:rsidRPr="00BE5BB4">
        <w:rPr>
          <w:sz w:val="22"/>
          <w:szCs w:val="22"/>
        </w:rPr>
        <w:t>Our results show that microbial-explicit models cannot accurately simulate the dynamic of microbial biomass measured as two different proxy parameters - DNA and cellular proteins, in short-term incubation experiment. The reason is the temporal variability of composition of microbial biomass in respect to both proxy parameters.</w:t>
      </w:r>
    </w:p>
    <w:p w:rsidR="00424F1C" w:rsidRPr="00BE5BB4" w:rsidRDefault="00BE5BB4" w:rsidP="00BE5BB4">
      <w:pPr>
        <w:pStyle w:val="Compact"/>
        <w:numPr>
          <w:ilvl w:val="0"/>
          <w:numId w:val="2"/>
        </w:numPr>
        <w:spacing w:before="0" w:line="480" w:lineRule="auto"/>
        <w:rPr>
          <w:sz w:val="22"/>
          <w:szCs w:val="22"/>
        </w:rPr>
      </w:pPr>
      <w:r w:rsidRPr="00BE5BB4">
        <w:rPr>
          <w:sz w:val="22"/>
          <w:szCs w:val="22"/>
        </w:rPr>
        <w:t xml:space="preserve">When the variable biomass composition is </w:t>
      </w:r>
      <w:proofErr w:type="spellStart"/>
      <w:r w:rsidRPr="00BE5BB4">
        <w:rPr>
          <w:sz w:val="22"/>
          <w:szCs w:val="22"/>
        </w:rPr>
        <w:t>explicitely</w:t>
      </w:r>
      <w:proofErr w:type="spellEnd"/>
      <w:r w:rsidRPr="00BE5BB4">
        <w:rPr>
          <w:sz w:val="22"/>
          <w:szCs w:val="22"/>
        </w:rPr>
        <w:t xml:space="preserve"> accounted for in the microbial-explicit model structure, 75 and 30% of variability in temporal dynamic of DNA and cellular proteins can be explained respectively.</w:t>
      </w:r>
    </w:p>
    <w:p w:rsidR="00424F1C" w:rsidRPr="00BE5BB4" w:rsidRDefault="00BE5BB4" w:rsidP="00BE5BB4">
      <w:pPr>
        <w:pStyle w:val="Compact"/>
        <w:numPr>
          <w:ilvl w:val="0"/>
          <w:numId w:val="2"/>
        </w:numPr>
        <w:spacing w:before="0" w:line="480" w:lineRule="auto"/>
        <w:rPr>
          <w:sz w:val="22"/>
          <w:szCs w:val="22"/>
        </w:rPr>
      </w:pPr>
      <w:r w:rsidRPr="00BE5BB4">
        <w:rPr>
          <w:sz w:val="22"/>
          <w:szCs w:val="22"/>
        </w:rPr>
        <w:t>Our results further suggest significant effect of physical structure of the environment on several model parameters.</w:t>
      </w:r>
    </w:p>
    <w:p w:rsidR="00424F1C" w:rsidRPr="00BE5BB4" w:rsidRDefault="00BE5BB4" w:rsidP="00BE5BB4">
      <w:pPr>
        <w:pStyle w:val="Compact"/>
        <w:numPr>
          <w:ilvl w:val="0"/>
          <w:numId w:val="2"/>
        </w:numPr>
        <w:spacing w:before="0" w:line="480" w:lineRule="auto"/>
        <w:rPr>
          <w:sz w:val="22"/>
          <w:szCs w:val="22"/>
        </w:rPr>
      </w:pPr>
      <w:r w:rsidRPr="00BE5BB4">
        <w:rPr>
          <w:sz w:val="22"/>
          <w:szCs w:val="22"/>
        </w:rPr>
        <w:t>We recommend to integrate variable biomass composition into the microbial-explicit models to effectively harmonize experimental, methodological and modelling efforts.</w:t>
      </w:r>
    </w:p>
    <w:p w:rsidR="00BE5BB4" w:rsidRDefault="00BE5BB4">
      <w:pPr>
        <w:spacing w:before="0" w:after="200"/>
        <w:rPr>
          <w:rFonts w:eastAsiaTheme="majorEastAsia" w:cstheme="majorBidi"/>
          <w:b/>
          <w:bCs/>
          <w:color w:val="4F81BD" w:themeColor="accent1"/>
          <w:sz w:val="22"/>
          <w:szCs w:val="22"/>
        </w:rPr>
      </w:pPr>
      <w:bookmarkStart w:id="2" w:name="introduction"/>
      <w:r>
        <w:rPr>
          <w:sz w:val="22"/>
          <w:szCs w:val="22"/>
        </w:rPr>
        <w:br w:type="page"/>
      </w:r>
    </w:p>
    <w:p w:rsidR="00424F1C" w:rsidRPr="00BE5BB4" w:rsidRDefault="00BE5BB4" w:rsidP="00BE5BB4">
      <w:pPr>
        <w:pStyle w:val="Heading2"/>
        <w:spacing w:before="0" w:line="480" w:lineRule="auto"/>
        <w:rPr>
          <w:rFonts w:asciiTheme="minorHAnsi" w:hAnsiTheme="minorHAnsi"/>
          <w:sz w:val="22"/>
          <w:szCs w:val="22"/>
        </w:rPr>
      </w:pPr>
      <w:r w:rsidRPr="00BE5BB4">
        <w:rPr>
          <w:rFonts w:asciiTheme="minorHAnsi" w:hAnsiTheme="minorHAnsi"/>
          <w:sz w:val="22"/>
          <w:szCs w:val="22"/>
        </w:rPr>
        <w:lastRenderedPageBreak/>
        <w:t>Introduction</w:t>
      </w:r>
    </w:p>
    <w:bookmarkEnd w:id="2"/>
    <w:p w:rsidR="002D756D" w:rsidRDefault="00BE5BB4" w:rsidP="00BE5BB4">
      <w:pPr>
        <w:spacing w:before="0" w:line="480" w:lineRule="auto"/>
        <w:rPr>
          <w:sz w:val="22"/>
          <w:szCs w:val="22"/>
        </w:rPr>
      </w:pPr>
      <w:r w:rsidRPr="00BE5BB4">
        <w:rPr>
          <w:sz w:val="22"/>
          <w:szCs w:val="22"/>
        </w:rPr>
        <w:t xml:space="preserve">In </w:t>
      </w:r>
      <w:r w:rsidR="002D756D" w:rsidRPr="00BE5BB4">
        <w:rPr>
          <w:sz w:val="22"/>
          <w:szCs w:val="22"/>
        </w:rPr>
        <w:t>recent</w:t>
      </w:r>
      <w:r w:rsidRPr="00BE5BB4">
        <w:rPr>
          <w:sz w:val="22"/>
          <w:szCs w:val="22"/>
        </w:rPr>
        <w:t xml:space="preserve"> years, abrupt development of soil biogeochemical models has </w:t>
      </w:r>
      <w:r w:rsidR="002D756D" w:rsidRPr="00BE5BB4">
        <w:rPr>
          <w:sz w:val="22"/>
          <w:szCs w:val="22"/>
        </w:rPr>
        <w:t>occurred</w:t>
      </w:r>
      <w:r w:rsidRPr="00BE5BB4">
        <w:rPr>
          <w:sz w:val="22"/>
          <w:szCs w:val="22"/>
        </w:rPr>
        <w:t>. Abstract models dominated by cohorts of organic carbon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pools with inherently different decay rates </w:t>
      </w:r>
      <w:r w:rsidR="00032C55">
        <w:rPr>
          <w:sz w:val="22"/>
          <w:szCs w:val="22"/>
        </w:rPr>
        <w:fldChar w:fldCharType="begin" w:fldLock="1"/>
      </w:r>
      <w:r w:rsidR="00032C55">
        <w:rPr>
          <w:sz w:val="22"/>
          <w:szCs w:val="22"/>
        </w:rPr>
        <w:instrText>ADDIN CSL_CITATION {"citationItems":[{"id":"ITEM-1","itemData":{"DOI":"10.1007/BF02180320","ISSN":"0168-2563","author":[{"dropping-particle":"","family":"Parton","given":"W. J.","non-dropping-particle":"","parse-names":false,"suffix":""},{"dropping-particle":"","family":"Stewart","given":"J. W. B.","non-dropping-particle":"","parse-names":false,"suffix":""},{"dropping-particle":"V.","family":"Cole","given":"C.","non-dropping-particle":"","parse-names":false,"suffix":""}],"container-title":"Biogeochemistry","id":"ITEM-1","issue":"1","issued":{"date-parts":[["1988","2"]]},"page":"109-131","publisher":"KLUWER ACADEMIC PUBL, SPUIBOULEVARD 50, PO BOX 17, 3300 AA DORDRECHT, NETHERLANDS","title":"Dynamics of C, N, P and S in grassland soils: a model","type":"article-journal","volume":"5"},"uris":["http://www.mendeley.com/documents/?uuid=de81bbb6-7020-4015-99fe-b45d2b6762fe"]},{"id":"ITEM-2","itemData":{"DOI":"10.1029/2011MS000045","ISSN":"1942-2466","author":[{"dropping-particle":"","family":"Lawrence","given":"David M","non-dropping-particle":"","parse-names":false,"suffix":""},{"dropping-particle":"","family":"Oleson","given":"Keith W","non-dropping-particle":"","parse-names":false,"suffix":""},{"dropping-particle":"","family":"Flanner","given":"Mark G","non-dropping-particle":"","parse-names":false,"suffix":""},{"dropping-particle":"","family":"Thornton","given":"Peter E","non-dropping-particle":"","parse-names":false,"suffix":""},{"dropping-particle":"","family":"Swenson","given":"Sean C","non-dropping-particle":"","parse-names":false,"suffix":""},{"dropping-particle":"","family":"Lawrence","given":"Peter J","non-dropping-particle":"","parse-names":false,"suffix":""},{"dropping-particle":"","family":"Zeng","given":"Xubin","non-dropping-particle":"","parse-names":false,"suffix":""},{"dropping-particle":"","family":"Yang","given":"Zong-Liang","non-dropping-particle":"","parse-names":false,"suffix":""},{"dropping-particle":"","family":"Levis","given":"Samuel","non-dropping-particle":"","parse-names":false,"suffix":""},{"dropping-particle":"","family":"Sakaguchi","given":"Koichi","non-dropping-particle":"","parse-names":false,"suffix":""},{"dropping-particle":"","family":"Bonan","given":"Gordon B","non-dropping-particle":"","parse-names":false,"suffix":""},{"dropping-particle":"","family":"Slater","given":"Andrew G","non-dropping-particle":"","parse-names":false,"suffix":""}],"container-title":"Journal of Advances in Modeling Earth Systems","id":"ITEM-2","issue":"3","issued":{"date-parts":[["2011","3","19"]]},"page":"M03001","title":"Parameterization improvements and functional and structural advances in Version 4 of the Community Land Model","type":"article-journal","volume":"3"},"uris":["http://www.mendeley.com/documents/?uuid=4c59414e-3813-46e0-a86c-b912edfab8dd"]},{"id":"ITEM-3","itemData":{"DOI":"10.3354/cr00928","ISBN":"0936-577X","ISSN":"0936-577X","abstract":"Globally, considerable carbon (C) is stored in soils, particularly in peatlands. These stores play a potentially significant role in atmospheric C-cycle feedbacks, and thus need to be accounted for in global models. However, present global soil models do not accurately represent peat C-stocks and -dynamics; thus, their climate-soil C feedback predictions are questionable. A major shortcoming of current models that are based on the decomposition of soil C pools is the lack of representation of long-term (non-equilibrium) soil organic carbon (SOC) accumulation, as peat cohorts, with cohort age information. Whereas C-pool models are commonly `spun up' to equilibrium over several hundred years using an average climate, in nature, soils actually evolve over many thousands of years with associated changes in litter amounts and quality, which affect SOC accumulation, and hence peat formation. Secondly, peat soils have a unique hydrology, and changes in the water table depth (WTD) of peat are important in regulating SOC turnover, yet current non-cohort C pool models fail to include such dynamic hydrological processes. We have developed an improved peat age-cohort model called MILLENNIA, with a variable WTD driving C-dynamics during Holocene peat accumulation, allowing validation with peat age data and the testing of a realistic WTD-driven peat SOC stock response to climate-change scenarios. Model C-dynamics showed particular sensitivity to water table dynamics through precipitation and runoff, as well as to litter quality and decomposition rates. We show that predicted SOC accumulation and peat ages compare well with observations from a UK peatland site, which is currently (on average) a weak net C source with strong climate sensitivity.","author":[{"dropping-particle":"","family":"Heinemeyer","given":"Andreas","non-dropping-particle":"","parse-names":false,"suffix":""},{"dropping-particle":"","family":"Croft","given":"Simon","non-dropping-particle":"","parse-names":false,"suffix":""},{"dropping-particle":"","family":"Garnett","given":"Mark H.","non-dropping-particle":"","parse-names":false,"suffix":""},{"dropping-particle":"","family":"Gloor","given":"Emanuel","non-dropping-particle":"","parse-names":false,"suffix":""},{"dropping-particle":"","family":"Holden","given":"Joseph","non-dropping-particle":"","parse-names":false,"suffix":""},{"dropping-particle":"","family":"Lomas","given":"Mark R.","non-dropping-particle":"","parse-names":false,"suffix":""},{"dropping-particle":"","family":"Ineson","given":"Phil","non-dropping-particle":"","parse-names":false,"suffix":""}],"container-title":"CLIMATE RESEARCH","id":"ITEM-3","issue":"1","issued":{"date-parts":[["2010"]]},"page":"207-226","publisher":"INTER-RESEARCH","publisher-place":"NORDBUNTE 23, D-21385 OLDENDORF LUHE, GERMANY","title":"The MILLENNIA peat cohort model: predicting past, present and future soil carbon budgets and fluxes under changing climates in peatlands","type":"article-journal","volume":"45"},"uris":["http://www.mendeley.com/documents/?uuid=1f1ae798-8a6c-43a2-8ae3-32f8a6edc32f"]},{"id":"ITEM-4","itemData":{"DOI":"10.1175/JCLI3800.1","ISSN":"0894-8755","abstract":"Abstract Eleven coupled climate–carbon cycle models used a common protocol to study the coupling between climate change and the carbon cycle. The models were forced by historical emissions and the Intergovernmental Panel on Climate Change (IPCC) Special Report on Emissions Scenarios (SRES) A2 anthropogenic emissions of CO2 for the 1850–2100 time period. For each model, two simulations were performed in order to isolate the impact of climate change on the land and ocean carbon cycle, and therefore the climate feedback on the atmospheric CO2 concentration growth rate. There was unanimous agreement among the models that future climate change will reduce the efficiency of the earth system to absorb the anthropogenic carbon perturbation. A larger fraction of anthropogenic CO2 will stay airborne if climate change is accounted for. By the end of the twenty-first century, this additional CO2 varied between 20 and 200 ppm for the two extreme models, the majority of the models lying between 50 and 100 ppm. The high...","author":[{"dropping-particle":"","family":"Friedlingstein","given":"P.","non-dropping-particle":"","parse-names":false,"suffix":""},{"dropping-particle":"","family":"Cox","given":"P.","non-dropping-particle":"","parse-names":false,"suffix":""},{"dropping-particle":"","family":"Betts","given":"R.","non-dropping-particle":"","parse-names":false,"suffix":""},{"dropping-particle":"","family":"Bopp","given":"L.","non-dropping-particle":"","parse-names":false,"suffix":""},{"dropping-particle":"","family":"Bloh","given":"W.","non-dropping-particle":"von","parse-names":false,"suffix":""},{"dropping-particle":"","family":"Brovkin","given":"V.","non-dropping-particle":"","parse-names":false,"suffix":""},{"dropping-particle":"","family":"Cadule","given":"P.","non-dropping-particle":"","parse-names":false,"suffix":""},{"dropping-particle":"","family":"Doney","given":"S.","non-dropping-particle":"","parse-names":false,"suffix":""},{"dropping-particle":"","family":"Eby","given":"M.","non-dropping-particle":"","parse-names":false,"suffix":""},{"dropping-particle":"","family":"Fung","given":"I.","non-dropping-particle":"","parse-names":false,"suffix":""},{"dropping-particle":"","family":"Bala","given":"G.","non-dropping-particle":"","parse-names":false,"suffix":""},{"dropping-particle":"","family":"John","given":"J.","non-dropping-particle":"","parse-names":false,"suffix":""},{"dropping-particle":"","family":"Jones","given":"C.","non-dropping-particle":"","parse-names":false,"suffix":""},{"dropping-particle":"","family":"Joos","given":"F.","non-dropping-particle":"","parse-names":false,"suffix":""},{"dropping-particle":"","family":"Kato","given":"T.","non-dropping-particle":"","parse-names":false,"suffix":""},{"dropping-particle":"","family":"Kawamiya","given":"M.","non-dropping-particle":"","parse-names":false,"suffix":""},{"dropping-particle":"","family":"Knorr","given":"W.","non-dropping-particle":"","parse-names":false,"suffix":""},{"dropping-particle":"","family":"Lindsay","given":"K.","non-dropping-particle":"","parse-names":false,"suffix":""},{"dropping-particle":"","family":"Matthews","given":"H. D.","non-dropping-particle":"","parse-names":false,"suffix":""},{"dropping-particle":"","family":"Raddatz","given":"T.","non-dropping-particle":"","parse-names":false,"suffix":""},{"dropping-particle":"","family":"Rayner","given":"P.","non-dropping-particle":"","parse-names":false,"suffix":""},{"dropping-particle":"","family":"Reick","given":"C.","non-dropping-particle":"","parse-names":false,"suffix":""},{"dropping-particle":"","family":"Roeckner","given":"E.","non-dropping-particle":"","parse-names":false,"suffix":""},{"dropping-particle":"","family":"Schnitzler","given":"K.-G.","non-dropping-particle":"","parse-names":false,"suffix":""},{"dropping-particle":"","family":"Schnur","given":"R.","non-dropping-particle":"","parse-names":false,"suffix":""},{"dropping-particle":"","family":"Strassmann","given":"K.","non-dropping-particle":"","parse-names":false,"suffix":""},{"dropping-particle":"","family":"Weaver","given":"A. J.","non-dropping-particle":"","parse-names":false,"suffix":""},{"dropping-particle":"","family":"Yoshikawa","given":"C.","non-dropping-particle":"","parse-names":false,"suffix":""},{"dropping-particle":"","family":"Zeng","given":"N.","non-dropping-particle":"","parse-names":false,"suffix":""}],"container-title":"Journal of Climate","id":"ITEM-4","issue":"14","issued":{"date-parts":[["2006","7","15"]]},"language":"EN","page":"3337-3353","title":"Climate–Carbon Cycle Feedback Analysis: Results from the C 4 MIP Model Intercomparison","type":"article-journal","volume":"19"},"uris":["http://www.mendeley.com/documents/?uuid=0bd986c4-d594-4c36-93e6-1e0ebdeb7a20"]}],"mendeley":{"formattedCitation":"(Friedlingstein et al., 2006; Heinemeyer et al., 2010; Lawrence et al., 2011; Parton, Stewart, &amp; Cole, 1988)","manualFormatting":"(e.g. Friedlingstein et al., 2006; Heinemeyer et al., 2010; Lawrence et al., 2011; Parton, Stewart, &amp; Cole, 1988)","plainTextFormattedCitation":"(Friedlingstein et al., 2006; Heinemeyer et al., 2010; Lawrence et al., 2011; Parton, Stewart, &amp; Cole, 1988)","previouslyFormattedCitation":"(Friedlingstein et al., 2006; Heinemeyer et al., 2010; Lawrence et al., 2011; Parton, Stewart, &amp; Cole, 1988)"},"properties":{"noteIndex":0},"schema":"https://github.com/citation-style-language/schema/raw/master/csl-citation.json"}</w:instrText>
      </w:r>
      <w:r w:rsidR="00032C55">
        <w:rPr>
          <w:sz w:val="22"/>
          <w:szCs w:val="22"/>
        </w:rPr>
        <w:fldChar w:fldCharType="separate"/>
      </w:r>
      <w:r w:rsidR="00032C55" w:rsidRPr="00032C55">
        <w:rPr>
          <w:noProof/>
          <w:sz w:val="22"/>
          <w:szCs w:val="22"/>
        </w:rPr>
        <w:t>(</w:t>
      </w:r>
      <w:r w:rsidR="00032C55">
        <w:rPr>
          <w:noProof/>
          <w:sz w:val="22"/>
          <w:szCs w:val="22"/>
        </w:rPr>
        <w:t xml:space="preserve">e.g. </w:t>
      </w:r>
      <w:r w:rsidR="00032C55" w:rsidRPr="00032C55">
        <w:rPr>
          <w:noProof/>
          <w:sz w:val="22"/>
          <w:szCs w:val="22"/>
        </w:rPr>
        <w:t>Friedlingstein et al., 2006; Heinemeyer et al., 2010; Lawrence et al., 2011; Parton, Stewart, &amp; Cole, 1988)</w:t>
      </w:r>
      <w:r w:rsidR="00032C55">
        <w:rPr>
          <w:sz w:val="22"/>
          <w:szCs w:val="22"/>
        </w:rPr>
        <w:fldChar w:fldCharType="end"/>
      </w:r>
      <w:r w:rsidRPr="00BE5BB4">
        <w:rPr>
          <w:sz w:val="22"/>
          <w:szCs w:val="22"/>
        </w:rPr>
        <w:t xml:space="preserve"> have become replaced by microbial explicit models </w:t>
      </w:r>
      <w:r w:rsidR="00032C55">
        <w:rPr>
          <w:sz w:val="22"/>
          <w:szCs w:val="22"/>
        </w:rPr>
        <w:fldChar w:fldCharType="begin" w:fldLock="1"/>
      </w:r>
      <w:r w:rsidR="00032C55">
        <w:rPr>
          <w:sz w:val="22"/>
          <w:szCs w:val="22"/>
        </w:rPr>
        <w:instrText>ADDIN CSL_CITATION {"citationItems":[{"id":"ITEM-1","itemData":{"DOI":"10.1016/s0038-0717(03)00015-4","ISBN":"00380717","abstract":"Traditional models of soil organic matter (SOM) decomposition are all based on first order kinetics in which the decomposition rate of a particular C pool is proportional to the size of the pool and a simple decomposition constant (dC/dt = kC). In fact, SOM decomposition is catalyzed by extracellular enzymes that are produced by microorganisms. We built a simple theoretical model to explore the behavior of the decomposition-microbial growth system when the fundamental kinetic assumption is changed from first order kinetics to exoenzymes catalyzed decomposition (dC/dt = KC X Enzymes). An analysis of the enzyme kinetics showed that there must be some mechanism to produce a non-linear response of decomposition rates to enzyme concentration-the most likely is competition for enzyme binding on solid substrates as predicted by Langmuir adsorption isotherm theory. This non-linearity also induces C limitation, regardless of the potential supply of C. The linked C and N version of the model showed that actual polymer breakdown and microbial use of the released monomers can be disconnected, and that it requires relatively little N to maintain the maximal rate of decomposition, regardless of the microbial biomass' ability to use the breakdown products. In this model, adding a pulse of C to an N limited system increases respiration, while adding N actually decreases respiration (as C is redirected from waste respiration to microbial growth). For many years, researchers have argued that the lack of a respiratory response by soil microbes to added N indicates that they are not N limited. This model suggests that conclusion may be wrong. While total C flow may be limited by the functioning of the exoenzyme system, actual microbial growth may be N limited. (C) 2003 Elsevier Science Ltd. All rights reserved.","author":[{"dropping-particle":"","family":"Schimel","given":"J P","non-dropping-particle":"","parse-names":false,"suffix":""},{"dropping-particle":"","family":"Weintraub","given":"M N","non-dropping-particle":"","parse-names":false,"suffix":""}],"container-title":"Soil Biology and Biochemistry","id":"ITEM-1","issue":"4","issued":{"date-parts":[["2003"]]},"note":"From Duplicate 1 (The implications of exoenzyme activity on microbial carbon and nitrogen limitation in soil: a theoretical model - Schimel, J P; Weintraub, M N)\n\nTimes Cited: 407\n\nFrom Duplicate 2 (The implications of exoenzyme activity on microbial carbon and nitrogen limitation in soil: a theoretical model - Schimel, J P; Weintraub, M N)\n\nSchimel, JP Weintraub, MN","page":"549-563","title":"The implications of exoenzyme activity on microbial carbon and nitrogen limitation in soil: a theoretical model","type":"article-journal","volume":"35"},"uris":["http://www.mendeley.com/documents/?uuid=3ce68faf-d2d7-489d-81b3-f8cb1778c94a"]},{"id":"ITEM-2","itemData":{"DOI":"10.1890/12-0681.1","ISSN":"1051-0761","author":[{"dropping-particle":"","family":"Wang","given":"Gangsheng","non-dropping-particle":"","parse-names":false,"suffix":""},{"dropping-particle":"","family":"Post","given":"Wilfred M.","non-dropping-particle":"","parse-names":false,"suffix":""},{"dropping-particle":"","family":"Mayes","given":"Melanie A.","non-dropping-particle":"","parse-names":false,"suffix":""}],"container-title":"Ecological Applications","id":"ITEM-2","issue":"1","issued":{"date-parts":[["2013","1"]]},"page":"255-272","title":"Development of microbial-enzyme-mediated decomposition model parameters through steady-state and dynamic analyses","type":"article-journal","volume":"23"},"uris":["http://www.mendeley.com/documents/?uuid=89dd4f11-8e05-46ef-8e5f-5fadf7ab0fcb"]},{"id":"ITEM-3","itemData":{"DOI":"10.1002/2015GB005188","ISBN":"978-1-107-05799-1","ISSN":"19449224","PMID":"25246403","abstract":"Microbes influence soil organic matter decomposition and the long-term stabilization of carbon (C) in soils. We contend that by revising the representation of microbial processes and their interactions with the physicochemical soil environment, Earth system models (ESMs) will make more realistic global C cycle projections. Explicit representation of microbial processes presents considerable challenges due to the scale at which these processes occur. Thus, applying microbial theory in ESMs requires a framework to link micro-scale process-level understanding and measurements to macro-scale models used to make decadal- to century-long projections. Here we review the diversity, advantages, and pitfalls of simulating soil biogeochemical cycles using microbial-explicit modeling approaches. We present a roadmap for how to begin building, applying, and evaluating reliable microbial-explicit model formulations that can be applied in ESMs. Drawing from experience with traditional decomposition models, we suggest the following: (1) guidelines for common model parameters and output that can facilitate future model intercomparisons; (2) development of benchmarking and model-data integration frameworks that can be used to effectively guide, inform, and evaluate model parameterizations with data from well-curated repositories; and (3) the application of scaling methods to integrate microbial-explicit soil biogeochemistry modules within ESMs. With contributions across scientific disciplines, we feel this roadmap can advance our fundamental understanding of soil biogeochemical dynamics and more realistically project likely soil C response to environmental change at global scales.","author":[{"dropping-particle":"","family":"Wieder","given":"William R.","non-dropping-particle":"","parse-names":false,"suffix":""},{"dropping-particle":"","family":"Allison","given":"Steven D.","non-dropping-particle":"","parse-names":false,"suffix":""},{"dropping-particle":"","family":"Davidson","given":"Eric A.","non-dropping-particle":"","parse-names":false,"suffix":""},{"dropping-particle":"","family":"Georgiou","given":"Katerina","non-dropping-particle":"","parse-names":false,"suffix":""},{"dropping-particle":"","family":"Hararuk","given":"Oleksandra","non-dropping-particle":"","parse-names":false,"suffix":""},{"dropping-particle":"","family":"He","given":"Yujie","non-dropping-particle":"","parse-names":false,"suffix":""},{"dropping-particle":"","family":"Hopkins","given":"Francesca","non-dropping-particle":"","parse-names":false,"suffix":""},{"dropping-particle":"","family":"Luo","given":"Yiqi","non-dropping-particle":"","parse-names":false,"suffix":""},{"dropping-particle":"","family":"Smith","given":"Matthew J.","non-dropping-particle":"","parse-names":false,"suffix":""},{"dropping-particle":"","family":"Sulman","given":"Benjamin","non-dropping-particle":"","parse-names":false,"suffix":""},{"dropping-particle":"","family":"Todd-Brown","given":"Katherine","non-dropping-particle":"","parse-names":false,"suffix":""},{"dropping-particle":"","family":"Wang","given":"Ying Ping","non-dropping-particle":"","parse-names":false,"suffix":""},{"dropping-particle":"","family":"Xia","given":"Jianyang","non-dropping-particle":"","parse-names":false,"suffix":""},{"dropping-particle":"","family":"Xu","given":"Xiaofeng","non-dropping-particle":"","parse-names":false,"suffix":""}],"container-title":"Global Biogeochemical Cycles","id":"ITEM-3","issue":"10","issued":{"date-parts":[["2015","10","1"]]},"page":"1782-1800","publisher":"Wiley-Blackwell","title":"Explicitly representing soil microbial processes in Earth system models","type":"article-journal","volume":"29"},"uris":["http://www.mendeley.com/documents/?uuid=a1e4db95-22fb-37e5-ae49-9678a6c6e01c"]},{"id":"ITEM-4","itemData":{"DOI":"10.5194/bg-11-3899-2014","ISSN":"1726-4189","abstract":"A growing body of literature documents the pressing need to develop soil biogeochemistry models that more accurately reflect contemporary understanding of soil processes and better capture soil carbon (C) responses to environmental perturbations. Models that explicitly represent microbial activity offer inroads to improve representations of soil biogeochemical processes, but have yet to consider relationships between litter quality, functional differences in microbial physiology, and the physical protection of microbial byproducts in forming stable soil organic matter (SOM). To address these limitations, we introduce the MIcrobial-MIneral Carbon Stabilization (MIMICS) model, and evaluate it by comparing site-level soil C projections with observations from a long-term litter decomposition study and soil warming experiment. In MIMICS, the turnover of litter and SOM pools is governed by temperature-sensitive Michaelis–Menten kinetics and the activity of two physiologically distinct microbial functional types. The production of microbial residues through microbial turnover provides inputs to SOM pools that are considered physically or chemically protected. Soil clay content determines the physical protection of SOM in different soil environments. MIMICS adequately simulates the mean rate of leaf litter decomposition observed at temperate and boreal forest sites, and captures observed effects of litter quality on decomposition rates. Moreover, MIMICS better captures the response of SOM pools to experimental warming, with rapid SOM losses but declining temperature sensitivity to long-term warming, compared with a more conventional model structure. MIMICS incorporates current microbial theory to explore the mechanisms by which litter C is converted to stable SOM, and to improve predictions of soil C responses to environmental change.","author":[{"dropping-particle":"","family":"Wieder","given":"W. R.","non-dropping-particle":"","parse-names":false,"suffix":""},{"dropping-particle":"","family":"Grandy","given":"A. S.","non-dropping-particle":"","parse-names":false,"suffix":""},{"dropping-particle":"","family":"Kallenbach","given":"C. M.","non-dropping-particle":"","parse-names":false,"suffix":""},{"dropping-particle":"","family":"Bonan","given":"G. B.","non-dropping-particle":"","parse-names":false,"suffix":""}],"container-title":"Biogeosciences","id":"ITEM-4","issue":"14","issued":{"date-parts":[["2014","7","24"]]},"page":"3899-3917","title":"Integrating microbial physiology and physio-chemical principles in soils with the MIcrobial-MIneral Carbon Stabilization (MIMICS) model","type":"article-journal","volume":"11"},"uris":["http://www.mendeley.com/documents/?uuid=324565df-d62b-330e-aa1b-0ecc131d4528"]},{"id":"ITEM-5","itemData":{"DOI":"10.5194/gmd-8-1789-2015","ISSN":"1991-9603","abstract":"Abstract. Projecting biogeochemical responses to global environmental change requires multi-scaled perspectives that consider organismal diversity, ecosystem processes, and global fluxes. However, microbes, the drivers of soil organic matter decomposition and stabilization, remain notably absent from models used to project carbon (C) cycle–climate feedbacks. We used a microbial trait-based soil C model with two physiologically distinct microbial communities, and evaluate how this model represents soil C storage and response to perturbations. Drawing from the application of functional traits used to model other ecosystems, we incorporate copiotrophic and oligotrophic microbial functional groups in the MIcrobial-MIneral Carbon Stabilization (MIMICS) model; these functional groups are akin to \"gleaner\" vs. \"opportunist\" plankton in the ocean, or r- vs. K-strategists in plant and animal communities. Here we compare MIMICS to a conventional soil C model, DAYCENT (the daily time-step version of the CENTURY model), in cross-site comparisons of nitrogen (N) enrichment effects on soil C dynamics. MIMICS more accurately simulates C responses to N enrichment; moreover, it raises important hypotheses involving the roles of substrate availability, community-level enzyme induction, and microbial physiological responses in explaining various soil biogeochemical responses to N enrichment. In global-scale analyses, we show that MIMICS projects much slower rates of soil C accumulation than a conventional soil biogeochemistry in response to increasing C inputs with elevated carbon dioxide (CO2) – a finding that would reduce the size of the land C sink estimated by the Earth system. Our findings illustrate that tradeoffs between theory and utility can be overcome to develop soil biogeochemistry models that evaluate and advance our theoretical understanding of microbial dynamics and soil biogeochemical responses to environmental change.","author":[{"dropping-particle":"","family":"Wieder","given":"W. R.","non-dropping-particle":"","parse-names":false,"suffix":""},{"dropping-particle":"","family":"Grandy","given":"A. S.","non-dropping-particle":"","parse-names":false,"suffix":""},{"dropping-particle":"","family":"Kallenbach","given":"C. M.","non-dropping-particle":"","parse-names":false,"suffix":""},{"dropping-particle":"","family":"Taylor","given":"P. G.","non-dropping-particle":"","parse-names":false,"suffix":""},{"dropping-particle":"","family":"Bonan","given":"G. B.","non-dropping-particle":"","parse-names":false,"suffix":""}],"container-title":"Geoscientific Model Development","id":"ITEM-5","issue":"6","issued":{"date-parts":[["2015","6","17"]]},"page":"1789-1808","title":"Representing life in the Earth system with soil microbial functional traits in the MIMICS model","type":"article-journal","volume":"8"},"uris":["http://www.mendeley.com/documents/?uuid=37ed9ecb-9490-317a-8447-e127d3d8e095"]},{"id":"ITEM-6","itemData":{"DOI":"10.5194/gmd-11-2111-2018","ISSN":"1991-9603","abstract":"The role of soil microorganisms in regulating soil organic matter (SOM) decomposition is of primary importance in the carbon cycle, in particular in the context of global change. Modeling soil microbial community dynamics to simulate its impact on soil gaseous carbon (C) emissions and nitrogen (N) mineralization at large spatial scales is a recent research field with the potential to improve predictions of SOM responses to global climate change. In this study we present a SOM model called ORCHIMIC, which utilizes input data that are consistent with those of global vegetation models. ORCHIMIC simulates the decomposition of SOM by explicitly accounting for enzyme production and distinguishing three different microbial functional groups: fresh organic matter (FOM) specialists, SOM specialists, and generalists, while also implicitly accounting for microbes that do not produce extracellular enzymes, i.e., cheaters. ORCHIMIC and two other organic matter decomposition models, CENTURY (based on first-order kinetics and representative of the structure of most current global soil carbon models) and PRIM (with FOM accelerating the decomposition rate of SOM), were calibrated to reproduce the observed respiration fluxes of FOM and SOM from the incubation experiments of Blagodatskaya et al. (2014). Among the three models, ORCHIMIC was the only one that effectively captured both the temporal dynamics of the respiratory fluxes and the magnitude of the priming effect observed during the incubation experiment. ORCHIMIC also effectively reproduced the temporal dynamics of microbial biomass. We then applied different idealized changes to the model input data, i.e., a 5 K stepwise increase of temperature and/or a doubling of plant litter inputs. Under 5 K warming conditions, ORCHIMIC predicted a 0.002 K−1 decrease in the C use efficiency (defined as the ratio of C allocated to microbial growth to the sum of C allocated to growth and respiration) and a 3 % loss of SOC. Under the double litter input scenario, ORCHIMIC predicted a doubling of microbial biomass, while SOC stock increased by less than 1 % due to the priming effect. This limited increase in SOC stock contrasted with the proportional increase in SOC stock as modeled by the conventional SOC decomposition model (CENTURY), which can not reproduce the priming effect. If temperature increased by 5 K and litter input was doubled, ORCHIMIC predicted almost the same loss of SOC as when only temperature was increased. Thes…","author":[{"dropping-particle":"","family":"Huang","given":"Ye","non-dropping-particle":"","parse-names":false,"suffix":""},{"dropping-particle":"","family":"Guenet","given":"Bertrand","non-dropping-particle":"","parse-names":false,"suffix":""},{"dropping-particle":"","family":"Ciais","given":"Philippe","non-dropping-particle":"","parse-names":false,"suffix":""},{"dropping-particle":"","family":"Janssens","given":"Ivan A.","non-dropping-particle":"","parse-names":false,"suffix":""},{"dropping-particle":"","family":"Soong","given":"Jennifer L.","non-dropping-particle":"","parse-names":false,"suffix":""},{"dropping-particle":"","family":"Wang","given":"Yilong","non-dropping-particle":"","parse-names":false,"suffix":""},{"dropping-particle":"","family":"Goll","given":"Daniel","non-dropping-particle":"","parse-names":false,"suffix":""},{"dropping-particle":"","family":"Blagodatskaya","given":"Evgenia","non-dropping-particle":"","parse-names":false,"suffix":""},{"dropping-particle":"","family":"Huang","given":"Yuanyuan","non-dropping-particle":"","parse-names":false,"suffix":""}],"container-title":"Geoscientific Model Development","id":"ITEM-6","issue":"6","issued":{"date-parts":[["2018","6","8"]]},"page":"2111-2138","title":"ORCHIMIC (v1.0), a microbe-mediated model for soil organic matter decomposition","type":"article-journal","volume":"11"},"uris":["http://www.mendeley.com/documents/?uuid=f94afa63-e0f4-3f8b-bbbe-2f3faf25b1ed"]}],"mendeley":{"formattedCitation":"(Huang et al., 2018; Schimel &amp; Weintraub, 2003; G. Wang, Post, &amp; Mayes, 2013; W. R. Wieder, Grandy, Kallenbach, &amp; Bonan, 2014; W. R. Wieder, Grandy, Kallenbach, Taylor, &amp; Bonan, 2015; William R. Wieder et al., 2015)","plainTextFormattedCitation":"(Huang et al., 2018; Schimel &amp; Weintraub, 2003; G. Wang, Post, &amp; Mayes, 2013; W. R. Wieder, Grandy, Kallenbach, &amp; Bonan, 2014; W. R. Wieder, Grandy, Kallenbach, Taylor, &amp; Bonan, 2015; William R. Wieder et al., 2015)","previouslyFormattedCitation":"(Huang et al., 2018; Schimel &amp; Weintraub, 2003; G. Wang, Post, &amp; Mayes, 2013; W. R. Wieder, Grandy, Kallenbach, &amp; Bonan, 2014; W. R. Wieder, Grandy, Kallenbach, Taylor, &amp; Bonan, 2015; William R. Wieder et al., 2015)"},"properties":{"noteIndex":0},"schema":"https://github.com/citation-style-language/schema/raw/master/csl-citation.json"}</w:instrText>
      </w:r>
      <w:r w:rsidR="00032C55">
        <w:rPr>
          <w:sz w:val="22"/>
          <w:szCs w:val="22"/>
        </w:rPr>
        <w:fldChar w:fldCharType="separate"/>
      </w:r>
      <w:r w:rsidR="00032C55" w:rsidRPr="00032C55">
        <w:rPr>
          <w:noProof/>
          <w:sz w:val="22"/>
          <w:szCs w:val="22"/>
        </w:rPr>
        <w:t>(Huang et al., 2018; Schimel &amp; Weintraub, 2003; G. Wang, Post, &amp; Mayes, 2013; W. R. Wieder, Grandy, Kallenbach, &amp; Bonan, 2014; W. R. Wieder, Grandy, Kallenbach, Taylor, &amp; Bonan, 2015; William R. Wieder et al., 2015)</w:t>
      </w:r>
      <w:r w:rsidR="00032C55">
        <w:rPr>
          <w:sz w:val="22"/>
          <w:szCs w:val="22"/>
        </w:rPr>
        <w:fldChar w:fldCharType="end"/>
      </w:r>
      <w:r w:rsidRPr="00BE5BB4">
        <w:rPr>
          <w:sz w:val="22"/>
          <w:szCs w:val="22"/>
        </w:rPr>
        <w:t xml:space="preserve">. On one hand, several studies showed the </w:t>
      </w:r>
      <w:r w:rsidR="002D756D" w:rsidRPr="00BE5BB4">
        <w:rPr>
          <w:sz w:val="22"/>
          <w:szCs w:val="22"/>
        </w:rPr>
        <w:t>superior</w:t>
      </w:r>
      <w:r w:rsidRPr="00BE5BB4">
        <w:rPr>
          <w:sz w:val="22"/>
          <w:szCs w:val="22"/>
        </w:rPr>
        <w:t xml:space="preserve"> simulation accuracy of microbial explicit models over classical cohort models </w:t>
      </w:r>
      <w:r w:rsidR="00032C55">
        <w:rPr>
          <w:sz w:val="22"/>
          <w:szCs w:val="22"/>
        </w:rPr>
        <w:fldChar w:fldCharType="begin" w:fldLock="1"/>
      </w:r>
      <w:r w:rsidR="00032C55">
        <w:rPr>
          <w:sz w:val="22"/>
          <w:szCs w:val="22"/>
        </w:rPr>
        <w:instrText>ADDIN CSL_CITATION {"citationItems":[{"id":"ITEM-1","itemData":{"DOI":"10.1038/nclimate1951","ISSN":"1758-678X","author":[{"dropping-particle":"","family":"Wieder","given":"William R.","non-dropping-particle":"","parse-names":false,"suffix":""},{"dropping-particle":"","family":"Bonan","given":"Gordon B.","non-dropping-particle":"","parse-names":false,"suffix":""},{"dropping-particle":"","family":"Allison","given":"Steven D.","non-dropping-particle":"","parse-names":false,"suffix":""}],"container-title":"Nature Climate Change","id":"ITEM-1","issue":"10","issued":{"date-parts":[["2013"]]},"language":"en","page":"909-912","publisher":"Nature Research","title":"Global soil carbon projections are improved by modelling microbial processes","type":"article-journal","volume":"3"},"uris":["http://www.mendeley.com/documents/?uuid=d1965356-5a40-49d6-b14d-497f5c63967c"]},{"id":"ITEM-2","itemData":{"DOI":"10.5194/gmd-11-2111-2018","ISSN":"1991-9603","abstract":"The role of soil microorganisms in regulating soil organic matter (SOM) decomposition is of primary importance in the carbon cycle, in particular in the context of global change. Modeling soil microbial community dynamics to simulate its impact on soil gaseous carbon (C) emissions and nitrogen (N) mineralization at large spatial scales is a recent research field with the potential to improve predictions of SOM responses to global climate change. In this study we present a SOM model called ORCHIMIC, which utilizes input data that are consistent with those of global vegetation models. ORCHIMIC simulates the decomposition of SOM by explicitly accounting for enzyme production and distinguishing three different microbial functional groups: fresh organic matter (FOM) specialists, SOM specialists, and generalists, while also implicitly accounting for microbes that do not produce extracellular enzymes, i.e., cheaters. ORCHIMIC and two other organic matter decomposition models, CENTURY (based on first-order kinetics and representative of the structure of most current global soil carbon models) and PRIM (with FOM accelerating the decomposition rate of SOM), were calibrated to reproduce the observed respiration fluxes of FOM and SOM from the incubation experiments of Blagodatskaya et al. (2014). Among the three models, ORCHIMIC was the only one that effectively captured both the temporal dynamics of the respiratory fluxes and the magnitude of the priming effect observed during the incubation experiment. ORCHIMIC also effectively reproduced the temporal dynamics of microbial biomass. We then applied different idealized changes to the model input data, i.e., a 5 K stepwise increase of temperature and/or a doubling of plant litter inputs. Under 5 K warming conditions, ORCHIMIC predicted a 0.002 K−1 decrease in the C use efficiency (defined as the ratio of C allocated to microbial growth to the sum of C allocated to growth and respiration) and a 3 % loss of SOC. Under the double litter input scenario, ORCHIMIC predicted a doubling of microbial biomass, while SOC stock increased by less than 1 % due to the priming effect. This limited increase in SOC stock contrasted with the proportional increase in SOC stock as modeled by the conventional SOC decomposition model (CENTURY), which can not reproduce the priming effect. If temperature increased by 5 K and litter input was doubled, ORCHIMIC predicted almost the same loss of SOC as when only temperature was increased. Thes…","author":[{"dropping-particle":"","family":"Huang","given":"Ye","non-dropping-particle":"","parse-names":false,"suffix":""},{"dropping-particle":"","family":"Guenet","given":"Bertrand","non-dropping-particle":"","parse-names":false,"suffix":""},{"dropping-particle":"","family":"Ciais","given":"Philippe","non-dropping-particle":"","parse-names":false,"suffix":""},{"dropping-particle":"","family":"Janssens","given":"Ivan A.","non-dropping-particle":"","parse-names":false,"suffix":""},{"dropping-particle":"","family":"Soong","given":"Jennifer L.","non-dropping-particle":"","parse-names":false,"suffix":""},{"dropping-particle":"","family":"Wang","given":"Yilong","non-dropping-particle":"","parse-names":false,"suffix":""},{"dropping-particle":"","family":"Goll","given":"Daniel","non-dropping-particle":"","parse-names":false,"suffix":""},{"dropping-particle":"","family":"Blagodatskaya","given":"Evgenia","non-dropping-particle":"","parse-names":false,"suffix":""},{"dropping-particle":"","family":"Huang","given":"Yuanyuan","non-dropping-particle":"","parse-names":false,"suffix":""}],"container-title":"Geoscientific Model Development","id":"ITEM-2","issue":"6","issued":{"date-parts":[["2018","6","8"]]},"page":"2111-2138","title":"ORCHIMIC (v1.0), a microbe-mediated model for soil organic matter decomposition","type":"article-journal","volume":"11"},"uris":["http://www.mendeley.com/documents/?uuid=f94afa63-e0f4-3f8b-bbbe-2f3faf25b1ed"]},{"id":"ITEM-3","itemData":{"DOI":"10.1111/gcb.12827","ISSN":"1365-2486","PMID":"25504863","abstract":"Long-term carbon (C) cycle feedbacks to climate depend on the future dynamics of soil organic carbon (SOC). Current models show low predictive accuracy at simulating contemporary SOC pools, which can be improved through parameter estimation. However, major uncertainty remains in global soil responses to climate change, particularly uncertainty in how the activity of soil microbial communities will respond. To date, the role of microbes in SOC dynamics has been implicitly described by decay rate constants in most conventional global carbon cycle models. Explicitly including microbial biomass dynamics into C cycle model formulations has shown potential to improve model predictive performance when assessed against global SOC databases. This study aimed to data-constrained parameters of two soil microbial models, evaluate the improvements in performance of those calibrated models in predicting contemporary carbon stocks, and compare the SOC responses to climate change and their uncertainties between microbial and conventional models. Microbial models with calibrated parameters explained 51% of variability in the observed total SOC, whereas a calibrated conventional model explained 41%. The microbial models, when forced with climate and soil carbon input predictions from the 5th Coupled Model Intercomparison Project (CMIP5), produced stronger soil C responses to 95 years of climate change than any of the 11 CMIP5 models. The calibrated microbial models predicted between 8% (2-pool model) and 11% (4-pool model) soil C losses compared with CMIP5 model projections which ranged from a 7% loss to a 22.6% gain. Lastly, we observed unrealistic oscillatory SOC dynamics in the 2-pool microbial model. The 4-pool model also produced oscillations, but they were less prominent and could be avoided, depending on the parameter values.","author":[{"dropping-particle":"","family":"Hararuk","given":"Oleksandra","non-dropping-particle":"","parse-names":false,"suffix":""},{"dropping-particle":"","family":"Smith","given":"Matthew J","non-dropping-particle":"","parse-names":false,"suffix":""},{"dropping-particle":"","family":"Luo","given":"Yiqi","non-dropping-particle":"","parse-names":false,"suffix":""}],"container-title":"Global change biology","id":"ITEM-3","issue":"6","issued":{"date-parts":[["2015","6"]]},"page":"2439-53","publisher":"WILEY-BLACKWELL, 111 RIVER ST, HOBOKEN 07030-5774, NJ USA","title":"Microbial models with data-driven parameters predict stronger soil carbon responses to climate change.","type":"article-journal","volume":"21"},"uris":["http://www.mendeley.com/documents/?uuid=328d31c5-cfc6-4e42-ada7-b04a716cc462"]},{"id":"ITEM-4","itemData":{"DOI":"10.1002/2014JG002701","ISBN":"2169-8961","ISSN":"21698961","abstract":"Conventional Q10 soil organic matter decomposition models and more complex microbial models are available for making projections of future soil carbon dynamics. However, it is unclear (1) how well the conceptually different approaches can simulate observed decomposition and (2) to what extent the trajectories of long-term simulations differ when using the different approaches. In this study, we compared three structurally different soil carbon (C) decomposition models (one Q10 and two microbial models of different complexity), each with a one- and two-horizon version. The models were calibrated and validated using 4 years of measurements of heterotrophic soil CO2 efflux from trenched plots in a Dahurian larch (Larix gmelinii Rupr.) plantation. All models reproduced the observed heterotrophic component of soil CO2 efflux, but the trajectories of soil carbon dynamics differed substantially in 100 year simulations with and without warming and increased litterfall input, with microbial models that produced better agreement with observed changes in soil organic C in long-term warming experiments. Our results also suggest that both constant and varying carbon use efficiency are plausible when modeling future decomposition dynamics and that the use of a short-term (e.g., a few years) period of measurement is insufficient to adequately constrain model parameters that represent long-term responses of microbial thermal adaption. These results highlight the need to reframe the representation of decomposition models and to constrain parameters with long-term observations and multiple data streams. We urge caution in interpreting future soil carbon responses derived from existing decomposition models because both conceptual and parameter uncertainties are substantial.","author":[{"dropping-particle":"","family":"He","given":"Yujie","non-dropping-particle":"","parse-names":false,"suffix":""},{"dropping-particle":"","family":"Yang","given":"Jinyan","non-dropping-particle":"","parse-names":false,"suffix":""},{"dropping-particle":"","family":"Zhuang","given":"Qianlai","non-dropping-particle":"","parse-names":false,"suffix":""},{"dropping-particle":"","family":"McGuire","given":"Anthony D.","non-dropping-particle":"","parse-names":false,"suffix":""},{"dropping-particle":"","family":"Zhu","given":"Qing","non-dropping-particle":"","parse-names":false,"suffix":""},{"dropping-particle":"","family":"Liu","given":"Yaling","non-dropping-particle":"","parse-names":false,"suffix":""},{"dropping-particle":"","family":"Teskey","given":"Robert O.","non-dropping-particle":"","parse-names":false,"suffix":""}],"container-title":"Journal of Geophysical Research: Biogeosciences","id":"ITEM-4","issue":"9","issued":{"date-parts":[["2014","9","1"]]},"page":"1892-1905","publisher":"Wiley-Blackwell","title":"Uncertainty in the fate of soil organic carbon: A comparison of three conceptually different decomposition models at a larch plantation","type":"article-journal","volume":"119"},"uris":["http://www.mendeley.com/documents/?uuid=960bb263-9c10-3faf-a611-b2cfcdd4244d"]}],"mendeley":{"formattedCitation":"(Hararuk, Smith, &amp; Luo, 2015; He et al., 2014; Huang et al., 2018; William R. Wieder, Bonan, &amp; Allison, 2013)","plainTextFormattedCitation":"(Hararuk, Smith, &amp; Luo, 2015; He et al., 2014; Huang et al., 2018; William R. Wieder, Bonan, &amp; Allison, 2013)","previouslyFormattedCitation":"(Hararuk, Smith, &amp; Luo, 2015; He et al., 2014; Huang et al., 2018; William R. Wieder, Bonan, &amp; Allison, 2013)"},"properties":{"noteIndex":0},"schema":"https://github.com/citation-style-language/schema/raw/master/csl-citation.json"}</w:instrText>
      </w:r>
      <w:r w:rsidR="00032C55">
        <w:rPr>
          <w:sz w:val="22"/>
          <w:szCs w:val="22"/>
        </w:rPr>
        <w:fldChar w:fldCharType="separate"/>
      </w:r>
      <w:r w:rsidR="00032C55" w:rsidRPr="00032C55">
        <w:rPr>
          <w:noProof/>
          <w:sz w:val="22"/>
          <w:szCs w:val="22"/>
        </w:rPr>
        <w:t>(Hararuk, Smith, &amp; Luo, 2015; He et al., 2014; Huang et al., 2018; William R. Wieder, Bonan, &amp; Allison, 2013)</w:t>
      </w:r>
      <w:r w:rsidR="00032C55">
        <w:rPr>
          <w:sz w:val="22"/>
          <w:szCs w:val="22"/>
        </w:rPr>
        <w:fldChar w:fldCharType="end"/>
      </w:r>
      <w:r w:rsidRPr="00BE5BB4">
        <w:rPr>
          <w:sz w:val="22"/>
          <w:szCs w:val="22"/>
        </w:rPr>
        <w:t xml:space="preserve">. On the other hand, other studies showed the tendency of these models to unrealistic temporal </w:t>
      </w:r>
      <w:r w:rsidR="002D756D" w:rsidRPr="00BE5BB4">
        <w:rPr>
          <w:sz w:val="22"/>
          <w:szCs w:val="22"/>
        </w:rPr>
        <w:t>oscillations</w:t>
      </w:r>
      <w:r w:rsidRPr="00BE5BB4">
        <w:rPr>
          <w:sz w:val="22"/>
          <w:szCs w:val="22"/>
        </w:rPr>
        <w:t xml:space="preserv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microbial biomass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caused by small perturbations suggesting that the coupled dynamic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(expressed per unit of organic carbon basis) in soil is not completely understood </w:t>
      </w:r>
      <w:r w:rsidR="00032C55">
        <w:rPr>
          <w:sz w:val="22"/>
          <w:szCs w:val="22"/>
        </w:rPr>
        <w:fldChar w:fldCharType="begin" w:fldLock="1"/>
      </w:r>
      <w:r w:rsidR="00032C55">
        <w:rPr>
          <w:sz w:val="22"/>
          <w:szCs w:val="22"/>
        </w:rPr>
        <w:instrText>ADDIN CSL_CITATION {"citationItems":[{"id":"ITEM-1","itemData":{"DOI":"10.5194/bg-13-1733-2016","ISSN":"1726-4189","author":[{"dropping-particle":"","family":"Sihi","given":"Debjani","non-dropping-particle":"","parse-names":false,"suffix":""},{"dropping-particle":"","family":"Gerber","given":"Stefan","non-dropping-particle":"","parse-names":false,"suffix":""},{"dropping-particle":"","family":"Inglett","given":"Patrick W.","non-dropping-particle":"","parse-names":false,"suffix":""},{"dropping-particle":"","family":"Inglett","given":"Kanika Sharma","non-dropping-particle":"","parse-names":false,"suffix":""}],"container-title":"Biogeosciences","id":"ITEM-1","issue":"6","issued":{"date-parts":[["2016","3","21"]]},"language":"English","page":"1733-1752","publisher":"Copernicus GmbH","title":"Comparing models of microbial–substrate interactions and their response to warming","type":"article-journal","volume":"13"},"uris":["http://www.mendeley.com/documents/?uuid=2900eb6a-4231-41b3-8a48-fbed45dd228e"]},{"id":"ITEM-2","itemData":{"DOI":"10.5194/bg-11-1817-2014","ISSN":"1726-4189","abstract":"&lt;p&gt;&lt;p&gt;&lt;strong&gt;Abstract.&lt;/strong&gt; A number of nonlinear models have recently been proposed for simulating soil carbon decomposition. Their predictions of soil carbon responses to fresh litter input and warming differ significantly from conventional linear models. Using both stability analysis and numerical simulations, we showed that two of those nonlinear models (a two-pool model and a three-pool model) exhibit damped oscillatory responses to small perturbations. Stability analysis showed the frequency of oscillation is proportional to √(&amp;amp;varepsilon;&lt;sup&gt;&amp;amp;minus;1&lt;/sup&gt;&amp;amp;minus;1) &lt;i&gt;K&lt;/i&gt;&lt;sub&gt;s&lt;/sub&gt;/&lt;i&gt;V&lt;/i&gt;&lt;sub&gt;s&lt;/sub&gt; in the two-pool model, and to √(&amp;amp;varepsilon;&lt;sup&gt;&amp;amp;minus;1&lt;/sup&gt;&amp;amp;minus;1) &lt;i&gt;K&lt;/i&gt;&lt;sub&gt;l&lt;/sub&gt;/&lt;i&gt;V&lt;/i&gt;&lt;sub&gt;l&lt;/sub&gt; in the three-pool model, where &amp;amp;varepsilon; is microbial growth efficiency, &lt;i&gt;K&lt;/i&gt;&lt;sub&gt;s&lt;/sub&gt; and &lt;i&gt;K&lt;/i&gt;&lt;sub&gt;l&lt;/sub&gt; are the half saturation constants of soil and litter carbon, respectively, and /&lt;i&gt;V&lt;/i&gt;&lt;sub&gt;s&lt;/sub&gt; and /&lt;i&gt;V&lt;/i&gt;&lt;sub&gt;l&lt;/sub&gt; are the maximal rates of carbon decomposition per unit of microbial biomass for soil and litter carbon, respectively. For both models, the oscillation has a period of between 5 and 15 years depending on other parameter values, and has smaller amplitude at soil temperatures between 0 and 15 °C. In addition, the equilibrium pool sizes of litter or soil carbon are insensitive to carbon inputs in the nonlinear model, but are proportional to carbon input in the conventional linear model. Under warming, the microbial biomass and litter carbon pools simulated by the nonlinear models can increase or decrease, depending whether &amp;amp;varepsilon; varies with temperature. In contrast, the conventional linear models always simulate a decrease in both microbial and litter carbon pools with warming. Based on the evidence available, we concluded that the oscillatory behavior and insensitivity of soil carbon to carbon input are notable features in these nonlinear models that are somewhat unrealistic. We recommend that a better model for capturing the soil carbon dynamics over decadal to centennial timescales would combine the sensitivity of the conventional models to carbon influx with the flexible response to warming of the nonlinear model.&lt;/p&gt;&lt;/p&gt;","author":[{"dropping-particle":"","family":"Wang","given":"Y. P.","non-dropping-particle":"","parse-names":false,"suffix":""},{"dropping-particle":"","family":"Chen","given":"B. C.","non-dropping-particle":"","parse-names":false,"suffix":""},{"dropping-particle":"","family":"Wieder","given":"W. R.","non-dropping-particle":"","parse-names":false,"suffix":""},{"dropping-particle":"","family":"Leite","given":"M.","non-dropping-particle":"","parse-names":false,"suffix":""},{"dropping-particle":"","family":"Medlyn","given":"B. E.","non-dropping-particle":"","parse-names":false,"suffix":""},{"dropping-particle":"","family":"Rasmussen","given":"M.","non-dropping-particle":"","parse-names":false,"suffix":""},{"dropping-particle":"","family":"Smith","given":"M. J.","non-dropping-particle":"","parse-names":false,"suffix":""},{"dropping-particle":"","family":"Agusto","given":"F. B.","non-dropping-particle":"","parse-names":false,"suffix":""},{"dropping-particle":"","family":"Hoffman","given":"F.","non-dropping-particle":"","parse-names":false,"suffix":""},{"dropping-particle":"","family":"Luo","given":"Y. Q.","non-dropping-particle":"","parse-names":false,"suffix":""}],"container-title":"Biogeosciences","id":"ITEM-2","issue":"7","issued":{"date-parts":[["2014","4","7"]]},"page":"1817-1831","title":"Oscillatory behavior of two nonlinear microbial models of soil carbon decomposition","type":"article-journal","volume":"11"},"uris":["http://www.mendeley.com/documents/?uuid=4bee9294-3a10-3bdc-8c2e-74e3b798e9ee"]},{"id":"ITEM-3","itemData":{"DOI":"10.1007/s10533-013-9948-8","ISBN":"0168-2563\r1573-515X","ISSN":"0168-2563","abstract":"Global ecosystem models may require microbial components to accurately predict feedbacks between climate warming and soil decomposition, but it is unclear what parameters and levels of complexity are ideal for scaling up to the globe. Here we conducted a model comparison using a conventional model with first-order decay and three microbial models of increasing complexity that simulate short- to long-term soil carbon dynamics. We focused on soil carbon responses to microbial carbon use efficiency (CUE) and temperature. Three scenarios were implemented in all models: constant CUE (held at 0.31), varied CUE (-0.016 A degrees C-1), and 50 % acclimated CUE (-0.008 A degrees C-1). Whereas the conventional model always showed soil carbon losses with increasing temperature, the microbial models each predicted a temperature threshold above which warming led to soil carbon gain. The location of this threshold depended on CUE scenario, with higher temperature thresholds under the acclimated and constant scenarios. This result suggests that the temperature sensitivity of CUE and the structure of the soil carbon model together regulate the long-term soil carbon response to warming. Equilibrium soil carbon stocks predicted by the microbial models were much less sensitive to changing inputs compared to the conventional model. Although many soil carbon dynamics were similar across microbial models, the most complex model showed less pronounced oscillations. Thus, adding model complexity (i.e. including enzyme pools) could improve the mechanistic representation of soil carbon dynamics during the transient phase in certain ecosystems. This study suggests that model structure and CUE parameterization should be carefully evaluated when scaling up microbial models to ecosystems and the globe.","author":[{"dropping-particle":"","family":"Li","given":"Jianwei W","non-dropping-particle":"","parse-names":false,"suffix":""},{"dropping-particle":"","family":"Wang","given":"Gangsheng S","non-dropping-particle":"","parse-names":false,"suffix":""},{"dropping-particle":"","family":"Allison","given":"Steven D.","non-dropping-particle":"","parse-names":false,"suffix":""},{"dropping-particle":"","family":"Mayes","given":"Melanie A.","non-dropping-particle":"","parse-names":false,"suffix":""},{"dropping-particle":"","family":"Luo","given":"Yiqi Q","non-dropping-particle":"","parse-names":false,"suffix":""}],"container-title":"Biogeochemistry","id":"ITEM-3","issue":"1-3","issued":{"date-parts":[["2014","1","7"]]},"note":"From Duplicate 1 (Soil carbon sensitivity to temperature and carbon use efficiency compared across microbial-ecosystem models of varying complexity - Li, Jianwei W; Wang, Gangsheng S; Allison, Steven D; Mayes, Melanie A; Luo, Yiqi Q)\n\nFrom Duplicate 2 (Soil carbon sensitivity to temperature and carbon use efficiency compared across microbial-ecosystem models of varying complexity - Li, J W; Wang, G S; Allison, S D; Mayes, M A; Luo, Y Q)\n\nTimes Cited: 13\nLi, Jianwei Wang, Gangsheng Allison, Steven D. Mayes, Melanie A. Luo, Yiqi","page":"67-84","title":"Soil carbon sensitivity to temperature and carbon use efficiency compared across microbial-ecosystem models of varying complexity","type":"article-journal","volume":"119"},"uris":["http://www.mendeley.com/documents/?uuid=83be0930-8c3e-4bfa-9f60-e940fc6b9ef3"]}],"mendeley":{"formattedCitation":"(Li, Wang, Allison, Mayes, &amp; Luo, 2014; Sihi, Gerber, Inglett, &amp; Inglett, 2016; Y. P. Wang et al., 2014)","plainTextFormattedCitation":"(Li, Wang, Allison, Mayes, &amp; Luo, 2014; Sihi, Gerber, Inglett, &amp; Inglett, 2016; Y. P. Wang et al., 2014)","previouslyFormattedCitation":"(Li, Wang, Allison, Mayes, &amp; Luo, 2014; Sihi, Gerber, Inglett, &amp; Inglett, 2016; Y. P. Wang et al., 2014)"},"properties":{"noteIndex":0},"schema":"https://github.com/citation-style-language/schema/raw/master/csl-citation.json"}</w:instrText>
      </w:r>
      <w:r w:rsidR="00032C55">
        <w:rPr>
          <w:sz w:val="22"/>
          <w:szCs w:val="22"/>
        </w:rPr>
        <w:fldChar w:fldCharType="separate"/>
      </w:r>
      <w:r w:rsidR="00032C55" w:rsidRPr="00032C55">
        <w:rPr>
          <w:noProof/>
          <w:sz w:val="22"/>
          <w:szCs w:val="22"/>
        </w:rPr>
        <w:t>(Li, Wang, Allison, Mayes, &amp; Luo, 2014; Sihi, Gerber, Inglett, &amp; Inglett, 2016; Y. P. Wang et al., 2014)</w:t>
      </w:r>
      <w:r w:rsidR="00032C55">
        <w:rPr>
          <w:sz w:val="22"/>
          <w:szCs w:val="22"/>
        </w:rPr>
        <w:fldChar w:fldCharType="end"/>
      </w:r>
      <w:r w:rsidRPr="00BE5BB4">
        <w:rPr>
          <w:sz w:val="22"/>
          <w:szCs w:val="22"/>
        </w:rPr>
        <w:t xml:space="preserve">. </w:t>
      </w:r>
    </w:p>
    <w:p w:rsidR="002D756D" w:rsidRDefault="00BE5BB4" w:rsidP="00BE5BB4">
      <w:pPr>
        <w:spacing w:before="0" w:line="480" w:lineRule="auto"/>
        <w:rPr>
          <w:sz w:val="22"/>
          <w:szCs w:val="22"/>
        </w:rPr>
      </w:pPr>
      <w:r w:rsidRPr="00BE5BB4">
        <w:rPr>
          <w:sz w:val="22"/>
          <w:szCs w:val="22"/>
        </w:rPr>
        <w:t xml:space="preserve">Microbial-explicit models use the knowledge of general microbiology and apply it to soil system. Unlike the well mixed liquid batch or </w:t>
      </w:r>
      <w:r w:rsidR="00032C55" w:rsidRPr="00BE5BB4">
        <w:rPr>
          <w:sz w:val="22"/>
          <w:szCs w:val="22"/>
        </w:rPr>
        <w:t>continuous</w:t>
      </w:r>
      <w:r w:rsidRPr="00BE5BB4">
        <w:rPr>
          <w:sz w:val="22"/>
          <w:szCs w:val="22"/>
        </w:rPr>
        <w:t xml:space="preserve"> culture the general microbiology works with, soil system is complex in respect to physical structure, composition of organic substrate and composition of microbial community consuming the </w:t>
      </w:r>
      <w:proofErr w:type="gramStart"/>
      <w:r w:rsidRPr="00BE5BB4">
        <w:rPr>
          <w:sz w:val="22"/>
          <w:szCs w:val="22"/>
        </w:rPr>
        <w:t>substrate.</w:t>
      </w:r>
      <w:proofErr w:type="gramEnd"/>
      <w:r w:rsidRPr="00BE5BB4">
        <w:rPr>
          <w:sz w:val="22"/>
          <w:szCs w:val="22"/>
        </w:rPr>
        <w:t xml:space="preserve"> All these factors have been suggested to considerably affect the coupled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dynamic in soil</w:t>
      </w:r>
      <w:r w:rsidR="00032C55">
        <w:rPr>
          <w:sz w:val="22"/>
          <w:szCs w:val="22"/>
        </w:rPr>
        <w:t xml:space="preserve"> </w:t>
      </w:r>
      <w:r w:rsidR="00032C55">
        <w:rPr>
          <w:sz w:val="22"/>
          <w:szCs w:val="22"/>
        </w:rPr>
        <w:fldChar w:fldCharType="begin" w:fldLock="1"/>
      </w:r>
      <w:r w:rsidR="00D30683">
        <w:rPr>
          <w:sz w:val="22"/>
          <w:szCs w:val="22"/>
        </w:rPr>
        <w:instrText>ADDIN CSL_CITATION {"citationItems":[{"id":"ITEM-1","itemData":{"DOI":"10.1007/s10311-013-0433-3","ISBN":"1610-3653","abstract":"Soils are a key component of the terrestrial carbon cycle as they contain the majority of terrestrial carbon. Soil microorganisms mainly control the accumulation and loss of this carbon. However, traditional concepts of soil carbon stabilisation failed so far to account for environmental and energetic constraints of microorganisms. Here, we demonstrate for the first time that these biological limitations might have the overall control on soil carbon stability. In a long-term experiment, we incubated C-13-labelled compost with natural soils at various soil carbon concentrations. Unexpectedly, we found that soil carbon turnover decreased with lower carbon concentration. We developed a conceptual model that explained these observations. In this model, two types of particles were submitted to random walk movement in the soil profile: soil organic matter substrate and microbial decomposers. Soil carbon turnover depended only on the likelihood of a decomposer particle to meet a substrate particle; in consequence, carbon turnover decreased with lower carbon concentration, like observed in the experiment. This conceptual model was able to simulate realistic depth profiles of soil carbon and soil carbon age. Our results, which are simply based on the application of a two-step kinetic, unmystify the stability of soil carbon and suggest that observations like high carbon ages in subsoil, stability of carbon in fallows and priming of soil carbon might be simply explained by the probability to be decomposed.","author":[{"dropping-particle":"","family":"Don","given":"A","non-dropping-particle":"","parse-names":false,"suffix":""},{"dropping-particle":"","family":"Rodenbeck","given":"C","non-dropping-particle":"","parse-names":false,"suffix":""},{"dropping-particle":"","family":"Gleixner","given":"G","non-dropping-particle":"","parse-names":false,"suffix":""}],"container-title":"Environmental Chemistry Letters","id":"ITEM-1","issue":"4","issued":{"date-parts":[["2013"]]},"language":"English","note":"ISI Document Delivery No.: 256QC\nTimes Cited: 2\nCited Reference Count: 49\nDon, Axel Roedenbeck, Christian Gleixner, Gerd\nSpringer heidelberg\nHeidelberg","page":"407-413","title":"Unexpected control of soil carbon turnover by soil carbon concentration","type":"article-journal","volume":"11"},"uris":["http://www.mendeley.com/documents/?uuid=7cf1aa36-a84b-4d55-9ab7-ddab9f5a7d1d"]},{"id":"ITEM-2","itemData":{"DOI":"10.1016/J.ADVWATRES.2015.05.020","ISSN":"0309-1708","abstract":"Soil structure and interactions between biotic and abiotic processes are increasingly recognized as important for explaining the large uncertainties in the outputs of macroscopic SOM decomposition models. We present a numerical analysis to assess the role of meso- and macropore topology on the biodegradation of a soluble carbon substrate in variably water saturated and pure diffusion conditions . Our analysis was built as a complete factorial design and used a new 3D pore-scale model, LBioS, that couples a diffusion lattice-Boltzmann model and a compartmental biodegradation model. The scenarios combined contrasted modalities of four factors: meso- and macropore space geometry, water saturation, bacterial distribution and physiology. A global sensitivity analysis of these factors highlighted the role of physical factors in the biodegradation kinetics of our scenarios. Bacteria location explained 28% of the total variance in substrate concentration in all scenarios, while the interactions among location, saturation and geometry explained up to 51% of it.","author":[{"dropping-particle":"","family":"Vogel","given":"Laure E.","non-dropping-particle":"","parse-names":false,"suffix":""},{"dropping-particle":"","family":"Makowski","given":"David","non-dropping-particle":"","parse-names":false,"suffix":""},{"dropping-particle":"","family":"Garnier","given":"Patricia","non-dropping-particle":"","parse-names":false,"suffix":""},{"dropping-particle":"","family":"Vieublé-Gonod","given":"Laure","non-dropping-particle":"","parse-names":false,"suffix":""},{"dropping-particle":"","family":"Coquet","given":"Yves","non-dropping-particle":"","parse-names":false,"suffix":""},{"dropping-particle":"","family":"Raynaud","given":"Xavier","non-dropping-particle":"","parse-names":false,"suffix":""},{"dropping-particle":"","family":"Nunan","given":"Naoise","non-dropping-particle":"","parse-names":false,"suffix":""},{"dropping-particle":"","family":"Chenu","given":"Claire","non-dropping-particle":"","parse-names":false,"suffix":""},{"dropping-particle":"","family":"Falconer","given":"Ruth","non-dropping-particle":"","parse-names":false,"suffix":""},{"dropping-particle":"","family":"Pot","given":"Valérie","non-dropping-particle":"","parse-names":false,"suffix":""}],"container-title":"Advances in Water Resources","id":"ITEM-2","issued":{"date-parts":[["2015","9","1"]]},"page":"123-136","publisher":"Elsevier","title":"Modeling the effect of soil meso- and macropores topology on the biodegradation of a soluble carbon substrate","type":"article-journal","volume":"83"},"uris":["http://www.mendeley.com/documents/?uuid=5dd305ea-5bc1-3001-9a06-6eb42a64df77"]},{"id":"ITEM-3","itemData":{"DOI":"10.1016/J.SOILBIO.2018.10.003","ISSN":"0038-0717","abstract":"Microbial decomposition of Soil Organic Matter (SOM) is largely controlled by environmental and edaphic factors such as temperature, pH, and moisture. However, microbial metabolism is controlled by catabolite repression, which leads microbes to grow on preferred nutrient and energy sources first. In particular, Catabolite Repression for Carbon (CR-C) defines the hierarchical preference of bacteria for particular C sources. This control depends on the presence of signal molecules conferring bacteria a memory for recent growth conditions on less preferred C sources. The combined effect of catabolite repression and microbial memory (called here Memory-Associated Catabolite Repression for Carbon, MACR-C) has not yet been investigated in detail. First, we use observations and a numerical model to test the hypothesis that MACR-C explains substrate preferential consumption in a simple, 2-C substrate system, whereas Michaelis-Menten-Monod kinetics of competitive substrate consumption, non-competitive inhibition, or their combination, do not. Next, we carry out numerical analyses to explore the sensitivity of (1) estimated parameters to experimental observations and (2) model structure to steady-state substrate concentration under pulse or continuous substrate application. Our results show that MACR-C substantially affected substrate consumption and microbial readiness to switch between C sources.","author":[{"dropping-particle":"","family":"Cecilia","given":"Daniele","non-dropping-particle":"la","parse-names":false,"suffix":""},{"dropping-particle":"","family":"Riley","given":"William J.","non-dropping-particle":"","parse-names":false,"suffix":""},{"dropping-particle":"","family":"Maggi","given":"Federico","non-dropping-particle":"","parse-names":false,"suffix":""}],"container-title":"Soil Biology and Biochemistry","id":"ITEM-3","issued":{"date-parts":[["2018","10","10"]]},"publisher":"Pergamon","title":"Biochemical modeling of microbial memory effects and catabolite repression on soil organic carbon compounds","type":"article-journal"},"uris":["http://www.mendeley.com/documents/?uuid=5583d25e-5a95-308e-be4f-afa5af974911"]},{"id":"ITEM-4","itemData":{"DOI":"10.1038/ncomms9960","ISSN":"2041-1723","PMID":"26621582","abstract":"The chemical structure of organic matter has been shown to be only marginally important for its decomposability by microorganisms. The question of why organic matter does accumulate in the face of powerful microbial degraders is thus key for understanding terrestrial carbon and nitrogen cycling. Here we demonstrate, based on an individual-based microbial community model, that social dynamics among microbes producing extracellular enzymes ('decomposers') and microbes exploiting the catalytic activities of others ('cheaters') regulate organic matter turnover. We show that the presence of cheaters increases nitrogen retention and organic matter build-up by downregulating the ratio of extracellular enzymes to total microbial biomass, allowing nitrogen-rich microbial necromass to accumulate. Moreover, increasing catalytic efficiencies of enzymes are outbalanced by a strong negative feedback on enzyme producers, leading to less enzymes being produced at the community level. Our results thus reveal a possible control mechanism that may buffer soil CO2 emissions in a future climate.","author":[{"dropping-particle":"","family":"Kaiser","given":"Christina","non-dropping-particle":"","parse-names":false,"suffix":""},{"dropping-particle":"","family":"Franklin","given":"Oskar","non-dropping-particle":"","parse-names":false,"suffix":""},{"dropping-particle":"","family":"Richter","given":"Andreas","non-dropping-particle":"","parse-names":false,"suffix":""},{"dropping-particle":"","family":"Dieckmann","given":"Ulf","non-dropping-particle":"","parse-names":false,"suffix":""}],"container-title":"Nature communications","id":"ITEM-4","issued":{"date-parts":[["2015","1"]]},"page":"8960","publisher":"NATURE PUBLISHING GROUP, MACMILLAN BUILDING, 4 CRINAN ST, LONDON N1 9XW, ENGLAND","title":"Social dynamics within decomposer communities lead to nitrogen retention and organic matter build-up in soils.","type":"article-journal","volume":"6"},"uris":["http://www.mendeley.com/documents/?uuid=0c0597d4-5606-46a4-9817-04c6831362d2"]},{"id":"ITEM-5","itemData":{"DOI":"169\r10.3389/fmicb.2014.00169","ISBN":"1664-302X","abstract":"Bacteria produce extracellular enzymes to obtain resources from complex chemical substrates, but this strategy is vulnerable to cheating by cells that take up reaction products without paying the cost of enzyme production. We hypothesized that cheating would suppress enzyme production in co-cultures of cheater and producer bacteria, particularly under well-mixed conditions. To test this hypothesis, we monitored protease expression and frequencies of Pseudomonas fluorescens producer and cheater genotypes over time in mixed liquid cultures and on agar plates. In mixed culture inoculated with equal frequencies of cheaters and producers, enzyme concentration declined to zero after 20 days, consistent with our hypothesis. We observed a similar decline in cultures inoculated with producers only, suggesting that cheater mutants arose de novo and swept the population. DNA sequencing showed that genetic changes most likely occurred outside the protease operon. In one experimental replicate, the population regained the ability to produce protease, likely due to further genetic changes or population dynamics. Under spatially structured conditions on agar plates, cheaters did not sweep the population. Instead, we observed a significant increase in the variation of enzyme activity levels expressed by clones isolated from the population. Together these results suggest that restricted diffusion favors a diversity of enzyme production strategies. In contrast, well-mixed conditions favor population sweeps by cheater strains, consistent with theoretical predictions. Cheater and producer strategies likely coexist in natural environments with the frequency of cheating increasing with diffusion rate.","author":[{"dropping-particle":"","family":"Allison","given":"S D","non-dropping-particle":"","parse-names":false,"suffix":""},{"dropping-particle":"","family":"Lu","given":"L","non-dropping-particle":"","parse-names":false,"suffix":""},{"dropping-particle":"","family":"Kent","given":"A G","non-dropping-particle":"","parse-names":false,"suffix":""},{"dropping-particle":"","family":"Martiny","given":"A C","non-dropping-particle":"","parse-names":false,"suffix":""}],"container-title":"Frontiers in Microbiology","id":"ITEM-5","issued":{"date-parts":[["2014"]]},"language":"English","note":"ISI Document Delivery No.: AE8VT\nTimes Cited: 0\nCited Reference Count: 41\nAllison, Steven D. Lu, Lucy Kent, Alyssa G. Martiny, Adam C.\nNsf; nsf grfp [dge-1321846]\nThis research was supported by NSF programs in Population and Evolutionary Processes and Advancing Theory in Biology. Alyssa G. Kent was supported by NSF GRFP DGE-1321846. Ole Nybroe provided P. lluorescens strains ON2 and ON2-pd5 as well as sequence information to locate the protease operon. We thank Mindy Ti, Asma Chahbouni, Sara Ritchie, Stephany Chacon, Zach Rodriguez, Matt Ward, Vivian Lopez, and Stephanie Chen for assistance in the laboratory. We also thank the reviewers for comments that improved the manuscript.\nFrontiers research foundation\nLausanne","title":"Extracellular enzyme production and cheating in Pseudomonas fluorescens depend on diffusion rates","type":"article-journal","volume":"5"},"uris":["http://www.mendeley.com/documents/?uuid=100ab1cc-0a99-4e82-9c9d-361e1a5c9150"]},{"id":"ITEM-6","itemData":{"DOI":"10.1111/ele.12254","ISSN":"1461-0248","PMID":"24529215","abstract":"A mechanistic understanding of microbial assimilation of soil organic carbon is important to improve Earth system models' ability to simulate carbon-climate feedbacks. A simple modelling framework was developed to investigate how substrate quality and environmental controls over microbial activity regulate microbial assimilation of soil organic carbon and on the size of the microbial biomass. Substrate quality has a positive effect on microbial assimilation of soil organic carbon: higher substrate quality leads to higher ratio of microbial carbon to soil organic carbon. Microbial biomass carbon peaks and then declines as cumulative activity increases. The simulated ratios of soil microbial biomass to soil organic carbon are reasonably consistent with a recently compiled global data set at the biome level. The modelling framework developed in this study offers a simple approach to incorporate microbial contributions to the carbon cycling into Earth system models to simulate carbon-climate feedbacks and explain global patterns of microbial biomass.","author":[{"dropping-particle":"","family":"Xu","given":"Xiaofeng F","non-dropping-particle":"","parse-names":false,"suffix":""},{"dropping-particle":"","family":"Schimel","given":"Joshua P","non-dropping-particle":"","parse-names":false,"suffix":""},{"dropping-particle":"","family":"Thornton","given":"Peter E","non-dropping-particle":"","parse-names":false,"suffix":""},{"dropping-particle":"","family":"Song","given":"Xia","non-dropping-particle":"","parse-names":false,"suffix":""},{"dropping-particle":"","family":"Yuan","given":"Fengming M","non-dropping-particle":"","parse-names":false,"suffix":""},{"dropping-particle":"","family":"Goswami","given":"Santonu","non-dropping-particle":"","parse-names":false,"suffix":""}],"container-title":"Ecology letters","id":"ITEM-6","issue":"5","issued":{"date-parts":[["2014","5"]]},"note":"From Duplicate 2 (Substrate and environmental controls on microbial assimilation of soil organic carbon: a framework for Earth system models - Xu, X F; Schimel, J P; Thornton, P E; Song, X; Yuan, F M; Goswami, S)\n\nTimes Cited: 12\nXu, Xiaofeng Schimel, Joshua P. Thornton, Peter E. Song, Xia Yuan, Fengming Goswami, Santonu","page":"547-555","title":"Substrate and environmental controls on microbial assimilation of soil organic carbon: a framework for Earth system models","type":"article-journal","volume":"17"},"uris":["http://www.mendeley.com/documents/?uuid=03b266e5-39f1-4f49-8415-2ef6b468c46a"]},{"id":"ITEM-7","itemData":{"DOI":"10.1016/j.soilbio.2014.08.021","ISBN":"0038-0717","abstract":"Soil organic carbon is chemically heterogeneous, and microbial decomposers face a physiological challenge in metabolizing the diverse array of compounds present in soil. Different classes of polymeric compounds may require specialized enzymatic pathways for degradation, each of which requires an investment of microbial resources. Here we tested the resource allocation hypothesis, which posits that decomposition rates should increase once substrate concentrations are sufficient to overcome biochemical investment costs. We also tested the alternative hypothesis that mixing different substrates increases resource acquisition through priming effects involving generalist enzymes. Using a microcosm approach, we varied the soil concentration of seven distinct substrates individually and in mixture. We found that the percent carbon respired from starch, cellulose, chitin, and the mixture was significantly reduced at the lowest substrate concentration. The activities of beta-glucosidase and N-acetyl-glucosaminidase that target cellulose and chitin, respectively, were also significantly lower at the lowest concentrations of their target substrates. However, we did not observe parallel declines in enzyme activity with starch or the mixture. Some enzymes, such as beta-xylosidase, were consistent with specialist strategies because they showed the highest activity in the presence of their target substrate. Other enzymes were more generalist, with activity observed across multiple substrates. Together, these results suggest that the costs of biochemical machinery limit microbial decomposition of substrates at low concentration. The presence of enzymes with low substrate specificity was not sufficient to overcome this constraint for some substrates. Concentration constraints driven by microbial allocation patterns may be common in mineral soil and could be represented in new biogeochemical models based on microbial physiology. (C) 2014 Elsevier Ltd. All rights reserved.","author":[{"dropping-particle":"","family":"Allison","given":"S D","non-dropping-particle":"","parse-names":false,"suffix":""},{"dropping-particle":"","family":"Chacon","given":"S S","non-dropping-particle":"","parse-names":false,"suffix":""},{"dropping-particle":"","family":"German","given":"D P","non-dropping-particle":"","parse-names":false,"suffix":""}],"container-title":"Soil Biology &amp; Biochemistry","id":"ITEM-7","issued":{"date-parts":[["2014"]]},"language":"English","note":"From Duplicate 1 (Substrate concentration constraints on microbial decomposition - Allison, S D; Chacon, S S; German, D P)\n\nTimes Cited: 3\nAllison, Steven D. Chacon, Stephany S. German, Donovan P.\n\nFrom Duplicate 2 (Substrate concentration constraints on microbial decomposition - Allison, S D; Chacon, S S; German, D P)\n\nISI Document Delivery No.: AS7HX\nTimes Cited: 0\nCited Reference Count: 37\nAllison, Steven D. Chacon, Stephany S. German, Donovan P.\nNSF Advancing Theory in Biology Program [EF-0928388]; UC Irvine Undergraduate Research Opportunity Program; Minority Biomedical Research Support program; UC President's Postdoctoral Fellowship program\nThis research was supported by the NSF Advancing Theory in Biology Program (EF-0928388), the UC Irvine Undergraduate Research Opportunity Program and Minority Biomedical Research Support program, and the UC President's Postdoctoral Fellowship program. We thank two anonymous reviewers for their insightful comments that improved the manuscript.\nPergamon-elsevier science ltd\nOxford","page":"43-49","title":"Substrate concentration constraints on microbial decomposition","type":"article-journal","volume":"79"},"uris":["http://www.mendeley.com/documents/?uuid=2a59ef06-14a0-4083-ad78-198319cdc325"]}],"mendeley":{"formattedCitation":"(Allison, Chacon, &amp; German, 2014; Allison, Lu, Kent, &amp; Martiny, 2014; Don, Rodenbeck, &amp; Gleixner, 2013; Kaiser, Franklin, Richter, &amp; Dieckmann, 2015; la Cecilia, Riley, &amp; Maggi, 2018; Vogel et al., 2015; Xu et al., 2014)","plainTextFormattedCitation":"(Allison, Chacon, &amp; German, 2014; Allison, Lu, Kent, &amp; Martiny, 2014; Don, Rodenbeck, &amp; Gleixner, 2013; Kaiser, Franklin, Richter, &amp; Dieckmann, 2015; la Cecilia, Riley, &amp; Maggi, 2018; Vogel et al., 2015; Xu et al., 2014)","previouslyFormattedCitation":"(Allison, Chacon, &amp; German, 2014; Allison, Lu, Kent, &amp; Martiny, 2014; Don, Rodenbeck, &amp; Gleixner, 2013; Kaiser, Franklin, Richter, &amp; Dieckmann, 2015; la Cecilia, Riley, &amp; Maggi, 2018; Vogel et al., 2015; Xu et al., 2014)"},"properties":{"noteIndex":0},"schema":"https://github.com/citation-style-language/schema/raw/master/csl-citation.json"}</w:instrText>
      </w:r>
      <w:r w:rsidR="00032C55">
        <w:rPr>
          <w:sz w:val="22"/>
          <w:szCs w:val="22"/>
        </w:rPr>
        <w:fldChar w:fldCharType="separate"/>
      </w:r>
      <w:r w:rsidR="00032C55" w:rsidRPr="00032C55">
        <w:rPr>
          <w:noProof/>
          <w:sz w:val="22"/>
          <w:szCs w:val="22"/>
        </w:rPr>
        <w:t>(Allison, Chacon, &amp; German, 2014; Allison, Lu, Kent, &amp; Martiny, 2014; Don, Rodenbeck, &amp; Gleixner, 2013; Kaiser, Franklin, Richter, &amp; Dieckmann, 2015; la Cecilia, Riley, &amp; Maggi, 2018; Vogel et al., 2015; Xu et al., 2014)</w:t>
      </w:r>
      <w:r w:rsidR="00032C55">
        <w:rPr>
          <w:sz w:val="22"/>
          <w:szCs w:val="22"/>
        </w:rPr>
        <w:fldChar w:fldCharType="end"/>
      </w:r>
      <w:r w:rsidRPr="00BE5BB4">
        <w:rPr>
          <w:sz w:val="22"/>
          <w:szCs w:val="22"/>
        </w:rPr>
        <w:t xml:space="preserve"> but have not been fully considered in microbial-explicit soil biogeochemical models yet. Physical structure controls the diffusion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extracellular enzymes towards and/or from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w:t>
      </w:r>
      <w:r w:rsidR="00D30683">
        <w:rPr>
          <w:sz w:val="22"/>
          <w:szCs w:val="22"/>
        </w:rPr>
        <w:fldChar w:fldCharType="begin" w:fldLock="1"/>
      </w:r>
      <w:r w:rsidR="00C6448D">
        <w:rPr>
          <w:sz w:val="22"/>
          <w:szCs w:val="22"/>
        </w:rPr>
        <w:instrText>ADDIN CSL_CITATION {"citationItems":[{"id":"ITEM-1","itemData":{"DOI":"10.1007/s10311-013-0433-3","ISBN":"1610-3653","abstract":"Soils are a key component of the terrestrial carbon cycle as they contain the majority of terrestrial carbon. Soil microorganisms mainly control the accumulation and loss of this carbon. However, traditional concepts of soil carbon stabilisation failed so far to account for environmental and energetic constraints of microorganisms. Here, we demonstrate for the first time that these biological limitations might have the overall control on soil carbon stability. In a long-term experiment, we incubated C-13-labelled compost with natural soils at various soil carbon concentrations. Unexpectedly, we found that soil carbon turnover decreased with lower carbon concentration. We developed a conceptual model that explained these observations. In this model, two types of particles were submitted to random walk movement in the soil profile: soil organic matter substrate and microbial decomposers. Soil carbon turnover depended only on the likelihood of a decomposer particle to meet a substrate particle; in consequence, carbon turnover decreased with lower carbon concentration, like observed in the experiment. This conceptual model was able to simulate realistic depth profiles of soil carbon and soil carbon age. Our results, which are simply based on the application of a two-step kinetic, unmystify the stability of soil carbon and suggest that observations like high carbon ages in subsoil, stability of carbon in fallows and priming of soil carbon might be simply explained by the probability to be decomposed.","author":[{"dropping-particle":"","family":"Don","given":"A","non-dropping-particle":"","parse-names":false,"suffix":""},{"dropping-particle":"","family":"Rodenbeck","given":"C","non-dropping-particle":"","parse-names":false,"suffix":""},{"dropping-particle":"","family":"Gleixner","given":"G","non-dropping-particle":"","parse-names":false,"suffix":""}],"container-title":"Environmental Chemistry Letters","id":"ITEM-1","issue":"4","issued":{"date-parts":[["2013"]]},"language":"English","note":"ISI Document Delivery No.: 256QC\nTimes Cited: 2\nCited Reference Count: 49\nDon, Axel Roedenbeck, Christian Gleixner, Gerd\nSpringer heidelberg\nHeidelberg","page":"407-413","title":"Unexpected control of soil carbon turnover by soil carbon concentration","type":"article-journal","volume":"11"},"uris":["http://www.mendeley.com/documents/?uuid=7cf1aa36-a84b-4d55-9ab7-ddab9f5a7d1d"]},{"id":"ITEM-2","itemData":{"DOI":"169\r10.3389/fmicb.2014.00169","ISBN":"1664-302X","abstract":"Bacteria produce extracellular enzymes to obtain resources from complex chemical substrates, but this strategy is vulnerable to cheating by cells that take up reaction products without paying the cost of enzyme production. We hypothesized that cheating would suppress enzyme production in co-cultures of cheater and producer bacteria, particularly under well-mixed conditions. To test this hypothesis, we monitored protease expression and frequencies of Pseudomonas fluorescens producer and cheater genotypes over time in mixed liquid cultures and on agar plates. In mixed culture inoculated with equal frequencies of cheaters and producers, enzyme concentration declined to zero after 20 days, consistent with our hypothesis. We observed a similar decline in cultures inoculated with producers only, suggesting that cheater mutants arose de novo and swept the population. DNA sequencing showed that genetic changes most likely occurred outside the protease operon. In one experimental replicate, the population regained the ability to produce protease, likely due to further genetic changes or population dynamics. Under spatially structured conditions on agar plates, cheaters did not sweep the population. Instead, we observed a significant increase in the variation of enzyme activity levels expressed by clones isolated from the population. Together these results suggest that restricted diffusion favors a diversity of enzyme production strategies. In contrast, well-mixed conditions favor population sweeps by cheater strains, consistent with theoretical predictions. Cheater and producer strategies likely coexist in natural environments with the frequency of cheating increasing with diffusion rate.","author":[{"dropping-particle":"","family":"Allison","given":"S D","non-dropping-particle":"","parse-names":false,"suffix":""},{"dropping-particle":"","family":"Lu","given":"L","non-dropping-particle":"","parse-names":false,"suffix":""},{"dropping-particle":"","family":"Kent","given":"A G","non-dropping-particle":"","parse-names":false,"suffix":""},{"dropping-particle":"","family":"Martiny","given":"A C","non-dropping-particle":"","parse-names":false,"suffix":""}],"container-title":"Frontiers in Microbiology","id":"ITEM-2","issued":{"date-parts":[["2014"]]},"language":"English","note":"ISI Document Delivery No.: AE8VT\nTimes Cited: 0\nCited Reference Count: 41\nAllison, Steven D. Lu, Lucy Kent, Alyssa G. Martiny, Adam C.\nNsf; nsf grfp [dge-1321846]\nThis research was supported by NSF programs in Population and Evolutionary Processes and Advancing Theory in Biology. Alyssa G. Kent was supported by NSF GRFP DGE-1321846. Ole Nybroe provided P. lluorescens strains ON2 and ON2-pd5 as well as sequence information to locate the protease operon. We thank Mindy Ti, Asma Chahbouni, Sara Ritchie, Stephany Chacon, Zach Rodriguez, Matt Ward, Vivian Lopez, and Stephanie Chen for assistance in the laboratory. We also thank the reviewers for comments that improved the manuscript.\nFrontiers research foundation\nLausanne","title":"Extracellular enzyme production and cheating in Pseudomonas fluorescens depend on diffusion rates","type":"article-journal","volume":"5"},"uris":["http://www.mendeley.com/documents/?uuid=100ab1cc-0a99-4e82-9c9d-361e1a5c9150"]},{"id":"ITEM-3","itemData":{"DOI":"10.1002/2014JG002701","ISBN":"2169-8961","ISSN":"21698961","abstract":"Conventional Q10 soil organic matter decomposition models and more complex microbial models are available for making projections of future soil carbon dynamics. However, it is unclear (1) how well the conceptually different approaches can simulate observed decomposition and (2) to what extent the trajectories of long-term simulations differ when using the different approaches. In this study, we compared three structurally different soil carbon (C) decomposition models (one Q10 and two microbial models of different complexity), each with a one- and two-horizon version. The models were calibrated and validated using 4 years of measurements of heterotrophic soil CO2 efflux from trenched plots in a Dahurian larch (Larix gmelinii Rupr.) plantation. All models reproduced the observed heterotrophic component of soil CO2 efflux, but the trajectories of soil carbon dynamics differed substantially in 100 year simulations with and without warming and increased litterfall input, with microbial models that produced better agreement with observed changes in soil organic C in long-term warming experiments. Our results also suggest that both constant and varying carbon use efficiency are plausible when modeling future decomposition dynamics and that the use of a short-term (e.g., a few years) period of measurement is insufficient to adequately constrain model parameters that represent long-term responses of microbial thermal adaption. These results highlight the need to reframe the representation of decomposition models and to constrain parameters with long-term observations and multiple data streams. We urge caution in interpreting future soil carbon responses derived from existing decomposition models because both conceptual and parameter uncertainties are substantial.","author":[{"dropping-particle":"","family":"He","given":"Yujie","non-dropping-particle":"","parse-names":false,"suffix":""},{"dropping-particle":"","family":"Yang","given":"Jinyan","non-dropping-particle":"","parse-names":false,"suffix":""},{"dropping-particle":"","family":"Zhuang","given":"Qianlai","non-dropping-particle":"","parse-names":false,"suffix":""},{"dropping-particle":"","family":"McGuire","given":"Anthony D.","non-dropping-particle":"","parse-names":false,"suffix":""},{"dropping-particle":"","family":"Zhu","given":"Qing","non-dropping-particle":"","parse-names":false,"suffix":""},{"dropping-particle":"","family":"Liu","given":"Yaling","non-dropping-particle":"","parse-names":false,"suffix":""},{"dropping-particle":"","family":"Teskey","given":"Robert O.","non-dropping-particle":"","parse-names":false,"suffix":""}],"container-title":"Journal of Geophysical Research: Biogeosciences","id":"ITEM-3","issue":"9","issued":{"date-parts":[["2014","9","1"]]},"page":"1892-1905","publisher":"Wiley-Blackwell","title":"Uncertainty in the fate of soil organic carbon: A comparison of three conceptually different decomposition models at a larch plantation","type":"article-journal","volume":"119"},"uris":["http://www.mendeley.com/documents/?uuid=960bb263-9c10-3faf-a611-b2cfcdd4244d"]},{"id":"ITEM-4","itemData":{"DOI":"10.1016/j.soilbio.2013.11.019","ISBN":"0038-0717","abstract":"Spatial distribution of soil microorganisms is relevant for the functioning and performance of many ecosystem processes such as nutrient cycling or biodegradation of organic matters and contaminants. Beside the multitude of abiotic environmental factors controlling the distribution of microorganisms in soil systems, many microbial species exhibit chemotactic behavior by directing their movement along concentration gradients of nutrients or of chemoattractants produced by cells of their own kind. This chemotactic ability has been shown to promote the formation of complex distribution patterns even in the absence of environmental heterogeneities. Microbial population patterns in heterogeneous soil systems might be, hence, the result of the interplay between the heterogeneous environmental conditions and the microorganisms' intrinsic pattern formation capabilities. In this modeling study, we combined an individual-based modeling approach with a reactive pore-network model to investigate the formation of bacterial patterns in homogeneous and heterogeneous porous media. We investigated the influence of different bacterial chemotactic sensitivities (toward both substrate and bacteria) on bacterial distribution patterns. The emerging population patterns were classified with the support of a geostatistical approach, and the required conditions for the formation of any specific pattern were analyzed. Results showed that the chemotactic behavior of the bacteria leads to non-trivial population patterns even in the absence of environmental heterogeneities. The presence of structural pore scale heterogeneities had also an impact on bacterial distributions. For a range of chemotactic sensitivities, microorganisms tend to migrate preferably from larger pores toward smaller pores and the resulting distribution patterns thus resembled the heterogeneity of the pore space. The results clearly indicated that in a porous medium like soil the distribution of bacteria may not only be related to the external constraints but also to the chemotactic behavior of the bacterial cells. (C) 2013 Elsevier Ltd. All rights reserved.","author":[{"dropping-particle":"","family":"Gharasoo","given":"M","non-dropping-particle":"","parse-names":false,"suffix":""},{"dropping-particle":"","family":"Centler","given":"F","non-dropping-particle":"","parse-names":false,"suffix":""},{"dropping-particle":"","family":"Fetzer","given":"I","non-dropping-particle":"","parse-names":false,"suffix":""},{"dropping-particle":"","family":"Thullner","given":"M","non-dropping-particle":"","parse-names":false,"suffix":""}],"container-title":"Soil Biology &amp; Biochemistry","id":"ITEM-4","issued":{"date-parts":[["2014"]]},"language":"English","note":"ISI Document Delivery No.: AC1MV\nTimes Cited: 2\nCited Reference Count: 61\nGharasoo, Mehdi Centler, Florian Fetzer, Ingo Thullner, Martin\nEuropean Union Marie Curie Host Early Stage Training (EST) [MC-EST 20984]; Helmholtz Association [VG-NG-338]\nThis research was funded by the European Union Marie Curie Host Early Stage Training (EST) through grant MC-EST 20984 (RAISEBIO). Additional funding was provided by the Helmholtz Association via grant VG-NG-338 (GReaT MODE) and program topic 'CITE-Chemicals in the Environment'.\nPergamon-elsevier science ltd\nOxford","page":"346-358","title":"How the chemotactic characteristics of bacteria can determine their population patterns","type":"article-journal","volume":"69"},"uris":["http://www.mendeley.com/documents/?uuid=e5357055-ed47-469a-9b8e-a7cb6dbd79fa"]},{"id":"ITEM-5","itemData":{"DOI":"10.1016/j.soilbio.2014.02.008","abstract":"Soil microbes face highly variable moisture conditions that force them to develop adaptations to tolerate or avoid drought. Drought conditions also limit the supply of vital substrates by inhibiting diffusion in dry conditions. How these biological and physical factors affect carbon (C) cycling in soils is addressed here by means of a novel process-based model. The model accounts for different microbial response strategies, including different modes of osmoregulation, drought avoidance through dormancy, and extra-cellular enzyme production. Diffusion limitations induced by low moisture levels for both extracellular enzymes and solutes are also described and coupled to the biological responses. Alternative microbial life-history strategies, each encoded in a set of model parameters, are considered and their effects on C cycling assessed both in the long term (steady state ahalysis) and in the short term (transient analysis during soil drying and rewetting). Drought resistance achieved by active osmoregulation requiring large C investment is not useful in soils where growth in dry conditions is limited by C supply. In contrast, dormancy followed by rapid reactivation upon rewetting seems to be a better strategy in such conditions. Synthesizing more enzymes may also be advantageous because it causes larger accumulation of depolymerized products during dry periods that can be used upon rewetting. Based on key model parameters, a spectrum of life-history strategies thus emerges, providing a possible classification of microbial responses to drought. (C) 2014 Elsevier Ltd. All rights reserved.","author":[{"dropping-particle":"","family":"Manzoni","given":"S","non-dropping-particle":"","parse-names":false,"suffix":""},{"dropping-particle":"","family":"Schaeffer","given":"S M","non-dropping-particle":"","parse-names":false,"suffix":""},{"dropping-particle":"","family":"Katul","given":"G","non-dropping-particle":"","parse-names":false,"suffix":""},{"dropping-particle":"","family":"Porporato","given":"A","non-dropping-particle":"","parse-names":false,"suffix":""},{"dropping-particle":"","family":"Schimel","given":"J P","non-dropping-particle":"","parse-names":false,"suffix":""}],"container-title":"Soil Biology &amp; Biochemistry","id":"ITEM-5","issued":{"date-parts":[["2014"]]},"note":"Times Cited: 15\nManzoni, S. Schaeffer, S. M. Katul, G. Porporato, A. Schimel, J. P.","page":"69-83","title":"A theoretical analysis of microbial eco-physiological and diffusion limitations to carbon cycling in drying soils","type":"article-journal","volume":"73"},"uris":["http://www.mendeley.com/documents/?uuid=35a11b43-0784-4ea5-8838-c75afcfb55e0"]}],"mendeley":{"formattedCitation":"(Allison, Lu, et al., 2014; Don et al., 2013; M Gharasoo, Centler, Fetzer, &amp; Thullner, 2014; He et al., 2014; Manzoni, Schaeffer, Katul, Porporato, &amp; Schimel, 2014)","plainTextFormattedCitation":"(Allison, Lu, et al., 2014; Don et al., 2013; M Gharasoo, Centler, Fetzer, &amp; Thullner, 2014; He et al., 2014; Manzoni, Schaeffer, Katul, Porporato, &amp; Schimel, 2014)","previouslyFormattedCitation":"(Allison, Lu, et al., 2014; Don et al., 2013; M Gharasoo, Centler, Fetzer, &amp; Thullner, 2014; He et al., 2014; Manzoni, Schaeffer, Katul, Porporato, &amp; Schimel, 2014)"},"properties":{"noteIndex":0},"schema":"https://github.com/citation-style-language/schema/raw/master/csl-citation.json"}</w:instrText>
      </w:r>
      <w:r w:rsidR="00D30683">
        <w:rPr>
          <w:sz w:val="22"/>
          <w:szCs w:val="22"/>
        </w:rPr>
        <w:fldChar w:fldCharType="separate"/>
      </w:r>
      <w:r w:rsidR="00C6448D" w:rsidRPr="00C6448D">
        <w:rPr>
          <w:noProof/>
          <w:sz w:val="22"/>
          <w:szCs w:val="22"/>
        </w:rPr>
        <w:t>(Allison, Lu, et al., 2014; Don et al., 2013; M Gharasoo, Centler, Fetzer, &amp; Thullner, 2014; He et al., 2014; Manzoni, Schaeffer, Katul, Porporato, &amp; Schimel, 2014)</w:t>
      </w:r>
      <w:r w:rsidR="00D30683">
        <w:rPr>
          <w:sz w:val="22"/>
          <w:szCs w:val="22"/>
        </w:rPr>
        <w:fldChar w:fldCharType="end"/>
      </w:r>
      <w:r w:rsidRPr="00BE5BB4">
        <w:rPr>
          <w:sz w:val="22"/>
          <w:szCs w:val="22"/>
        </w:rPr>
        <w:t xml:space="preserve">. In mineral soils with low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w:t>
      </w:r>
      <w:r w:rsidRPr="00BE5BB4">
        <w:rPr>
          <w:sz w:val="22"/>
          <w:szCs w:val="22"/>
        </w:rPr>
        <w:lastRenderedPageBreak/>
        <w:t xml:space="preserve">concentrations, the diffusion limits can lead to physical separation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increasing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turnover time dramatically </w:t>
      </w:r>
      <w:r w:rsidR="00D30683">
        <w:rPr>
          <w:sz w:val="22"/>
          <w:szCs w:val="22"/>
        </w:rPr>
        <w:fldChar w:fldCharType="begin" w:fldLock="1"/>
      </w:r>
      <w:r w:rsidR="00D30683">
        <w:rPr>
          <w:sz w:val="22"/>
          <w:szCs w:val="22"/>
        </w:rPr>
        <w:instrText>ADDIN CSL_CITATION {"citationItems":[{"id":"ITEM-1","itemData":{"DOI":"10.1038/nature10386","ISBN":"0028-0836","abstract":"Globally, soil organic matter (SOM) contains more than three times as much carbon as either the atmosphere or terrestrial vegetation. Yet it remains largely unknown why some SOM persists for millennia whereas other SOM decomposes readily-and this limits our ability to predict how soils will respond to climate change. Recent analytical and experimental advances have demonstrated that molecular structure alone does not control SOM stability: in fact, environmental and biological controls predominate. Here we propose ways to include this understanding in a new generation of experiments and soil carbon models, thereby improving predictions of the SOM response to global warming.","author":[{"dropping-particle":"","family":"Schmidt","given":"Michael W I","non-dropping-particle":"","parse-names":false,"suffix":""},{"dropping-particle":"","family":"Torn","given":"Margaret S","non-dropping-particle":"","parse-names":false,"suffix":""},{"dropping-particle":"","family":"Abiven","given":"Samuel","non-dropping-particle":"","parse-names":false,"suffix":""},{"dropping-particle":"","family":"Dittmar","given":"Thorsten","non-dropping-particle":"","parse-names":false,"suffix":""},{"dropping-particle":"","family":"Guggenberger","given":"Georg","non-dropping-particle":"","parse-names":false,"suffix":""},{"dropping-particle":"","family":"Janssens","given":"Ivan A","non-dropping-particle":"","parse-names":false,"suffix":""},{"dropping-particle":"","family":"Kleber","given":"Markus","non-dropping-particle":"","parse-names":false,"suffix":""},{"dropping-particle":"","family":"Kögel-Knabner","given":"Ingrid","non-dropping-particle":"","parse-names":false,"suffix":""},{"dropping-particle":"","family":"Lehmann","given":"Johannes","non-dropping-particle":"","parse-names":false,"suffix":""},{"dropping-particle":"","family":"Manning","given":"David A C","non-dropping-particle":"","parse-names":false,"suffix":""},{"dropping-particle":"","family":"Nannipieri","given":"Paolo","non-dropping-particle":"","parse-names":false,"suffix":""},{"dropping-particle":"","family":"Rasse","given":"Daniel P","non-dropping-particle":"","parse-names":false,"suffix":""},{"dropping-particle":"","family":"Weiner","given":"Steve","non-dropping-particle":"","parse-names":false,"suffix":""},{"dropping-particle":"","family":"Trumbore","given":"Susan E","non-dropping-particle":"","parse-names":false,"suffix":""},{"dropping-particle":"","family":"Kogel-Knabner","given":"I","non-dropping-particle":"","parse-names":false,"suffix":""},{"dropping-particle":"","family":"Lehmann","given":"Johannes","non-dropping-particle":"","parse-names":false,"suffix":""},{"dropping-particle":"","family":"Manning","given":"David A C","non-dropping-particle":"","parse-names":false,"suffix":""},{"dropping-particle":"","family":"Nannipieri","given":"Paolo","non-dropping-particle":"","parse-names":false,"suffix":""},{"dropping-particle":"","family":"Rasse","given":"Daniel P","non-dropping-particle":"","parse-names":false,"suffix":""},{"dropping-particle":"","family":"Weiner","given":"Steve","non-dropping-particle":"","parse-names":false,"suffix":""},{"dropping-particle":"","family":"Trumbore","given":"Susan E","non-dropping-particle":"","parse-names":false,"suffix":""}],"container-title":"Nature","id":"ITEM-1","issue":"7367","issued":{"date-parts":[["2011"]]},"note":"From Duplicate 1 (Persistence of soil organic matter as an ecosystem property - Schmidt, M W I; Torn, M S; Abiven, S; Dittmar, T; Guggenberger, G; Janssens, I A; Kleber, M; Kogel-Knabner, I; Lehmann, J; Manning, D A C; Nannipieri, P; Rasse, D P; Weiner, S; Trumbore, S E)\n\nSchmidt, Michael W. I. Torn, Margaret S. Abiven, Samuel Dittmar, Thorsten Guggenberger, Georg Janssens, Ivan A. Kleber, Markus Koegel-Knabner, Ingrid Lehmann, Johannes Manning, David A. C. Nannipieri, Paolo Rasse, Daniel P. Weiner, Steve Trumbore, Susan E.","page":"49-56","title":"Persistence of soil organic matter as an ecosystem property","type":"article-journal","volume":"478"},"uris":["http://www.mendeley.com/documents/?uuid=09ae2c0e-48d1-4ba0-b534-2c4c114b6386"]},{"id":"ITEM-2","itemData":{"DOI":"10.1002/jpln.200700051","ISBN":"1436-8730","abstract":"We review recent experimental results on the role of soil biota in stabilizing or destabilizing soil organic matter (SOM). Specifically, we analyze how the differential substrate utilization of the various decomposer organisms contributes to a decorrelation of chemical stability, residence time, and carbon (C) age of organic substrates.. Along soil depth profiles, a mismatch of C allocation and abundance of decomposer organisms is consistently observed, revealing that a relevant proportion of soil C is not subjected to efficient decomposition. Results from recent field and laboratory experiments suggest that (1) bacterial utilization of labile carbon compounds is limited by short-distance transport processes and, therefore, can take place deep in the soil under conditions of effective local diffusion or convection . In contrast, (2) fungal utilization of phenolic substrates, including lignin, appears to be restricted to the upper soil layer due to the requirement for oxygen of the enzymatic reaction involved. (3) Carbon of any age is utilized by soil microorganisms, and microbial C is recycled in the microbial food web. Due to stoichiometric requirements of their metabolism, (4) soil animals tend to reduce the C concentration of SOM disproportionally, until it reaches a threshold level. The reviewed investigations provide new and quantitative evidence that different soil C pools underlie divergent biological constraints of decomposition. The specialization of decomposers towards different substrates and microhabitats leads to a relatively longer persistence of virtually all kinds of organic substrates in the nonpreferred soil spaces. We therefore propose to direct future research explicitly towards such biologically nonpreferred areas where decomposition rates are slow, or where decomposition is frequently interrupted, in order to assess the potential for long-term preservation of C in the soil.","author":[{"dropping-particle":"","family":"Ekschmitt","given":"Klemens","non-dropping-particle":"","parse-names":false,"suffix":""},{"dropping-particle":"","family":"Kandeler","given":"Ellen","non-dropping-particle":"","parse-names":false,"suffix":""},{"dropping-particle":"","family":"Poll","given":"Christian","non-dropping-particle":"","parse-names":false,"suffix":""},{"dropping-particle":"","family":"Brune","given":"Andreas","non-dropping-particle":"","parse-names":false,"suffix":""},{"dropping-particle":"","family":"Buscot","given":"Francois","non-dropping-particle":"","parse-names":false,"suffix":""},{"dropping-particle":"","family":"Friedrich","given":"Michael","non-dropping-particle":"","parse-names":false,"suffix":""},{"dropping-particle":"","family":"Gleixner","given":"Gerd","non-dropping-particle":"","parse-names":false,"suffix":""},{"dropping-particle":"","family":"Hartmann","given":"Anton","non-dropping-particle":"","parse-names":false,"suffix":""},{"dropping-particle":"","family":"Kästner","given":"Matthias","non-dropping-particle":"","parse-names":false,"suffix":""},{"dropping-particle":"","family":"Marhan","given":"Sven","non-dropping-particle":"","parse-names":false,"suffix":""},{"dropping-particle":"","family":"Miltner","given":"Anja","non-dropping-particle":"","parse-names":false,"suffix":""},{"dropping-particle":"","family":"Scheu","given":"Stefan","non-dropping-particle":"","parse-names":false,"suffix":""},{"dropping-particle":"","family":"Wolters","given":"Volkmar","non-dropping-particle":"","parse-names":false,"suffix":""},{"dropping-particle":"","family":"Kastner","given":"M","non-dropping-particle":"","parse-names":false,"suffix":""},{"dropping-particle":"","family":"Marhan","given":"Sven","non-dropping-particle":"","parse-names":false,"suffix":""},{"dropping-particle":"","family":"Miltner","given":"Anja","non-dropping-particle":"","parse-names":false,"suffix":""},{"dropping-particle":"","family":"Scheu","given":"Stefan","non-dropping-particle":"","parse-names":false,"suffix":""},{"dropping-particle":"","family":"Wolters","given":"Volkmar","non-dropping-particle":"","parse-names":false,"suffix":""}],"container-title":"Journal of Plant Nutrition and Soil Science-Zeitschrift Fur Pflanzenernahrung Und Bodenkunde","id":"ITEM-2","issue":"1","issued":{"date-parts":[["2008"]]},"language":"English","note":"From Duplicate 1 (Soil-carbon preservation through habitat constraints and biological limitations on decomposer activity - Ekschmitt, K; Kandeler, E; Poll, C; Brune, A; Buscot, F; Friedrich, M; Gleixner, G; Hartmann, A; Kastner, M; Marhan, S; Miltner, A; Scheu, S; Wolters, V)\n\nISI Document Delivery No.: 266JJ\nTimes Cited: 14\nCited Reference Count: 66\nEkschmitt, Klemens Kandeler, Ellen Poll, Christian Brune, Andreas Buscot, Francois Friedrich, Michael Gleixner, Gerd Hartmann, Anton Kastner, Matthias Marhan, Sven Miltner, Anja Scheu, Stefan Wolters, Volkmar\nWiley-v c h verlag gmbh\nWeinheim","page":"27-35","title":"Soil-carbon preservation through habitat constraints and biological limitations on decomposer activity","type":"article-journal","volume":"171"},"uris":["http://www.mendeley.com/documents/?uuid=e63f1bb1-afb0-44cc-8d73-efb3ea4bea3b"]}],"mendeley":{"formattedCitation":"(Ekschmitt et al., 2008; Schmidt et al., 2011)","plainTextFormattedCitation":"(Ekschmitt et al., 2008; Schmidt et al., 2011)","previouslyFormattedCitation":"(Ekschmitt et al., 2008; Schmidt et al., 2011)"},"properties":{"noteIndex":0},"schema":"https://github.com/citation-style-language/schema/raw/master/csl-citation.json"}</w:instrText>
      </w:r>
      <w:r w:rsidR="00D30683">
        <w:rPr>
          <w:sz w:val="22"/>
          <w:szCs w:val="22"/>
        </w:rPr>
        <w:fldChar w:fldCharType="separate"/>
      </w:r>
      <w:r w:rsidR="00D30683" w:rsidRPr="00D30683">
        <w:rPr>
          <w:noProof/>
          <w:sz w:val="22"/>
          <w:szCs w:val="22"/>
        </w:rPr>
        <w:t>(Ekschmitt et al., 2008; Schmidt et al., 2011)</w:t>
      </w:r>
      <w:r w:rsidR="00D30683">
        <w:rPr>
          <w:sz w:val="22"/>
          <w:szCs w:val="22"/>
        </w:rPr>
        <w:fldChar w:fldCharType="end"/>
      </w:r>
      <w:r w:rsidRPr="00BE5BB4">
        <w:rPr>
          <w:sz w:val="22"/>
          <w:szCs w:val="22"/>
        </w:rPr>
        <w:t xml:space="preserve">. In contrast to mineral soils, organic substrate composition has been suggested to be a primary control of the turnover time of plant litter and organic material in the top soil horizons </w:t>
      </w:r>
      <w:r w:rsidR="00D30683">
        <w:rPr>
          <w:sz w:val="22"/>
          <w:szCs w:val="22"/>
        </w:rPr>
        <w:fldChar w:fldCharType="begin" w:fldLock="1"/>
      </w:r>
      <w:r w:rsidR="00D30683">
        <w:rPr>
          <w:sz w:val="22"/>
          <w:szCs w:val="22"/>
        </w:rPr>
        <w:instrText>ADDIN CSL_CITATION {"citationItems":[{"id":"ITEM-1","itemData":{"DOI":"10.1007/978-3-642-38821-7","ISBN":"978-3-642-38820-0","abstract":"Since the publication of the 2nd edition, there have been substantial developments in the field of litter decomposition. This fully revised and updated 3rd edition of Plant Litter reflects and discusses new findings and re-evaluates earlier ones in light of recent research and with regard to current areas of investigation. The availability of several long-term studies allows a more in-depth approach to decomposition patterns and to the later stages of decomposition, as well as to humus formation and accumulation. The latest information focuses on three fields: - the effects of manganese on decomposition and possibly on carbon sequestration, - new findings on decomposition dynamics, and - the new analytical technique using 13C-NMR.","author":[{"dropping-particle":"","family":"Berg","given":"Björn","non-dropping-particle":"","parse-names":false,"suffix":""},{"dropping-particle":"","family":"McClaugherty","given":"Charles","non-dropping-particle":"","parse-names":false,"suffix":""}],"container-title":"Plant Litter: Decomposition, Humus Formation, Carbon Sequestration","id":"ITEM-1","issued":{"date-parts":[["2014"]]},"number-of-pages":"1-315","publisher":"Springer Berlin Heidelberg","publisher-place":"Berlin, Heidelberg","title":"Plant Litter","type":"book"},"uris":["http://www.mendeley.com/documents/?uuid=d8536d86-6b13-482f-97b5-d4c91119e586"]},{"id":"ITEM-2","itemData":{"DOI":"10.1016/j.soilbio.2008.07.003","ISBN":"0038-0717","author":[{"dropping-particle":"","family":"Herman","given":"John","non-dropping-particle":"","parse-names":false,"suffix":""},{"dropping-particle":"","family":"Moorhead","given":"Daryl","non-dropping-particle":"","parse-names":false,"suffix":""},{"dropping-particle":"","family":"Berg","given":"Bjorn","non-dropping-particle":"","parse-names":false,"suffix":""}],"container-title":"Soil Biology &amp; Biochemistry","id":"ITEM-2","issue":"10","issued":{"date-parts":[["2008"]]},"note":"Times Cited: 25","page":"2620-2626","title":"The relationship between rates of lignin and cellulose decay in aboveground forest litter","type":"article-journal","volume":"40"},"uris":["http://www.mendeley.com/documents/?uuid=fa8c26d8-77c0-4733-a923-38edafab0778"]},{"id":"ITEM-3","itemData":{"DOI":"10.1046/j.1365-2486.2003.00637.x","ISBN":"1354-1013","ISSN":"1354-1013","abstract":"Recent research has shown that the broad empirical relationships used in many ecosystem models to predict carbon turnover and stabilization in soils can fail to capture differences across vegetation types or climates. Theoretically, because energy flow is fundamental to the function of decomposer organisms and ecosystems, energetics could provide complimentary fundamental constraints on soil C dynamics. Often, however, C is considered as a surrogate for energy in studies of detrital decay and C turnover in soil. Bomb calorimetry has long been used to measure stored energy in organic matter, but in detritus not all of the energy is bioavailable. Here I outline an approach to quantify the flux of bioavailable energy dissipated by resident heterotrophic communities in soil organic horizons in situ. I used the principle of energy balance together with a biogeochemical process model parameterized through calorimetric analysis of field samples. I also tested relationships between C and energy across samples of forest detritus (foliar and fine root litter, well-decayed Oea material, and woody debris), across decay stages, and between a deciduous and coniferous forest at the Harvard Forest, MA, USA. As a first approximation, energy and C concentrations were closely related (within ca. 10%), as were ratios of heterotrophic energy dissipation to C mineralization across types of detritus (within 16%). Differences in energy content and energy: C ratios were measurable in forest detritus (particularly woody vs nonwoody), but did not vary reliably enough between forest types or through detrital stages to indicate that soil C models could be improved by including energetics. Model results indicated that there are strong similarities in energy flows and storage in the O horizons of the contrasting forest types studied at this location. Future research could focus on broader patterns across climates or biomes.","author":[{"dropping-particle":"","family":"Currie","given":"William S.","non-dropping-particle":"","parse-names":false,"suffix":""}],"container-title":"Global Change Biology","id":"ITEM-3","issue":"6","issued":{"date-parts":[["2003","6"]]},"language":"English","note":"From Duplicate 2 (Relationships between carbon turnover and bioavailable energy fluxes in two temperate forest soils - Currie, W S)\n\nISI Document Delivery No.: 693MJ\nTimes Cited: 5\nCited Reference Count: 64\nCurrie, WS\nWiley-blackwell\nMalden","page":"919-929","title":"Relationships between carbon turnover and bioavailable energy fluxes in two temperate forest soils","type":"article-journal","volume":"9"},"uris":["http://www.mendeley.com/documents/?uuid=d8bfbffe-9d11-4f8d-918f-d158d1030e9b"]},{"id":"ITEM-4","itemData":{"DOI":"10.1111/gcb.12417","ISBN":"1354-1013","abstract":"High-latitude ecosystems store approximately 1700Pg of soil carbon (C), which is twice as much C as is currently contained in the atmosphere. Permafrost thaw and subsequent microbial decomposition of permafrost organic matter could add large amounts of C to the atmosphere, thereby influencing the global C cycle. The rates at which C is being released from the permafrost zone at different soil depths and across different physiographic regions are poorly understood but crucial in understanding future changes in permafrost C storage with climate change. We assessed the inherent decomposability of C from the permafrost zone by assembling a database of long-term (&gt;1year) aerobic soil incubations from 121 individual samples from 23 high-latitude ecosystems located across the northern circumpolar permafrost zone. Using a three-pool (i.e., fast, slow and passive) decomposition model, we estimated pool sizes for C fractions with different turnover times and their inherent decomposition rates using a reference temperature of 5 degrees C. Fast cycling C accounted for less than 5% of all C in both organic and mineral soils whereas the pool size of slow cycling C increased with C:N. Turnover time at 5 degrees C of fast cycling C typically was below 1year, between 5 and 15years for slow turning over C, and more than 500years for passive C. We project that between 20 and 90% of the organic C could potentially be mineralized to CO2 within 50 incubation years at a constant temperature of 5 degrees C, with vulnerability to loss increasing in soils with higher C:N. These results demonstrate the variation in the vulnerability of C stored in permafrost soils based on inherent differences in organic matter decomposability, and point toward C:N as an index of decomposability that has the potential to be used to scale permafrost C loss across landscapes.","author":[{"dropping-particle":"","family":"Schädel","given":"Christina","non-dropping-particle":"","parse-names":false,"suffix":""},{"dropping-particle":"","family":"Schuur","given":"Edward A G","non-dropping-particle":"","parse-names":false,"suffix":""},{"dropping-particle":"","family":"Bracho","given":"Rosvel","non-dropping-particle":"","parse-names":false,"suffix":""},{"dropping-particle":"","family":"Elberling","given":"Bo","non-dropping-particle":"","parse-names":false,"suffix":""},{"dropping-particle":"","family":"Knoblauch","given":"Christian","non-dropping-particle":"","parse-names":false,"suffix":""},{"dropping-particle":"","family":"Lee","given":"Hanna","non-dropping-particle":"","parse-names":false,"suffix":""},{"dropping-particle":"","family":"Luo","given":"Yiqi Q","non-dropping-particle":"","parse-names":false,"suffix":""},{"dropping-particle":"","family":"Shaver","given":"Gaius R","non-dropping-particle":"","parse-names":false,"suffix":""},{"dropping-particle":"","family":"Turetsky","given":"Merritt R","non-dropping-particle":"","parse-names":false,"suffix":""},{"dropping-particle":"","family":"Schadel","given":"C","non-dropping-particle":"","parse-names":false,"suffix":""},{"dropping-particle":"","family":"Schuur","given":"Edward A G","non-dropping-particle":"","parse-names":false,"suffix":""},{"dropping-particle":"","family":"Bracho","given":"Rosvel","non-dropping-particle":"","parse-names":false,"suffix":""},{"dropping-particle":"","family":"Elberling","given":"Bo","non-dropping-particle":"","parse-names":false,"suffix":""},{"dropping-particle":"","family":"Knoblauch","given":"Christian","non-dropping-particle":"","parse-names":false,"suffix":""},{"dropping-particle":"","family":"Lee","given":"Hanna","non-dropping-particle":"","parse-names":false,"suffix":""},{"dropping-particle":"","family":"Luo","given":"Yiqi Q","non-dropping-particle":"","parse-names":false,"suffix":""},{"dropping-particle":"","family":"Shaver","given":"Gaius R","non-dropping-particle":"","parse-names":false,"suffix":""},{"dropping-particle":"","family":"Turetsky","given":"Merritt R","non-dropping-particle":"","parse-names":false,"suffix":""}],"container-title":"Global Change Biology","id":"ITEM-4","issue":"2","issued":{"date-parts":[["2014"]]},"language":"English","note":"From Duplicate 1 (Circumpolar assessment of permafrost C quality and its vulnerability over time using long-term incubation data - Schadel, C; Schuur, E A G; Bracho, R; Elberling, B; Knoblauch, C; Lee, H; Luo, Y Q; Shaver, G R; Turetsky, M R)\n\nISI Document Delivery No.: 284VQ\nTimes Cited: 0\nCited Reference Count: 57\nSchaedel, Christina Schuur, Edward A. G. Bracho, Rosvel Elberling, Bo Knoblauch, Christian Lee, Hanna Luo, Yiqi Shaver, Gaius R. Turetsky, Merritt R.\nNSF Bonanza Creek LTER; NSF CAREER Program; Department of Energy NICCR; Department of Energy TES; U.S. National Parks; Inventory Monitoring Program; Danish National Research Foundation [CENPERM DNRF100]; European Union FP7-ENVIRONMENT project PAGE21; National Science Foundation Vulnerability of Permafrost Carbon Research Coordination Network [955713]\nFigure 1 was prepared by Gustaf Hugelius from Stockholm University, Sweden. The authors thank Caitlin Hicks Pries for statistical help and April Melvin for valuable comments on the manuscript. This study relied on funds, in part, from the following sources: NSF Bonanza Creek LTER, NSF CAREER Program, Department of Energy NICCR and TES, the U.S. National Parks and Inventory Monitoring Program and the Danish National Research Foundation (CENPERM DNRF100) and the European Union FP7-ENVIRONMENT project PAGE21 under contract no. GA282700. In addition, funding was also provided by National Science Foundation Vulnerability of Permafrost Carbon Research Coordination Network Grant no. 955713.\nWiley-blackwell\nHoboken","page":"641-652","title":"Circumpolar assessment of permafrost C quality and its vulnerability over time using long-term incubation data","type":"article-journal","volume":"20"},"uris":["http://www.mendeley.com/documents/?uuid=b2333e7e-655c-454c-86bb-11629921810f"]}],"mendeley":{"formattedCitation":"(Berg &amp; McClaugherty, 2014; Currie, 2003; Herman, Moorhead, &amp; Berg, 2008; Schädel et al., 2014)","manualFormatting":"(e.g. Berg &amp; McClaugherty, 2014; Currie, 2003; Herman, Moorhead, &amp; Berg, 2008; Schädel et al., 2014)","plainTextFormattedCitation":"(Berg &amp; McClaugherty, 2014; Currie, 2003; Herman, Moorhead, &amp; Berg, 2008; Schädel et al., 2014)","previouslyFormattedCitation":"(Berg &amp; McClaugherty, 2014; Currie, 2003; Herman, Moorhead, &amp; Berg, 2008; Schädel et al., 2014)"},"properties":{"noteIndex":0},"schema":"https://github.com/citation-style-language/schema/raw/master/csl-citation.json"}</w:instrText>
      </w:r>
      <w:r w:rsidR="00D30683">
        <w:rPr>
          <w:sz w:val="22"/>
          <w:szCs w:val="22"/>
        </w:rPr>
        <w:fldChar w:fldCharType="separate"/>
      </w:r>
      <w:r w:rsidR="00D30683" w:rsidRPr="00D30683">
        <w:rPr>
          <w:noProof/>
          <w:sz w:val="22"/>
          <w:szCs w:val="22"/>
        </w:rPr>
        <w:t>(</w:t>
      </w:r>
      <w:r w:rsidR="00D30683">
        <w:rPr>
          <w:noProof/>
          <w:sz w:val="22"/>
          <w:szCs w:val="22"/>
        </w:rPr>
        <w:t xml:space="preserve">e.g. </w:t>
      </w:r>
      <w:r w:rsidR="00D30683" w:rsidRPr="00D30683">
        <w:rPr>
          <w:noProof/>
          <w:sz w:val="22"/>
          <w:szCs w:val="22"/>
        </w:rPr>
        <w:t>Berg &amp; McClaugherty, 2014; Currie, 2003; Herman, Moorhead, &amp; Berg, 2008; Schädel et al., 2014)</w:t>
      </w:r>
      <w:r w:rsidR="00D30683">
        <w:rPr>
          <w:sz w:val="22"/>
          <w:szCs w:val="22"/>
        </w:rPr>
        <w:fldChar w:fldCharType="end"/>
      </w:r>
      <w:r w:rsidRPr="00BE5BB4">
        <w:rPr>
          <w:sz w:val="22"/>
          <w:szCs w:val="22"/>
        </w:rPr>
        <w:t xml:space="preserve">. For a long time, it has been considered as the most important factor and therefore all classical cohort models were based on this fact </w:t>
      </w:r>
      <w:r w:rsidR="00D30683">
        <w:rPr>
          <w:sz w:val="22"/>
          <w:szCs w:val="22"/>
        </w:rPr>
        <w:fldChar w:fldCharType="begin" w:fldLock="1"/>
      </w:r>
      <w:r w:rsidR="00D30683">
        <w:rPr>
          <w:sz w:val="22"/>
          <w:szCs w:val="22"/>
        </w:rPr>
        <w:instrText>ADDIN CSL_CITATION {"citationItems":[{"id":"ITEM-1","itemData":{"DOI":"10.1007/BF02180320","ISSN":"0168-2563","author":[{"dropping-particle":"","family":"Parton","given":"W. J.","non-dropping-particle":"","parse-names":false,"suffix":""},{"dropping-particle":"","family":"Stewart","given":"J. W. B.","non-dropping-particle":"","parse-names":false,"suffix":""},{"dropping-particle":"V.","family":"Cole","given":"C.","non-dropping-particle":"","parse-names":false,"suffix":""}],"container-title":"Biogeochemistry","id":"ITEM-1","issue":"1","issued":{"date-parts":[["1988","2"]]},"page":"109-131","publisher":"KLUWER ACADEMIC PUBL, SPUIBOULEVARD 50, PO BOX 17, 3300 AA DORDRECHT, NETHERLANDS","title":"Dynamics of C, N, P and S in grassland soils: a model","type":"article-journal","volume":"5"},"uris":["http://www.mendeley.com/documents/?uuid=de81bbb6-7020-4015-99fe-b45d2b6762fe"]}],"mendeley":{"formattedCitation":"(Parton et al., 1988)","manualFormatting":"(e.g. Parton et al., 1988)","plainTextFormattedCitation":"(Parton et al., 1988)","previouslyFormattedCitation":"(Parton et al., 1988)"},"properties":{"noteIndex":0},"schema":"https://github.com/citation-style-language/schema/raw/master/csl-citation.json"}</w:instrText>
      </w:r>
      <w:r w:rsidR="00D30683">
        <w:rPr>
          <w:sz w:val="22"/>
          <w:szCs w:val="22"/>
        </w:rPr>
        <w:fldChar w:fldCharType="separate"/>
      </w:r>
      <w:r w:rsidR="00D30683" w:rsidRPr="00D30683">
        <w:rPr>
          <w:noProof/>
          <w:sz w:val="22"/>
          <w:szCs w:val="22"/>
        </w:rPr>
        <w:t>(</w:t>
      </w:r>
      <w:r w:rsidR="00D30683">
        <w:rPr>
          <w:noProof/>
          <w:sz w:val="22"/>
          <w:szCs w:val="22"/>
        </w:rPr>
        <w:t xml:space="preserve">e.g. </w:t>
      </w:r>
      <w:r w:rsidR="00D30683" w:rsidRPr="00D30683">
        <w:rPr>
          <w:noProof/>
          <w:sz w:val="22"/>
          <w:szCs w:val="22"/>
        </w:rPr>
        <w:t>Parton et al., 1988)</w:t>
      </w:r>
      <w:r w:rsidR="00D30683">
        <w:rPr>
          <w:sz w:val="22"/>
          <w:szCs w:val="22"/>
        </w:rPr>
        <w:fldChar w:fldCharType="end"/>
      </w:r>
      <w:r w:rsidRPr="00BE5BB4">
        <w:rPr>
          <w:sz w:val="22"/>
          <w:szCs w:val="22"/>
        </w:rPr>
        <w:t xml:space="preserve">. Composition of microbial community is the least established but intensively studied factor regulating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dynamic </w:t>
      </w:r>
      <w:r w:rsidR="00D30683">
        <w:rPr>
          <w:sz w:val="22"/>
          <w:szCs w:val="22"/>
        </w:rPr>
        <w:fldChar w:fldCharType="begin" w:fldLock="1"/>
      </w:r>
      <w:r w:rsidR="00D30683">
        <w:rPr>
          <w:sz w:val="22"/>
          <w:szCs w:val="22"/>
        </w:rPr>
        <w:instrText>ADDIN CSL_CITATION {"citationItems":[{"id":"ITEM-1","itemData":{"DOI":"10.1038/ncomms9960","ISSN":"2041-1723","PMID":"26621582","abstract":"The chemical structure of organic matter has been shown to be only marginally important for its decomposability by microorganisms. The question of why organic matter does accumulate in the face of powerful microbial degraders is thus key for understanding terrestrial carbon and nitrogen cycling. Here we demonstrate, based on an individual-based microbial community model, that social dynamics among microbes producing extracellular enzymes ('decomposers') and microbes exploiting the catalytic activities of others ('cheaters') regulate organic matter turnover. We show that the presence of cheaters increases nitrogen retention and organic matter build-up by downregulating the ratio of extracellular enzymes to total microbial biomass, allowing nitrogen-rich microbial necromass to accumulate. Moreover, increasing catalytic efficiencies of enzymes are outbalanced by a strong negative feedback on enzyme producers, leading to less enzymes being produced at the community level. Our results thus reveal a possible control mechanism that may buffer soil CO2 emissions in a future climate.","author":[{"dropping-particle":"","family":"Kaiser","given":"Christina","non-dropping-particle":"","parse-names":false,"suffix":""},{"dropping-particle":"","family":"Franklin","given":"Oskar","non-dropping-particle":"","parse-names":false,"suffix":""},{"dropping-particle":"","family":"Richter","given":"Andreas","non-dropping-particle":"","parse-names":false,"suffix":""},{"dropping-particle":"","family":"Dieckmann","given":"Ulf","non-dropping-particle":"","parse-names":false,"suffix":""}],"container-title":"Nature communications","id":"ITEM-1","issued":{"date-parts":[["2015","1"]]},"page":"8960","publisher":"NATURE PUBLISHING GROUP, MACMILLAN BUILDING, 4 CRINAN ST, LONDON N1 9XW, ENGLAND","title":"Social dynamics within decomposer communities lead to nitrogen retention and organic matter build-up in soils.","type":"article-journal","volume":"6"},"uris":["http://www.mendeley.com/documents/?uuid=0c0597d4-5606-46a4-9817-04c6831362d2"]},{"id":"ITEM-2","itemData":{"DOI":"e94076\r10.1371/journal.pone.0094076","ISBN":"1932-6203","abstract":"Enzyme-mediated decomposition of soil organic matter (SOM) is controlled, amongst other factors, by organic matter properties and by the microbial decomposer community present. Since microbial community composition and SOM properties are often interrelated and both change with soil depth, the drivers of enzymatic decomposition are hard to dissect. We investigated soils from three regions in the Siberian Arctic, where carbon rich topsoil material has been incorporated into the subsoil (cryoturbation). We took advantage of this subduction to test if SOM properties shape microbial community composition, and to identify controls of both on enzyme activities. We found that microbial community composition (estimated by phospholipid fatty acid analysis), was similar in cryoturbated material and in surrounding subsoil, although carbon and nitrogen contents were similar in cryoturbated material and topsoils. This suggests that the microbial community in cryoturbated material was not well adapted to SOM properties. We also measured three potential enzyme activities (cellobiohydrolase, leucine-amino-peptidase and phenoloxidase) and used structural equation models (SEMs) to identify direct and indirect drivers of the three enzyme activities. The models included microbial community composition, carbon and nitrogen contents, clay content, water content, and pH. Models for regular horizons, excluding cryoturbated material, showed that all enzyme activities were mainly controlled by carbon or nitrogen. Microbial community composition had no effect. In contrast, models for cryoturbated material showed that enzyme activities were also related to microbial community composition. The additional control of microbial community composition could have restrained enzyme activities and furthermore decomposition in general. The functional decoupling of SOM properties and microbial community composition might thus be one of the reasons for low decomposition rates and the persistence of 400 Gt carbon stored in cryoturbated material.","author":[{"dropping-particle":"","family":"Schnecker","given":"J","non-dropping-particle":"","parse-names":false,"suffix":""},{"dropping-particle":"","family":"Wild","given":"B","non-dropping-particle":"","parse-names":false,"suffix":""},{"dropping-particle":"","family":"Hofhansl","given":"F","non-dropping-particle":"","parse-names":false,"suffix":""},{"dropping-particle":"","family":"Alves","given":"R J E","non-dropping-particle":"","parse-names":false,"suffix":""},{"dropping-particle":"","family":"Barta","given":"J","non-dropping-particle":"","parse-names":false,"suffix":""},{"dropping-particle":"","family":"Capek","given":"P","non-dropping-particle":"","parse-names":false,"suffix":""},{"dropping-particle":"","family":"Fuchslueger","given":"L","non-dropping-particle":"","parse-names":false,"suffix":""},{"dropping-particle":"","family":"Gentsch","given":"N","non-dropping-particle":"","parse-names":false,"suffix":""},{"dropping-particle":"","family":"Gittel","given":"A","non-dropping-particle":"","parse-names":false,"suffix":""},{"dropping-particle":"","family":"Guggenberger","given":"G","non-dropping-particle":"","parse-names":false,"suffix":""},{"dropping-particle":"","family":"Hofer","given":"A","non-dropping-particle":"","parse-names":false,"suffix":""},{"dropping-particle":"","family":"Kienzl","given":"S","non-dropping-particle":"","parse-names":false,"suffix":""},{"dropping-particle":"","family":"Knoltsch","given":"A","non-dropping-particle":"","parse-names":false,"suffix":""},{"dropping-particle":"","family":"Lashchinskiy","given":"N","non-dropping-particle":"","parse-names":false,"suffix":""},{"dropping-particle":"","family":"Mikutta","given":"R","non-dropping-particle":"","parse-names":false,"suffix":""},{"dropping-particle":"","family":"Santruckova","given":"H","non-dropping-particle":"","parse-names":false,"suffix":""},{"dropping-particle":"","family":"Shibistova","given":"O","non-dropping-particle":"","parse-names":false,"suffix":""},{"dropping-particle":"","family":"Takriti","given":"M","non-dropping-particle":"","parse-names":false,"suffix":""},{"dropping-particle":"","family":"Urich","given":"T","non-dropping-particle":"","parse-names":false,"suffix":""},{"dropping-particle":"","family":"Weltin","given":"G","non-dropping-particle":"","parse-names":false,"suffix":""},{"dropping-particle":"","family":"Richter","given":"A","non-dropping-particle":"","parse-names":false,"suffix":""}],"container-title":"Plos One","id":"ITEM-2","issue":"4","issued":{"date-parts":[["2014"]]},"language":"English","note":"ISI Document Delivery No.: AE6MJ\nTimes Cited: 0\nCited Reference Count: 42\nSchnecker, Joerg Wild, Birgit Hofhansl, Florian Alves, Ricardo J. Eloy Barta, Jiri Capek, Petr Fuchslueger, Lucia Gentsch, Norman Gittel, Antje Guggenberger, Georg Hofer, Angelika Kienzl, Sandra Knoltsch, Anna Lashchinskiy, Nikolay Mikutta, Robert Santruckova, Hana Shibistova, Olga Takriti, Mounir Urich, Tim Weltin, Georg Richter, Andreas\nAustrian Science Fund (FWF) as a part of the international program CryoCARB (Long-term Carbon Storage in Cryoturbated Arctic Soils) [FWF - I370-B17]; Osterreichische Gesellschaft fur Polarforschung\nFunding for this research was provided by the Austrian Science Fund (FWF) as a part of the international program CryoCARB (Long-term Carbon Storage in Cryoturbated Arctic Soils; FWF - I370-B17). JS received a Julius-Payer-Stipendium by the Osterreichische Gesellschaft fur Polarforschung. The funders had no role in study design, data collection and analysis, decision to publish, or the preparation of the manuscript.\nPublic library science\nSan francisco","title":"Effects of Soil Organic Matter Properties and Microbial Community Composition on Enzyme Activities in Cryoturbated Arctic Soils","type":"article-journal","volume":"9"},"uris":["http://www.mendeley.com/documents/?uuid=3dc231ef-adf9-4af4-a434-ccf792877bea"]},{"id":"ITEM-3","itemData":{"DOI":"10.1038/ismej.2013.219","ISBN":"1751-7362","abstract":"Cryoturbation, the burial of topsoil material into deeper soil horizons by repeated freeze-thaw events, is an important storage mechanism for soil organic matter (SOM) in permafrost-affected soils. Besides abiotic conditions, microbial community structure and the accessibility of SOM to the decomposer community are hypothesized to control SOM decomposition and thus have a crucial role in SOM accumulation in buried soils. We surveyed the microbial community structure in cryoturbated soils from nine soil profiles in the northeastern Siberian tundra using high-throughput sequencing and quantification of bacterial, archaeal and fungal marker genes. We found that bacterial abundances in buried topsoils were as high as in unburied topsoils. In contrast, fungal abundances decreased with depth and were significantly lower in buried than in unburied topsoils resulting in remarkably low fungal to bacterial ratios in buried topsoils. Fungal community profiling revealed an associated decrease in presumably ectomycorrhizal (ECM) fungi. The abiotic conditions (low to subzero temperatures, anoxia) and the reduced abundance of fungi likely provide a niche for bacterial, facultative anaerobic decomposers of SOM such as members of the Actinobacteria, which were found in significantly higher relative abundances in buried than in unburied topsoils. Our study expands the knowledge on the microbial community structure in soils of Northern latitude permafrost regions, and attributes the delayed decomposition of SOM in buried soils to specific microbial taxa, and particularly to a decrease in abundance and activity of ECM fungi, and to the extent to which bacterial decomposers are able to act as their functional substitutes.","author":[{"dropping-particle":"","family":"Gittel","given":"A","non-dropping-particle":"","parse-names":false,"suffix":""},{"dropping-particle":"","family":"Barta","given":"J","non-dropping-particle":"","parse-names":false,"suffix":""},{"dropping-particle":"","family":"Kohoutova","given":"I","non-dropping-particle":"","parse-names":false,"suffix":""},{"dropping-particle":"","family":"Mikutta","given":"R","non-dropping-particle":"","parse-names":false,"suffix":""},{"dropping-particle":"","family":"Owens","given":"S","non-dropping-particle":"","parse-names":false,"suffix":""},{"dropping-particle":"","family":"Gilbert","given":"J","non-dropping-particle":"","parse-names":false,"suffix":""},{"dropping-particle":"","family":"Schnecker","given":"J","non-dropping-particle":"","parse-names":false,"suffix":""},{"dropping-particle":"","family":"Wild","given":"B","non-dropping-particle":"","parse-names":false,"suffix":""},{"dropping-particle":"","family":"Hannisdal","given":"B","non-dropping-particle":"","parse-names":false,"suffix":""},{"dropping-particle":"","family":"Maerz","given":"J","non-dropping-particle":"","parse-names":false,"suffix":""},{"dropping-particle":"","family":"Lashchinskiy","given":"N","non-dropping-particle":"","parse-names":false,"suffix":""},{"dropping-particle":"","family":"Capek","given":"P","non-dropping-particle":"","parse-names":false,"suffix":""},{"dropping-particle":"","family":"Santruckova","given":"H","non-dropping-particle":"","parse-names":false,"suffix":""},{"dropping-particle":"","family":"Gentsch","given":"N","non-dropping-particle":"","parse-names":false,"suffix":""},{"dropping-particle":"","family":"Shibistova","given":"O","non-dropping-particle":"","parse-names":false,"suffix":""},{"dropping-particle":"","family":"Guggenberger","given":"G","non-dropping-particle":"","parse-names":false,"suffix":""},{"dropping-particle":"","family":"Richter","given":"A","non-dropping-particle":"","parse-names":false,"suffix":""},{"dropping-particle":"","family":"Torsvik","given":"V L","non-dropping-particle":"","parse-names":false,"suffix":""},{"dropping-particle":"","family":"Schleper","given":"C","non-dropping-particle":"","parse-names":false,"suffix":""},{"dropping-particle":"","family":"Urich","given":"T","non-dropping-particle":"","parse-names":false,"suffix":""}],"container-title":"Isme Journal","id":"ITEM-3","issue":"4","issued":{"date-parts":[["2014"]]},"language":"English","note":"ISI Document Delivery No.: AD4BA\nTimes Cited: 1\nCited Reference Count: 68\nGittel, Antje Barta, Jiri Kohoutova, Iva Mikutta, Robert Owens, Sarah Gilbert, Jack Schnecker, Joerg Wild, Birgit Hannisdal, Bjarte Maerz, Joeran Lashchinskiy, Nikolay Capek, Petr Santruckova, Hana Gentsch, Norman Shibistova, Olga Guggenberger, Georg Richter, Andreas Torsvik, Vigdis L. Schleper, Christa Urich, Tim\nResearch Council of Norway as a part of the International Program CryoCARB (Long-term Carbon Storage in Cryoturbated Arctic Soils) [NFR-200411]; EU Action program (Austria-Czech Republic) [60p14]; Austrian Science Fund [FWF I370-B17]\nWe thank all members of the CryoCARB consortium that participated in field work in Cherskii in 2010 and their invaluable contributions to this manuscript by fruitful discussions. Sergey A Zimov is highly acknowledged for providing facilities at the Northeast Science Station (Cherskii, Russia) and access to the sampling site. Kristyna Kvardova is thanked for help with nucleic acid extractions. This work was funded by the Research Council of Norway as a part of the International Program CryoCARB (Long-term Carbon Storage in Cryoturbated Arctic Soils; NFR-200411). Jiri Barta and Tim Urich received financial support from the EU Action program (Austria-Czech Republic, ID 60p14). Andreas Richter acknowledges the support of the Austrian Science Fund (FWF I370-B17).\nNature publishing group\nLondon","page":"841-853","title":"Distinct microbial communities associated with buried soils in the Siberian tundra","type":"article-journal","volume":"8"},"uris":["http://www.mendeley.com/documents/?uuid=4f5a99f4-3bbe-4745-9f98-e1e0f39cc6ab"]}],"mendeley":{"formattedCitation":"(Gittel et al., 2014; Kaiser et al., 2015; Schnecker et al., 2014)","plainTextFormattedCitation":"(Gittel et al., 2014; Kaiser et al., 2015; Schnecker et al., 2014)","previouslyFormattedCitation":"(Gittel et al., 2014; Kaiser et al., 2015; Schnecker et al., 2014)"},"properties":{"noteIndex":0},"schema":"https://github.com/citation-style-language/schema/raw/master/csl-citation.json"}</w:instrText>
      </w:r>
      <w:r w:rsidR="00D30683">
        <w:rPr>
          <w:sz w:val="22"/>
          <w:szCs w:val="22"/>
        </w:rPr>
        <w:fldChar w:fldCharType="separate"/>
      </w:r>
      <w:r w:rsidR="00D30683" w:rsidRPr="00D30683">
        <w:rPr>
          <w:noProof/>
          <w:sz w:val="22"/>
          <w:szCs w:val="22"/>
        </w:rPr>
        <w:t>(Gittel et al., 2014; Kaiser et al., 2015; Schnecker et al., 2014)</w:t>
      </w:r>
      <w:r w:rsidR="00D30683">
        <w:rPr>
          <w:sz w:val="22"/>
          <w:szCs w:val="22"/>
        </w:rPr>
        <w:fldChar w:fldCharType="end"/>
      </w:r>
      <w:r w:rsidRPr="00BE5BB4">
        <w:rPr>
          <w:sz w:val="22"/>
          <w:szCs w:val="22"/>
        </w:rPr>
        <w:t xml:space="preserve">. There are few individual-based microbial community models suggesting a great importance of microbial community composition for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turnover or organic nitrogen mineralization</w:t>
      </w:r>
      <w:r w:rsidR="00D30683">
        <w:rPr>
          <w:sz w:val="22"/>
          <w:szCs w:val="22"/>
        </w:rPr>
        <w:t xml:space="preserve"> </w:t>
      </w:r>
      <w:r w:rsidR="00D30683">
        <w:rPr>
          <w:sz w:val="22"/>
          <w:szCs w:val="22"/>
        </w:rPr>
        <w:fldChar w:fldCharType="begin" w:fldLock="1"/>
      </w:r>
      <w:r w:rsidR="00D30683">
        <w:rPr>
          <w:sz w:val="22"/>
          <w:szCs w:val="22"/>
        </w:rPr>
        <w:instrText>ADDIN CSL_CITATION {"citationItems":[{"id":"ITEM-1","itemData":{"DOI":"10.1038/ncomms9960","ISSN":"2041-1723","PMID":"26621582","abstract":"The chemical structure of organic matter has been shown to be only marginally important for its decomposability by microorganisms. The question of why organic matter does accumulate in the face of powerful microbial degraders is thus key for understanding terrestrial carbon and nitrogen cycling. Here we demonstrate, based on an individual-based microbial community model, that social dynamics among microbes producing extracellular enzymes ('decomposers') and microbes exploiting the catalytic activities of others ('cheaters') regulate organic matter turnover. We show that the presence of cheaters increases nitrogen retention and organic matter build-up by downregulating the ratio of extracellular enzymes to total microbial biomass, allowing nitrogen-rich microbial necromass to accumulate. Moreover, increasing catalytic efficiencies of enzymes are outbalanced by a strong negative feedback on enzyme producers, leading to less enzymes being produced at the community level. Our results thus reveal a possible control mechanism that may buffer soil CO2 emissions in a future climate.","author":[{"dropping-particle":"","family":"Kaiser","given":"Christina","non-dropping-particle":"","parse-names":false,"suffix":""},{"dropping-particle":"","family":"Franklin","given":"Oskar","non-dropping-particle":"","parse-names":false,"suffix":""},{"dropping-particle":"","family":"Richter","given":"Andreas","non-dropping-particle":"","parse-names":false,"suffix":""},{"dropping-particle":"","family":"Dieckmann","given":"Ulf","non-dropping-particle":"","parse-names":false,"suffix":""}],"container-title":"Nature communications","id":"ITEM-1","issued":{"date-parts":[["2015","1"]]},"page":"8960","publisher":"NATURE PUBLISHING GROUP, MACMILLAN BUILDING, 4 CRINAN ST, LONDON N1 9XW, ENGLAND","title":"Social dynamics within decomposer communities lead to nitrogen retention and organic matter build-up in soils.","type":"article-journal","volume":"6"},"uris":["http://www.mendeley.com/documents/?uuid=0c0597d4-5606-46a4-9817-04c6831362d2"]},{"id":"ITEM-2","itemData":{"DOI":"10.1111/j.1461-0248.2012.01807.x","ISBN":"1461023X","abstract":"Trait-based models are an emerging tool in ecology with the potential to link community dynamics, environmental responses and ecosystem processes. These models represent complex communities by defining taxa with trait combinations derived from prior distributions that may be constrained by trade-offs. Herein I develop a model that links microbial community composition with physiological and enzymatic traits to predict litter decomposition rates. This approach allows for trade-offs among traits that represent alternative microbial strategies for resource acquisition. The model predicts that optimal strategies depend on the level of enzyme production in the whole community, which determines resource availability and decomposition rates. There is also evidence for facilitation and competition among microbial taxa that co-occur on decomposing litter. These interactions vary with community investment in extracellular enzyme production and the magnitude of trade-offs affecting enzyme biochemical traits. The model accounted for 69% of the variation in decomposition rates of 15 Hawaiian litter types and up to 26% of the variation in enzyme activities. By explicitly representing diversity, trait-based models can predict ecosystem processes based on functional trait distributions in a community. The model developed herein illustrates that traits influencing microbial enzyme production are some of the key controls on litter decomposition rates.","author":[{"dropping-particle":"","family":"Allison","given":"S D","non-dropping-particle":"","parse-names":false,"suffix":""}],"container-title":"Ecology Letters","id":"ITEM-2","issue":"9","issued":{"date-parts":[["2012"]]},"language":"English","note":"From Duplicate 2 (A trait-based approach for modelling microbial litter decomposition - Allison, S D)\n\nISI Document Delivery No.: 974ZG\nTimes Cited: 0\nCited Reference Count: 66\nAllison, S. D.\nOffice of Science (BER), US Department of Energy; NSF Advancing Theory in Biology program\nI thank Kathleen Treseder, Henri Folse, Matt Wallenstein and three anonymous referees for comments that improved the manuscript. This work was funded by the Office of Science (BER), US Department of Energy and the NSF Advancing Theory in Biology program.\nWiley-blackwell\nHoboken","page":"1058-1070","title":"A trait-based approach for modelling microbial litter decomposition","type":"article-journal","volume":"15"},"uris":["http://www.mendeley.com/documents/?uuid=edadaa9c-c5f2-46ca-b546-a2aaf4c28319"]}],"mendeley":{"formattedCitation":"(Allison, 2012; Kaiser et al., 2015)","plainTextFormattedCitation":"(Allison, 2012; Kaiser et al., 2015)","previouslyFormattedCitation":"(Allison, 2012; Kaiser et al., 2015)"},"properties":{"noteIndex":0},"schema":"https://github.com/citation-style-language/schema/raw/master/csl-citation.json"}</w:instrText>
      </w:r>
      <w:r w:rsidR="00D30683">
        <w:rPr>
          <w:sz w:val="22"/>
          <w:szCs w:val="22"/>
        </w:rPr>
        <w:fldChar w:fldCharType="separate"/>
      </w:r>
      <w:r w:rsidR="00D30683" w:rsidRPr="00D30683">
        <w:rPr>
          <w:noProof/>
          <w:sz w:val="22"/>
          <w:szCs w:val="22"/>
        </w:rPr>
        <w:t>(Allison, 2012; Kaiser et al., 2015)</w:t>
      </w:r>
      <w:r w:rsidR="00D30683">
        <w:rPr>
          <w:sz w:val="22"/>
          <w:szCs w:val="22"/>
        </w:rPr>
        <w:fldChar w:fldCharType="end"/>
      </w:r>
      <w:r w:rsidRPr="00BE5BB4">
        <w:rPr>
          <w:sz w:val="22"/>
          <w:szCs w:val="22"/>
        </w:rPr>
        <w:t>. Accounting for all these covariates are supposed to improve the capability of microbial-explicit models to project future development of soil organic carbon stocks. Several manipulation experiments were recently designed and conducted to do so</w:t>
      </w:r>
      <w:r w:rsidR="00D30683">
        <w:rPr>
          <w:sz w:val="22"/>
          <w:szCs w:val="22"/>
        </w:rPr>
        <w:t xml:space="preserve"> </w:t>
      </w:r>
      <w:r w:rsidR="00D30683">
        <w:rPr>
          <w:sz w:val="22"/>
          <w:szCs w:val="22"/>
        </w:rPr>
        <w:fldChar w:fldCharType="begin" w:fldLock="1"/>
      </w:r>
      <w:r w:rsidR="00D30683">
        <w:rPr>
          <w:sz w:val="22"/>
          <w:szCs w:val="22"/>
        </w:rPr>
        <w:instrText>ADDIN CSL_CITATION {"citationItems":[{"id":"ITEM-1","itemData":{"DOI":"10.1038/s41598-017-04485-z","ISSN":"2045-2322","abstract":"An underlying assumption of most soil carbon (C) dynamics models is that soil microbial communities are functionally similar; in other words, that microbial activity under given conditions is not dependent on the composition or diversity of the communities. Although a number of studies have indicated that microbial communities are not intrinsically functionally similar, most soil C dynamics models can adequately describe C dynamics without explicitly describing microbial functioning. Here, we provide a mechanistic basis for reconciling this apparent discrepancy. In a reciprocal transplant experiment, we show that the environmental context (soil and pore-network properties) of microbial communities can constrain the activity of functionally different communities to such an extent that their activities are indistinguishable. The data also suggest that when microbial activity is less constrained, the intrinsic functional differences among communities can be expressed. We conclude that soil C dynamics may depend on microbial community structure or diversity in environments where their activity is less constrained, such as the rhizosphere or the litter layer, but not in oligotrophic environments such as the mineral layers of soil.","author":[{"dropping-particle":"","family":"Nunan","given":"Naoise","non-dropping-particle":"","parse-names":false,"suffix":""},{"dropping-particle":"","family":"Leloup","given":"Julie","non-dropping-particle":"","parse-names":false,"suffix":""},{"dropping-particle":"","family":"Ruamps","given":"Léo S.","non-dropping-particle":"","parse-names":false,"suffix":""},{"dropping-particle":"","family":"Pouteau","given":"Valérie","non-dropping-particle":"","parse-names":false,"suffix":""},{"dropping-particle":"","family":"Chenu","given":"Claire","non-dropping-particle":"","parse-names":false,"suffix":""}],"container-title":"Scientific Reports","id":"ITEM-1","issue":"1","issued":{"date-parts":[["2017","12","27"]]},"page":"4280","publisher":"Nature Publishing Group","title":"Effects of habitat constraints on soil microbial community function","type":"article-journal","volume":"7"},"uris":["http://www.mendeley.com/documents/?uuid=963388c4-12ab-31c8-9402-fe99ffdac226"]},{"id":"ITEM-2","itemData":{"DOI":"10.1016/J.SOILBIO.2017.12.003","ISSN":"0038-0717","abstract":"Microbial community plays critical roles in driving soil carbon (C) cycling in terrestrial ecosystems. However, we lack empirical evidence to demonstrate the role of microbial community in driving soil respiration - a key ecosystem process for global sustainability and climate regulation. Here, we used a long-term field experiment including multiple management practices, to identify, via statistical modeling, the role of microbial community composition in influencing soil respiration. We analyzed major soil properties and microbial (both bacterial and fungal) abundance, diversity and community composition. We found that different management regimes led to different soil respiration rates. Most importantly, microbial community composition explained a unique portion of the variation in soil respiration, which cannot be accounted for by key respiration drivers such as soil properties and other microbial attributes (richness and total abundance). Microbial biomass and fungal richness were also identified as key drivers of soil respiration. Our results indicate that inclusions of microbial compositional data in Earth system models can be potentially used to improve our capacity to predict changes in soil C balance under changing environments.","author":[{"dropping-particle":"","family":"Liu","given":"Yu-Rong","non-dropping-particle":"","parse-names":false,"suffix":""},{"dropping-particle":"","family":"Delgado-Baquerizo","given":"Manuel","non-dropping-particle":"","parse-names":false,"suffix":""},{"dropping-particle":"","family":"Wang","given":"Jun-Tao","non-dropping-particle":"","parse-names":false,"suffix":""},{"dropping-particle":"","family":"Hu","given":"Hang-Wei","non-dropping-particle":"","parse-names":false,"suffix":""},{"dropping-particle":"","family":"Yang","given":"Ziming","non-dropping-particle":"","parse-names":false,"suffix":""},{"dropping-particle":"","family":"He","given":"Ji-Zheng","non-dropping-particle":"","parse-names":false,"suffix":""}],"container-title":"Soil Biology and Biochemistry","id":"ITEM-2","issued":{"date-parts":[["2018","3","1"]]},"page":"35-41","publisher":"Pergamon","title":"New insights into the role of microbial community composition in driving soil respiration rates","type":"article-journal","volume":"118"},"uris":["http://www.mendeley.com/documents/?uuid=f8c4f5f7-ebd1-3675-b872-71d3e62d39ec"]},{"id":"ITEM-3","itemData":{"DOI":"10.1021/acs.est.7b05469","ISSN":"0013-936X","abstract":"Molecular composition of the Arctic soil organic carbon (SOC) and its susceptibility to microbial degradation are uncertain due to heterogeneity and unknown SOC compositions. Using ultrahigh-resolution mass spectrometry, we determined the susceptibility and compositional changes of extractable dissolved organic matter (EDOM) in an anoxic warming incubation experiment (up to 122 days) with a tundra soil from Alaska (United States). EDOM was extracted with 10 mM NH4HCO3 from both the organic- and mineral-layer soils during incubation at both −2 and 8 °C. Based on their O:C and H:C ratios, EDOM molecular formulas were qualitatively grouped into nine biochemical classes of compounds, among which lignin-like compounds dominated both the organic and the mineral soils and were the most stable, whereas amino sugars, peptides, and carbohydrate-like compounds were the most biologically labile. These results corresponded with shifts in EDOM elemental composition in which the ratios of O:C and N:C decreased, while th...","author":[{"dropping-particle":"","family":"Chen","given":"Hongmei","non-dropping-particle":"","parse-names":false,"suffix":""},{"dropping-particle":"","family":"Yang","given":"Ziming","non-dropping-particle":"","parse-names":false,"suffix":""},{"dropping-particle":"","family":"Chu","given":"Rosalie K.","non-dropping-particle":"","parse-names":false,"suffix":""},{"dropping-particle":"","family":"Tolic","given":"Nikola","non-dropping-particle":"","parse-names":false,"suffix":""},{"dropping-particle":"","family":"Liang","given":"Liyuan","non-dropping-particle":"","parse-names":false,"suffix":""},{"dropping-particle":"","family":"Graham","given":"David E.","non-dropping-particle":"","parse-names":false,"suffix":""},{"dropping-particle":"","family":"Wullschleger","given":"Stan D.","non-dropping-particle":"","parse-names":false,"suffix":""},{"dropping-particle":"","family":"Gu","given":"Baohua","non-dropping-particle":"","parse-names":false,"suffix":""}],"container-title":"Environmental Science &amp; Technology","id":"ITEM-3","issue":"8","issued":{"date-parts":[["2018","4","17"]]},"page":"4555-4564","publisher":"American Chemical Society","title":"Molecular Insights into Arctic Soil Organic Matter Degradation under Warming","type":"article-journal","volume":"52"},"uris":["http://www.mendeley.com/documents/?uuid=7872c18c-76c1-3e4f-8cdc-71eb8f66d8ec"]},{"id":"ITEM-4","itemData":{"DOI":"10.5194/bg-15-5031-2018","ISSN":"1726-4189","abstract":"&lt;p&gt;&lt;p&gt;&lt;strong&gt;Abstract.&lt;/strong&gt; CO&lt;sub&gt;2&lt;/sub&gt; production in soils responds strongly to changes in temperature and moisture, but the magnitude of such responses at different timescales remains difficult to predict. Knowledge of the mechanisms leading to the often observed interactions in the effects of these drivers on soil CO&lt;sub&gt;2&lt;/sub&gt; emissions is especially limited. Here we test the ability of different soil carbon models to simulate responses measured in soils incubated at a range of moisture levels and cycled through 5, 20, and 35&lt;span class=\"thinspace\"&gt;&lt;/span&gt;°C. We applied parameter optimization methods while modifying two structural components of models: (1) the reaction kinetics of decomposition and uptake and (2) the functions relating fluxes to soil moisture. We found that the observed interactive patterns were best simulated by a model using Michaelis–Menten decomposition kinetics combined with diffusion of dissolved carbon (C) and enzymes. In contrast, conventional empirical functions that scale decomposition rates directly were unable to properly simulate the main observed interactions. Our best model was able to explain 87&lt;span class=\"thinspace\"&gt;&lt;/span&gt;% of the variation in the data. Model simulations revealed a central role of Michaelis–Menten kinetics as a driver of temperature sensitivity variations as well as a decoupling of decomposition and respiration C fluxes in the short and mid-term, with general sensitivities to temperature and moisture being more pronounced for respiration. Sensitivity to different model parameters was highest for those affecting diffusion limitations, followed by activation energies, the Michaelis–Menten constant, and carbon use efficiency. Testing against independent data strongly validated the model (&lt;i&gt;R&lt;/i&gt;&lt;sup&gt;2&lt;/sup&gt; = 0.99) and highlighted the importance of initial soil C pool conditions. Our results demonstrate the importance of model structure and the central role of diffusion and reaction kinetics for simulating and understanding complex dynamics in soil C.&lt;/p&gt;&lt;/p&gt;","author":[{"dropping-particle":"","family":"Moyano","given":"Fernando Esteban","non-dropping-particle":"","parse-names":false,"suffix":""},{"dropping-particle":"","family":"Vasilyeva","given":"Nadezda","non-dropping-particle":"","parse-names":false,"suffix":""},{"dropping-particle":"","family":"Menichetti","given":"Lorenzo","non-dropping-particle":"","parse-names":false,"suffix":""}],"container-title":"Biogeosciences","id":"ITEM-4","issue":"16","issued":{"date-parts":[["2018","8","24"]]},"page":"5031-5045","title":"Diffusion limitations and Michaelis–Menten kinetics as drivers of combined temperature and moisture effects on carbon fluxes of mineral soils","type":"article-journal","volume":"15"},"uris":["http://www.mendeley.com/documents/?uuid=bf01117a-a40c-3d6b-ad27-50c5a322a96e"]},{"id":"ITEM-5","itemData":{"DOI":"10.1016/J.SOILBIO.2018.06.014","ISSN":"0038-0717","abstract":"The size of the soil carbon sink depends on the balance between soil organic matter (SOM) formation and decomposition. Our understanding of how SOM forms and is stabilized, however, is shifting. Traditional theory maintains the formation of SOM is due to chemical complexity: difficult to decompose plant inputs persist in the soil while easily decomposable inputs are respired as CO2. However, consensus is now building around an alternative thesis, hypothesizing that the plant inputs most easily assimilated by soil decomposers are the ones stabilized as SOM because dead microbial biomass is now considered one of the primary components of stable SOM. As such, the efficiency with which the microbial community uses these plant inputs has direct implications for the amount and rate of SOM formation under both a constant and changing climate. Our study empirically tests and measures the effects of substrate quality, quantity, and temperature on SOM formation rates – a process that may have profound impact on carbon stocks. We used 13C-labeled substrates representative of plant root exudates (simple sugars, amino acids, and organic acids) to determine the proportion of substrate retained within SOM, microbial biomass, dissolved organic carbon, or evolved as 13CO2. We found that glucose, the substrate most efficiently assimilated by the microbial biomass, leads to the greatest amount of SOM formation compared to glycine and oxalic acid. In contrast to expectations, higher concentrations of substrate addition lead to proportionally less 13C label retention than lower concentrations. Temperature had a negligible impact on SOM formation, with higher temperatures actually leading to slight increases in SOM formation. While substrate quality and quantity drove the largest differences in SOM formation rates, once metabolized by the microbial biomass, eventual incorporation of carbon into the mineral associated SOM pool (thought to be the most stable of the soil C pools), was effectively equivalent across treatments. Our data suggest that changing composition and amount of labile carbon substrates supplied to soils will likely be key determinants of SOM formation rates and, hence, potentially soil carbon stock sizes.","author":[{"dropping-particle":"","family":"Oldfield","given":"Emily E.","non-dropping-particle":"","parse-names":false,"suffix":""},{"dropping-particle":"","family":"Crowther","given":"Thomas W.","non-dropping-particle":"","parse-names":false,"suffix":""},{"dropping-particle":"","family":"Bradford","given":"Mark A.","non-dropping-particle":"","parse-names":false,"suffix":""}],"container-title":"Soil Biology and Biochemistry","id":"ITEM-5","issued":{"date-parts":[["2018","9","1"]]},"page":"218-226","publisher":"Pergamon","title":"Substrate identity and amount overwhelm temperature effects on soil carbon formation","type":"article-journal","volume":"124"},"uris":["http://www.mendeley.com/documents/?uuid=97dd4df3-064e-3d6b-809f-a9186d45c5d4"]}],"mendeley":{"formattedCitation":"(Chen et al., 2018; Liu et al., 2018; Moyano, Vasilyeva, &amp; Menichetti, 2018; Nunan, Leloup, Ruamps, Pouteau, &amp; Chenu, 2017; Oldfield, Crowther, &amp; Bradford, 2018)","plainTextFormattedCitation":"(Chen et al., 2018; Liu et al., 2018; Moyano, Vasilyeva, &amp; Menichetti, 2018; Nunan, Leloup, Ruamps, Pouteau, &amp; Chenu, 2017; Oldfield, Crowther, &amp; Bradford, 2018)","previouslyFormattedCitation":"(Chen et al., 2018; Liu et al., 2018; Moyano, Vasilyeva, &amp; Menichetti, 2018; Nunan, Leloup, Ruamps, Pouteau, &amp; Chenu, 2017; Oldfield, Crowther, &amp; Bradford, 2018)"},"properties":{"noteIndex":0},"schema":"https://github.com/citation-style-language/schema/raw/master/csl-citation.json"}</w:instrText>
      </w:r>
      <w:r w:rsidR="00D30683">
        <w:rPr>
          <w:sz w:val="22"/>
          <w:szCs w:val="22"/>
        </w:rPr>
        <w:fldChar w:fldCharType="separate"/>
      </w:r>
      <w:r w:rsidR="00D30683" w:rsidRPr="00D30683">
        <w:rPr>
          <w:noProof/>
          <w:sz w:val="22"/>
          <w:szCs w:val="22"/>
        </w:rPr>
        <w:t>(Chen et al., 2018; Liu et al., 2018; Moyano, Vasilyeva, &amp; Menichetti, 2018; Nunan, Leloup, Ruamps, Pouteau, &amp; Chenu, 2017; Oldfield, Crowther, &amp; Bradford, 2018)</w:t>
      </w:r>
      <w:r w:rsidR="00D30683">
        <w:rPr>
          <w:sz w:val="22"/>
          <w:szCs w:val="22"/>
        </w:rPr>
        <w:fldChar w:fldCharType="end"/>
      </w:r>
      <w:r w:rsidRPr="00BE5BB4">
        <w:rPr>
          <w:sz w:val="22"/>
          <w:szCs w:val="22"/>
        </w:rPr>
        <w:t xml:space="preserve">. </w:t>
      </w:r>
    </w:p>
    <w:p w:rsidR="002D756D" w:rsidRDefault="00BE5BB4" w:rsidP="00BE5BB4">
      <w:pPr>
        <w:spacing w:before="0" w:line="480" w:lineRule="auto"/>
        <w:rPr>
          <w:sz w:val="22"/>
          <w:szCs w:val="22"/>
        </w:rPr>
      </w:pPr>
      <w:r w:rsidRPr="00BE5BB4">
        <w:rPr>
          <w:sz w:val="22"/>
          <w:szCs w:val="22"/>
        </w:rPr>
        <w:t xml:space="preserve">One less obvious difference between the liquid batch/continuous cultures and soil is the feasibility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quantification. In soil,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cannot be measured directly and quantitatively. Since microbial cells are impossible to detach from soil particles</w:t>
      </w:r>
      <w:r w:rsidR="00D30683">
        <w:rPr>
          <w:sz w:val="22"/>
          <w:szCs w:val="22"/>
        </w:rPr>
        <w:t xml:space="preserve"> </w:t>
      </w:r>
      <w:r w:rsidR="00D30683">
        <w:rPr>
          <w:sz w:val="22"/>
          <w:szCs w:val="22"/>
        </w:rPr>
        <w:fldChar w:fldCharType="begin" w:fldLock="1"/>
      </w:r>
      <w:r w:rsidR="00D30683">
        <w:rPr>
          <w:sz w:val="22"/>
          <w:szCs w:val="22"/>
        </w:rPr>
        <w:instrText>ADDIN CSL_CITATION {"citationItems":[{"id":"ITEM-1","itemData":{"DOI":"10.1016/j.soilbio.2008.04.005","ISSN":"00380717","author":[{"dropping-particle":"","family":"Ehlers","given":"Knut","non-dropping-particle":"","parse-names":false,"suffix":""},{"dropping-particle":"","family":"Bünemann","given":"Else K.","non-dropping-particle":"","parse-names":false,"suffix":""},{"dropping-particle":"","family":"Oberson","given":"Astrid","non-dropping-particle":"","parse-names":false,"suffix":""},{"dropping-particle":"","family":"Frossard","given":"Emmanuel","non-dropping-particle":"","parse-names":false,"suffix":""},{"dropping-particle":"","family":"Frostegård","given":"Åsa","non-dropping-particle":"","parse-names":false,"suffix":""},{"dropping-particle":"","family":"Yuejian","given":"Mao","non-dropping-particle":"","parse-names":false,"suffix":""},{"dropping-particle":"","family":"Bakken","given":"Lars R.","non-dropping-particle":"","parse-names":false,"suffix":""}],"container-title":"Soil Biology and Biochemistry","id":"ITEM-1","issue":"7","issued":{"date-parts":[["2008","7"]]},"page":"1940-1946","title":"Extraction of soil bacteria from a Ferralsol","type":"article-journal","volume":"40"},"uris":["http://www.mendeley.com/documents/?uuid=489ccd76-8412-337c-abbb-c192a8b9c373"]}],"mendeley":{"formattedCitation":"(Ehlers et al., 2008)","plainTextFormattedCitation":"(Ehlers et al., 2008)","previouslyFormattedCitation":"(Ehlers et al., 2008)"},"properties":{"noteIndex":0},"schema":"https://github.com/citation-style-language/schema/raw/master/csl-citation.json"}</w:instrText>
      </w:r>
      <w:r w:rsidR="00D30683">
        <w:rPr>
          <w:sz w:val="22"/>
          <w:szCs w:val="22"/>
        </w:rPr>
        <w:fldChar w:fldCharType="separate"/>
      </w:r>
      <w:r w:rsidR="00D30683" w:rsidRPr="00D30683">
        <w:rPr>
          <w:noProof/>
          <w:sz w:val="22"/>
          <w:szCs w:val="22"/>
        </w:rPr>
        <w:t>(Ehlers et al., 2008)</w:t>
      </w:r>
      <w:r w:rsidR="00D30683">
        <w:rPr>
          <w:sz w:val="22"/>
          <w:szCs w:val="22"/>
        </w:rPr>
        <w:fldChar w:fldCharType="end"/>
      </w:r>
      <w:r w:rsidRPr="00BE5BB4">
        <w:rPr>
          <w:sz w:val="22"/>
          <w:szCs w:val="22"/>
        </w:rPr>
        <w:t xml:space="preserve">, the most frequently used high-throughput methods target on specific constituents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typically chloroform labile microbial carbon (i.e. microbial protoplasm), DNA or phospholipid fatty acids</w:t>
      </w:r>
      <w:r w:rsidR="00D30683">
        <w:rPr>
          <w:sz w:val="22"/>
          <w:szCs w:val="22"/>
        </w:rPr>
        <w:t xml:space="preserve"> </w:t>
      </w:r>
      <w:r w:rsidR="00D30683">
        <w:rPr>
          <w:sz w:val="22"/>
          <w:szCs w:val="22"/>
        </w:rPr>
        <w:fldChar w:fldCharType="begin" w:fldLock="1"/>
      </w:r>
      <w:r w:rsidR="00D30683">
        <w:rPr>
          <w:sz w:val="22"/>
          <w:szCs w:val="22"/>
        </w:rPr>
        <w:instrText>ADDIN CSL_CITATION {"citationItems":[{"id":"ITEM-1","itemData":{"DOI":"10.1016/0038-0717(87)90052-6","ISBN":"0038-0717","author":[{"dropping-particle":"","family":"Vance","given":"E D","non-dropping-particle":"","parse-names":false,"suffix":""},{"dropping-particle":"","family":"Brookes","given":"P C","non-dropping-particle":"","parse-names":false,"suffix":""},{"dropping-particle":"","family":"Jenkinson","given":"D S","non-dropping-particle":"","parse-names":false,"suffix":""}],"container-title":"Soil Biology &amp; Biochemistry","id":"ITEM-1","issue":"6","issued":{"date-parts":[["1987"]]},"language":"English","note":"ISI Document Delivery No.: K6756\nTimes Cited: 2615\nCited Reference Count: 22\nVance, ed brookes, pc jenkinson, ds\nPergamon-elsevier science ltd\nOxford","page":"703-707","title":"An extraction method for measuring soil microbial biomass-C","type":"article-journal","volume":"19"},"uris":["http://www.mendeley.com/documents/?uuid=344ac5da-6472-4e5d-b06c-dc8ee6929d02"]},{"id":"ITEM-2","itemData":{"DOI":"10.1016/J.APSOIL.2017.04.002","ISSN":"0929-1393","abstract":"Based on the development of a direct DNA extraction method from soil, an estimation of soil microbial biomass by measurement of extracted soil DNA is presented. Chloroform-labile carbon (CLC) and nitrogen (CLN) determined by chloroform fumigation methods have been the major parameters of soil microbial biomass, but to date, there have been few studies of the relationship between DNA and CLN among soils with different characteristics. We applied DNA assays to the estimation of soil microbial biomass in various types of soil in Japan. The quantitative relationships among DNA, CLC and CLN released by the chloroform fumigation–extraction method were examined in 35 soil samples including five different soil types. The amount of DNA was moderately correlated with CLC (r=0.652, n=35), but there was no significant correlation in one of the soil types (fluvisol) representing a typical soil in Japan (r=0.124; n=15). Moreover, there was a strong correlation between DNA and CLN (r=0.887; n=35), and the correlation was high in every major soil type. These findings raise the possibility that DNA could be used to estimate biomass N even among different kinds of soil, with a conversion factor of 2.75 for DNA (μgg−1 soil).","author":[{"dropping-particle":"","family":"Yokoyama","given":"Saki","non-dropping-particle":"","parse-names":false,"suffix":""},{"dropping-particle":"","family":"Yuri","given":"Kaoru","non-dropping-particle":"","parse-names":false,"suffix":""},{"dropping-particle":"","family":"Nomi","given":"Takiko","non-dropping-particle":"","parse-names":false,"suffix":""},{"dropping-particle":"","family":"Komine","given":"Masashi","non-dropping-particle":"","parse-names":false,"suffix":""},{"dropping-particle":"","family":"Nakamura","given":"Shin-ichi","non-dropping-particle":"","parse-names":false,"suffix":""},{"dropping-particle":"","family":"Hattori","given":"Hiroyuki","non-dropping-particle":"","parse-names":false,"suffix":""},{"dropping-particle":"","family":"Rai","given":"Hiroki","non-dropping-particle":"","parse-names":false,"suffix":""}],"container-title":"Applied Soil Ecology","id":"ITEM-2","issued":{"date-parts":[["2017","9","1"]]},"page":"1-9","publisher":"Elsevier","title":"The high correlation between DNA and chloroform-labile N in various types of soil","type":"article-journal","volume":"117-118"},"uris":["http://www.mendeley.com/documents/?uuid=c29fe14c-2fad-3ecf-a580-77874ed17839"]},{"id":"ITEM-3","itemData":{"DOI":"10.1007/BF00384433","ISSN":"0178-2762","abstract":"The cell content of 12 bacterial phospholipid fatty acids (PLFA) was determined in bacteria extracted from soil by homogenization/centrifugation. The bacteria were enumerated using acridine orange direct counts. An average of 1.40x10(-17) mol bacterial PLFA cell(-1) was found in bacteria extracted from 15 soils covering a wide range of pH and organic matter contents. With this factor, the bacterial biomass based on PLFA analyses of whole soil samples was calculated as 1.0-4.8 mg bacterial C g(-1) soil C. The corresponding range based on microscopical counts was 0.3-3.0 mg bacterial C g(-1) soil C. The recovery of bacteria from the soils using homogenization/centrifugation was 2.6-16% (mean 8.7%) measured by PLFA analysis, and 12-61% (mean 26%) measured as microscopical counts. The soil content of the PLFA 18:2 omega 6 was correlated with the ergosterol content (r=0.92), which supports the use of this PLFA as an indicator of fungal biomass. The ratio 18:2 omega 6 to bacterial PLFA is therefore suggested as an index of the fungal:bacterial biomass ratio in soil. An advantage with the method based on PLFA analyses is that the same technique and even the same sample is used to determine both fungi and bacteria. The fungal:bacterial biomass ratio calculated in this way was positively correlated with the organic matter content of the soils (r=0.94).","author":[{"dropping-particle":"","family":"Frostegard","given":"A.","non-dropping-particle":"","parse-names":false,"suffix":""},{"dropping-particle":"","family":"Baath","given":"E.","non-dropping-particle":"","parse-names":false,"suffix":""}],"container-title":"Biology and Fertility of Soils","id":"ITEM-3","issue":"1-2","issued":{"date-parts":[["1996","4"]]},"page":"59-65","publisher":"SPRINGER VERLAG, 175 FIFTH AVE, NEW YORK, NY 10010","title":"The use of phospholipid fatty acid analysis to estimate bacterial and fungal biomass in soil","type":"article-journal","volume":"22"},"uris":["http://www.mendeley.com/documents/?uuid=06fc8cda-6295-461e-87cd-e463f9c74878"]}],"mendeley":{"formattedCitation":"(Frostegard &amp; Baath, 1996; Vance, Brookes, &amp; Jenkinson, 1987; Yokoyama et al., 2017)","plainTextFormattedCitation":"(Frostegard &amp; Baath, 1996; Vance, Brookes, &amp; Jenkinson, 1987; Yokoyama et al., 2017)","previouslyFormattedCitation":"(Frostegard &amp; Baath, 1996; Vance, Brookes, &amp; Jenkinson, 1987; Yokoyama et al., 2017)"},"properties":{"noteIndex":0},"schema":"https://github.com/citation-style-language/schema/raw/master/csl-citation.json"}</w:instrText>
      </w:r>
      <w:r w:rsidR="00D30683">
        <w:rPr>
          <w:sz w:val="22"/>
          <w:szCs w:val="22"/>
        </w:rPr>
        <w:fldChar w:fldCharType="separate"/>
      </w:r>
      <w:r w:rsidR="00D30683" w:rsidRPr="00D30683">
        <w:rPr>
          <w:noProof/>
          <w:sz w:val="22"/>
          <w:szCs w:val="22"/>
        </w:rPr>
        <w:t>(Frostegard &amp; Baath, 1996; Vance, Brookes, &amp; Jenkinson, 1987; Yokoyama et al., 2017)</w:t>
      </w:r>
      <w:r w:rsidR="00D30683">
        <w:rPr>
          <w:sz w:val="22"/>
          <w:szCs w:val="22"/>
        </w:rPr>
        <w:fldChar w:fldCharType="end"/>
      </w:r>
      <w:r w:rsidRPr="00BE5BB4">
        <w:rPr>
          <w:sz w:val="22"/>
          <w:szCs w:val="22"/>
        </w:rPr>
        <w:t xml:space="preserve">, that can be extracted from soil quantitatively.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is then calculated using conversion factors</w:t>
      </w:r>
      <w:r w:rsidR="00D30683">
        <w:rPr>
          <w:sz w:val="22"/>
          <w:szCs w:val="22"/>
        </w:rPr>
        <w:t xml:space="preserve"> </w:t>
      </w:r>
      <w:r w:rsidR="00D30683">
        <w:rPr>
          <w:sz w:val="22"/>
          <w:szCs w:val="22"/>
        </w:rPr>
        <w:fldChar w:fldCharType="begin" w:fldLock="1"/>
      </w:r>
      <w:r w:rsidR="00273863">
        <w:rPr>
          <w:sz w:val="22"/>
          <w:szCs w:val="22"/>
        </w:rPr>
        <w:instrText>ADDIN CSL_CITATION {"citationItems":[{"id":"ITEM-1","itemData":{"DOI":"10.1016/0038-0717(87)90052-6","ISBN":"0038-0717","author":[{"dropping-particle":"","family":"Vance","given":"E D","non-dropping-particle":"","parse-names":false,"suffix":""},{"dropping-particle":"","family":"Brookes","given":"P C","non-dropping-particle":"","parse-names":false,"suffix":""},{"dropping-particle":"","family":"Jenkinson","given":"D S","non-dropping-particle":"","parse-names":false,"suffix":""}],"container-title":"Soil Biology &amp; Biochemistry","id":"ITEM-1","issue":"6","issued":{"date-parts":[["1987"]]},"language":"English","note":"ISI Document Delivery No.: K6756\nTimes Cited: 2615\nCited Reference Count: 22\nVance, ed brookes, pc jenkinson, ds\nPergamon-elsevier science ltd\nOxford","page":"703-707","title":"An extraction method for measuring soil microbial biomass-C","type":"article-journal","volume":"19"},"uris":["http://www.mendeley.com/documents/?uuid=344ac5da-6472-4e5d-b06c-dc8ee6929d02"]},{"id":"ITEM-2","itemData":{"DOI":"10.1016/J.APSOIL.2017.04.002","ISSN":"0929-1393","abstract":"Based on the development of a direct DNA extraction method from soil, an estimation of soil microbial biomass by measurement of extracted soil DNA is presented. Chloroform-labile carbon (CLC) and nitrogen (CLN) determined by chloroform fumigation methods have been the major parameters of soil microbial biomass, but to date, there have been few studies of the relationship between DNA and CLN among soils with different characteristics. We applied DNA assays to the estimation of soil microbial biomass in various types of soil in Japan. The quantitative relationships among DNA, CLC and CLN released by the chloroform fumigation–extraction method were examined in 35 soil samples including five different soil types. The amount of DNA was moderately correlated with CLC (r=0.652, n=35), but there was no significant correlation in one of the soil types (fluvisol) representing a typical soil in Japan (r=0.124; n=15). Moreover, there was a strong correlation between DNA and CLN (r=0.887; n=35), and the correlation was high in every major soil type. These findings raise the possibility that DNA could be used to estimate biomass N even among different kinds of soil, with a conversion factor of 2.75 for DNA (μgg−1 soil).","author":[{"dropping-particle":"","family":"Yokoyama","given":"Saki","non-dropping-particle":"","parse-names":false,"suffix":""},{"dropping-particle":"","family":"Yuri","given":"Kaoru","non-dropping-particle":"","parse-names":false,"suffix":""},{"dropping-particle":"","family":"Nomi","given":"Takiko","non-dropping-particle":"","parse-names":false,"suffix":""},{"dropping-particle":"","family":"Komine","given":"Masashi","non-dropping-particle":"","parse-names":false,"suffix":""},{"dropping-particle":"","family":"Nakamura","given":"Shin-ichi","non-dropping-particle":"","parse-names":false,"suffix":""},{"dropping-particle":"","family":"Hattori","given":"Hiroyuki","non-dropping-particle":"","parse-names":false,"suffix":""},{"dropping-particle":"","family":"Rai","given":"Hiroki","non-dropping-particle":"","parse-names":false,"suffix":""}],"container-title":"Applied Soil Ecology","id":"ITEM-2","issued":{"date-parts":[["2017","9","1"]]},"page":"1-9","publisher":"Elsevier","title":"The high correlation between DNA and chloroform-labile N in various types of soil","type":"article-journal","volume":"117-118"},"uris":["http://www.mendeley.com/documents/?uuid=c29fe14c-2fad-3ecf-a580-77874ed17839"]},{"id":"ITEM-3","itemData":{"DOI":"10.1007/BF00384433","ISSN":"0178-2762","abstract":"The cell content of 12 bacterial phospholipid fatty acids (PLFA) was determined in bacteria extracted from soil by homogenization/centrifugation. The bacteria were enumerated using acridine orange direct counts. An average of 1.40x10(-17) mol bacterial PLFA cell(-1) was found in bacteria extracted from 15 soils covering a wide range of pH and organic matter contents. With this factor, the bacterial biomass based on PLFA analyses of whole soil samples was calculated as 1.0-4.8 mg bacterial C g(-1) soil C. The corresponding range based on microscopical counts was 0.3-3.0 mg bacterial C g(-1) soil C. The recovery of bacteria from the soils using homogenization/centrifugation was 2.6-16% (mean 8.7%) measured by PLFA analysis, and 12-61% (mean 26%) measured as microscopical counts. The soil content of the PLFA 18:2 omega 6 was correlated with the ergosterol content (r=0.92), which supports the use of this PLFA as an indicator of fungal biomass. The ratio 18:2 omega 6 to bacterial PLFA is therefore suggested as an index of the fungal:bacterial biomass ratio in soil. An advantage with the method based on PLFA analyses is that the same technique and even the same sample is used to determine both fungi and bacteria. The fungal:bacterial biomass ratio calculated in this way was positively correlated with the organic matter content of the soils (r=0.94).","author":[{"dropping-particle":"","family":"Frostegard","given":"A.","non-dropping-particle":"","parse-names":false,"suffix":""},{"dropping-particle":"","family":"Baath","given":"E.","non-dropping-particle":"","parse-names":false,"suffix":""}],"container-title":"Biology and Fertility of Soils","id":"ITEM-3","issue":"1-2","issued":{"date-parts":[["1996","4"]]},"page":"59-65","publisher":"SPRINGER VERLAG, 175 FIFTH AVE, NEW YORK, NY 10010","title":"The use of phospholipid fatty acid analysis to estimate bacterial and fungal biomass in soil","type":"article-journal","volume":"22"},"uris":["http://www.mendeley.com/documents/?uuid=06fc8cda-6295-461e-87cd-e463f9c74878"]},{"id":"ITEM-4","itemData":{"DOI":"10.1016/S0038-0717(99)00210-2","ISSN":"0038-0717","abstract":"We evaluated the relationship between dsDNA and microbial biomass C estimated by chloroform fumigation in eight soils from the Ultuna long-term experiment (37% clay, 41% silt and 22% sand). These soils have received different organic amendments and fertilisers, every other year since 1956, which have resulted in different soil C contents and pH. Chloroform-labile C and dsDNA concentrations ranged from 50 to 208 μg and from 24 to 95 μg g−1 of soil, respectively. Soil concentrations of dsDNA and chloroform-labile C were highly correlated (r=0.96). The ratios of ergosterol to chloroform-labile C and ergosterol to dsDNA varied between the soils, indicating differences in the fungal-to-total biomass ratio. Despite differences in microbial community composition, the concentration of dsDNA was generally proportional to the concentration of chloroform-labile C and the two appeared to be equivalent measures of soil microbial biomass.","author":[{"dropping-particle":"","family":"Marstorp","given":"Håkan","non-dropping-particle":"","parse-names":false,"suffix":""},{"dropping-particle":"","family":"Guan","given":"Xin","non-dropping-particle":"","parse-names":false,"suffix":""},{"dropping-particle":"","family":"Gong","given":"Ping","non-dropping-particle":"","parse-names":false,"suffix":""}],"container-title":"Soil Biology and Biochemistry","id":"ITEM-4","issue":"6","issued":{"date-parts":[["2000","6","1"]]},"page":"879-882","publisher":"Pergamon","title":"Relationship between dsDNA, chloroform labile C and ergosterol in soils of different organic matter contents and pH","type":"article-journal","volume":"32"},"uris":["http://www.mendeley.com/documents/?uuid=e827070c-c08c-3573-b92c-1bc49cbe8a54"]}],"mendeley":{"formattedCitation":"(Frostegard &amp; Baath, 1996; Håkan Marstorp, Guan, &amp; Gong, 2000; Vance et al., 1987; Yokoyama et al., 2017)","plainTextFormattedCitation":"(Frostegard &amp; Baath, 1996; Håkan Marstorp, Guan, &amp; Gong, 2000; Vance et al., 1987; Yokoyama et al., 2017)","previouslyFormattedCitation":"(Frostegard &amp; Baath, 1996; Håkan Marstorp, Guan, &amp; Gong, 2000; Vance et al., 1987; Yokoyama et al., 2017)"},"properties":{"noteIndex":0},"schema":"https://github.com/citation-style-language/schema/raw/master/csl-citation.json"}</w:instrText>
      </w:r>
      <w:r w:rsidR="00D30683">
        <w:rPr>
          <w:sz w:val="22"/>
          <w:szCs w:val="22"/>
        </w:rPr>
        <w:fldChar w:fldCharType="separate"/>
      </w:r>
      <w:r w:rsidR="00D30683" w:rsidRPr="00D30683">
        <w:rPr>
          <w:noProof/>
          <w:sz w:val="22"/>
          <w:szCs w:val="22"/>
        </w:rPr>
        <w:t>(Frostegard &amp; Baath, 1996; Håkan Marstorp, Guan, &amp; Gong, 2000; Vance et al., 1987; Yokoyama et al., 2017)</w:t>
      </w:r>
      <w:r w:rsidR="00D30683">
        <w:rPr>
          <w:sz w:val="22"/>
          <w:szCs w:val="22"/>
        </w:rPr>
        <w:fldChar w:fldCharType="end"/>
      </w:r>
      <w:r w:rsidRPr="00BE5BB4">
        <w:rPr>
          <w:sz w:val="22"/>
          <w:szCs w:val="22"/>
        </w:rPr>
        <w:t xml:space="preserve">. However, the abundance of these constituents in microbial cells varies across different microbial species </w:t>
      </w:r>
      <w:r w:rsidR="00D30683">
        <w:rPr>
          <w:sz w:val="22"/>
          <w:szCs w:val="22"/>
        </w:rPr>
        <w:fldChar w:fldCharType="begin" w:fldLock="1"/>
      </w:r>
      <w:r w:rsidR="00D30683">
        <w:rPr>
          <w:sz w:val="22"/>
          <w:szCs w:val="22"/>
        </w:rPr>
        <w:instrText>ADDIN CSL_CITATION {"citationItems":[{"id":"ITEM-1","itemData":{"DOI":"10.1006/jtbi.2001.2369","ISBN":"00225193","abstract":"The biomass composition of microorganisms depends on the growth conditions. This study explores whether a two-component model can explain how the elemental and macromolecular composition of the biomass of bacteria varies with the specific growth rate. The model describes the rates at which microorganisms assimilate substrates into reserves and utilize reserves for maintenance and growth. Crucial model assumptions are that biomass consists of reserves and structure and that each of these components has an invariant composition. The composition of biomass can vary when the ratio between reserves and structure varies. Literature data on the macromolecular composition of Escherichia coli, cultivated on various substrates, show that the protein, RNA and DNA content of biomass follow a distinctive trend when plotted as a function of the dry-weight-specific growth rate. This observation leads to the proposition that the macromolecular composition of E. coli depends directly on the growth rate, and only indirectly on the carbon- and energy-source used as substrate. We show that the variation of the macromolecular composition of E. coli over its entire range of growth rates can be described with invariant macromolecular compositions of the reserve and structural components of biomass. The model is also applied to our data on a succinate-limited continuous culture of Paracoccus denitrificans. (C) 2001 Academic Press.","author":[{"dropping-particle":"","family":"Hanegraaf","given":"P P F","non-dropping-particle":"","parse-names":false,"suffix":""},{"dropping-particle":"","family":"Muller","given":"E B","non-dropping-particle":"","parse-names":false,"suffix":""}],"container-title":"Journal of Theoretical Biology","id":"ITEM-1","issue":"2","issued":{"date-parts":[["2001"]]},"language":"English","note":"From Duplicate 2 (The dynamics of the macromolecular composition of biomass - Hanegraaf, P P F; Muller, E B)\n\nISI Document Delivery No.: 473UX\nTimes Cited: 13\nCited Reference Count: 30\nAcademic press ltd\nLondon","page":"237-251","title":"The Dynamics of the Macromolecular Composition of Biomass","type":"article-journal","volume":"212"},"uris":["http://www.mendeley.com/documents/?uuid=91e636c3-1034-471e-b17f-0e296ab71295"]},{"id":"ITEM-2","itemData":{"DOI":"10.1016/0378-1097(93)90196-9","ISBN":"0378-1097","ISSN":"15746968","PMID":"1336","abstract":"Flow-cytometry was used to measure cell volumes and DNA contents of single cells in cultures of soil bacteria during exponential growth and starvation conditions. DNA was measured after staining with mitramycin/ethidium bromide. The measurement of DNA was calibrated with rifampicin-treated cells of E. coli containing even numbers of genomes per cell. Cell volumes were assessed by scatter light measurements. Constant DNA to biovolume relations over a range of cell sizes were found for each of the bacteria at exponential growth, and DNA contents per cell varied over a range equivalent to 1-4 genomes per cell. At generation times of 1.0-1.5 h, two genomes were registered as a mean. After starvation of washed cells in a salt solution (24 hrs), a fraction of the cells in each culture had DNA contents equivalent to 1 genome, but significant fractions retained DNA contents equivalent to 2-4 genomes. Attempts to create cells with even numbers of genomes per cell by treatment with rifampicin was successful on an Acinetobacter sp. In contrast, the response to rifampicin was less clear for Pseudomonas fluorescens and P. chlororaphis, and unclear for the gram positive bacteria isolated from soil. The mean decrease in biovolume upon starvation was 4.1 times (range 1.3-8.1 times) and larger than the mean decrease in DNA content of 1.8 (range 1.3-2.7 times). Cell volume determinations by measurements of scatter light was compared with volume determinations by fluorescence microscopy. The amounts of scatter light per volumes was variable, not only did we find large differences between bacterial types, but also between starving and exponentially growing cells of the same isolate. In order to use light scatter as a measure of biovolume, internal standards has to be chosen of comparable size and surface properties as to soil bacteria. © 1993.","author":[{"dropping-particle":"","family":"Christensen","given":"Henrik","non-dropping-particle":"","parse-names":false,"suffix":""},{"dropping-particle":"","family":"Bakken","given":"Lars R.","non-dropping-particle":"","parse-names":false,"suffix":""},{"dropping-particle":"","family":"Olsen","given":"Rolf A.","non-dropping-particle":"","parse-names":false,"suffix":""}],"container-title":"FEMS Microbiology Letters","id":"ITEM-2","issue":"3-4","issued":{"date-parts":[["1993","4","1"]]},"page":"129-140","publisher":"Oxford University Press","title":"Soil bacterial DNA and biovolume profiles measured by flow-cytometry","type":"article-journal","volume":"102"},"uris":["http://www.mendeley.com/documents/?uuid=00ad7b36-5d03-3758-aedb-e9d713daddf9"]},{"id":"ITEM-3","itemData":{"DOI":"10.1007/BF00217422","ISSN":"0095-3628","abstract":"Indigenous soil bacteria were released from a clay loam soil by repeated washing and centrifugation followed by density gradient centrifugation to remove enough soil particles to allow a flow cytometric (FC) study of cell numbers, cell sizes, and DNA content in single cells. The bacteria were suspended in liquid soil extract medium and incubated at 15°C for 60 h, during which direct fluorescence microscopic counts (acridine orange direct counts, AODC) were done along with the FC measurements. Cells of Escherichia coli with a known number of whole genomes per cell (rifampicin treated) were used as a calibration standard both for the DNA measurements (mitramycin-ethidium bromide stain) and cell volumes (light scatter). In response to the nutrients in the soil extract medium, the indigenous soil bacteria increased in numbers and respiration rate after a lag period of about 17 h. The onset of growth was seen first as an increase in respiration rate, numbers of large cells, and the amounts of DNA per cell in the large cells. Respiration and direct microscopical determination of biovolume was used to calculate the average growth yield on the basis of cell carbon, which was found to be 20-30% during the period of active growth. For separate volume groups of the indigenous cells, the DNA content ranged from 1.5 to 15 fg DNA per cell, the majority being below 4 fg DNA. During growth in soil extract medium, the numbers of large cells (volume &gt; 0.18 μm3) increased, and the frequency of cells with high DNA contents increased as well for this group. For the smallest sized cells (volumes &lt; 0.065 μm3) it was not possible to detect any increase in numbers during the 60-h incubation, and the DNA contents of these cells remained virtually unchanged. Compared with cell volumes based on microscopy (AODC), the FC-light scatter data grossly overestimated the volume for indigenous cells but apparently not for the newly formed cells during growth in the suspension. This probably reflects differences in light scatter properties due to adsorbed materials on the indigenous cells. The FC-DNA measurements confirmed earlier findings in that the average DNA content per cell was low (around 2 fg DNA per cell), but demonstrated a positive relationship between cell size and DNA content for indigenous cells. © 1995 Springer-Verlag New York Inc.","author":[{"dropping-particle":"","family":"Christensen","given":"H.","non-dropping-particle":"","parse-names":false,"suffix":""},{"dropping-particle":"","family":"Olsen","given":"R.A.","non-dropping-particle":"","parse-names":false,"suffix":""},{"dropping-particle":"","family":"Bakken","given":"L.R.","non-dropping-particle":"","parse-names":false,"suffix":""}],"container-title":"Microbial Ecology","id":"ITEM-3","issue":"1","issued":{"date-parts":[["1995","1"]]},"page":"49-62","publisher":"Springer-Verlag","title":"Flow cytometric measurements of cell volumes and DNA contents during culture of indigenous soil bacteria","type":"article-journal","volume":"29"},"uris":["http://www.mendeley.com/documents/?uuid=e3f0282c-79d5-3d0e-996e-571b2f101d98"]}],"mendeley":{"formattedCitation":"(H. Christensen, Olsen, &amp; Bakken, 1995; Henrik Christensen, Bakken, &amp; Olsen, 1993; Hanegraaf &amp; Muller, 2001)","plainTextFormattedCitation":"(H. Christensen, Olsen, &amp; Bakken, 1995; Henrik Christensen, Bakken, &amp; Olsen, 1993; Hanegraaf &amp; Muller, 2001)","previouslyFormattedCitation":"(H. Christensen, Olsen, &amp; Bakken, 1995; Henrik Christensen, Bakken, &amp; Olsen, 1993; Hanegraaf &amp; Muller, 2001)"},"properties":{"noteIndex":0},"schema":"https://github.com/citation-style-language/schema/raw/master/csl-citation.json"}</w:instrText>
      </w:r>
      <w:r w:rsidR="00D30683">
        <w:rPr>
          <w:sz w:val="22"/>
          <w:szCs w:val="22"/>
        </w:rPr>
        <w:fldChar w:fldCharType="separate"/>
      </w:r>
      <w:r w:rsidR="00D30683" w:rsidRPr="00D30683">
        <w:rPr>
          <w:noProof/>
          <w:sz w:val="22"/>
          <w:szCs w:val="22"/>
        </w:rPr>
        <w:t>(H. Christensen, Olsen, &amp; Bakken, 1995; Henrik Christensen, Bakken, &amp; Olsen, 1993; Hanegraaf &amp; Muller, 2001)</w:t>
      </w:r>
      <w:r w:rsidR="00D30683">
        <w:rPr>
          <w:sz w:val="22"/>
          <w:szCs w:val="22"/>
        </w:rPr>
        <w:fldChar w:fldCharType="end"/>
      </w:r>
      <w:r w:rsidRPr="00BE5BB4">
        <w:rPr>
          <w:sz w:val="22"/>
          <w:szCs w:val="22"/>
        </w:rPr>
        <w:t xml:space="preserve"> and </w:t>
      </w:r>
      <w:r w:rsidRPr="00BE5BB4">
        <w:rPr>
          <w:sz w:val="22"/>
          <w:szCs w:val="22"/>
        </w:rPr>
        <w:lastRenderedPageBreak/>
        <w:t>changes with changing soil conditions</w:t>
      </w:r>
      <w:r w:rsidR="00D30683">
        <w:rPr>
          <w:sz w:val="22"/>
          <w:szCs w:val="22"/>
        </w:rPr>
        <w:t xml:space="preserve"> </w:t>
      </w:r>
      <w:r w:rsidR="00D30683">
        <w:rPr>
          <w:sz w:val="22"/>
          <w:szCs w:val="22"/>
        </w:rPr>
        <w:fldChar w:fldCharType="begin" w:fldLock="1"/>
      </w:r>
      <w:r w:rsidR="00273863">
        <w:rPr>
          <w:sz w:val="22"/>
          <w:szCs w:val="22"/>
        </w:rPr>
        <w:instrText>ADDIN CSL_CITATION {"citationItems":[{"id":"ITEM-1","itemData":{"ISSN":"0099-2240","PMID":"16347957","abstract":"The effects of water potential on the cellular compositions of a soil bacterium and a fungus were examined by growing the organisms in media with various KCl concentrations. In media containing up to 1 M KCl, C/N ratios in Aspergillus flavus increased significantly, while those for a Pseudomonas sp. did not. For both organisms, the proportions of cellular C and N in cytoplasm increased by a factor of 10 as salinity increased from 0 to 1 M KCl. Such compositional changes have implications for microbial biomass dynamics in soils of varying water potential and for biomass measurement by chloroform fumigation.","author":[{"dropping-particle":"","family":"Schimel","given":"J P","non-dropping-particle":"","parse-names":false,"suffix":""},{"dropping-particle":"","family":"Scott","given":"W J","non-dropping-particle":"","parse-names":false,"suffix":""},{"dropping-particle":"","family":"Killham","given":"K","non-dropping-particle":"","parse-names":false,"suffix":""}],"container-title":"Applied and environmental microbiology","id":"ITEM-1","issue":"6","issued":{"date-parts":[["1989","6","1"]]},"page":"1635-7","publisher":"American Society for Microbiology","title":"Changes in cytoplasmic carbon and nitrogen pools in a soil bacterium and a fungus in response to salt stress.","type":"article-journal","volume":"55"},"uris":["http://www.mendeley.com/documents/?uuid=66c00c9b-7ad5-30da-9bc2-6f47c0e21e01"]},{"id":"ITEM-2","itemData":{"DOI":"10.1016/0038-0717(90)90104-8","ISBN":"0038-0717","ISSN":"00380717","abstract":"The fumigation-extraction method to estimate microbial C was applied to a range of seven soils with organic-C contents up to 47%. The additional oxidizable organic-C released by chcl3fumigation at -5 kPa water potential followed by extraction with 0.5 m K2SO4. was compared with the microbial C estimated by a modified substrate-induced-respiration (SIR) method, and by in situ labelling of cells with [14C]glucose. The extractable organic-C flush comprised 37-63% of the microbial C. The overall kecfactors, to convert from the organic-C flush to microbial C were 0.37 for the SIR method and 0.42 by14C-labelling. The relationship between microbial C and the oxidizable C released by fumigation was similar for both organic and mineral soils. Accumulated data from 168 comparisons of the relationship between the organic-C flush and microbial C were re-examined. The kec-factors varied widely between soils and were strongly influenced by soil water content. It is recommended that soils should be rewetted. when required, to the -5kPa water potential, to ensure that the fumigation stage is fully effective. The reliability of the SIR and fumigation-incubation methods is discussed and a revised calibration for the SIR method: microbial C (/gmg g-1) = 50(/gmlCO2g-1h-1) is proposed, based on14C-labelling and alternative methods of calcula the CO2-C flush when using the fumigation-incubation method. Taking account of possible underestimation of microbial C by these calibrations, a value of 0.35 is suggested as being representative of an overall kec-factor for New Zealand soils. Variability between soils means there is an error in applying an average factor to all soils, but a standard method should be adequate for most applications of microbial C measurements. © 1990.","author":[{"dropping-particle":"","family":"Sparling","given":"G. P.","non-dropping-particle":"","parse-names":false,"suffix":""},{"dropping-particle":"","family":"Feltham","given":"C. W.","non-dropping-particle":"","parse-names":false,"suffix":""},{"dropping-particle":"","family":"Reynolds","given":"J.","non-dropping-particle":"","parse-names":false,"suffix":""},{"dropping-particle":"","family":"West","given":"A. W.","non-dropping-particle":"","parse-names":false,"suffix":""},{"dropping-particle":"","family":"Singleton","given":"P.","non-dropping-particle":"","parse-names":false,"suffix":""}],"container-title":"Soil Biology and Biochemistry","id":"ITEM-2","issue":"3","issued":{"date-parts":[["1990","1"]]},"page":"301-307","title":"Estimation of soil microbial c by a fumigation-extraction method: use on soils of high organic matter content, and a reassessment of the kec-factor","type":"article-journal","volume":"22"},"uris":["http://www.mendeley.com/documents/?uuid=1d57868f-1adc-3889-8272-04ee0a314f34"]},{"id":"ITEM-3","itemData":{"DOI":"10.1016/0038-0717(93)90072-J","ISSN":"0038-0717","abstract":"The suitability of fumigation-incubation and fumigation-extraction procedures for measuring microbial C and N in strongly acid litter and different depths of soil of a southern beech (Nothofagus spp) forest was investigated. The substrate-induced respiration (SIR) method was also briefly examined. In the fumigation-incubation method, a large inoculum (20% w/w) of unfumigated sample and controls of either fumigated L and FH materials or unfumigated mineral soil incubated for 10–20 days gave maximum CO2-C flush values; controls of unfumigated material incubated for 0–10 days were unsuitable. The kc-factors selected for conversion of CO2-C flush to microbial C depended on sample pH and ranged from 0.28 to 0.44. Use of no control, and a common kc-factor of 0.45, appeared to over-estimate microbial C in L and FH samples, but gave reasonable estimates in the samples of mineral soil. Inoculum size had no detectable influence on mineral-N flush, determined with an unfumigated control. In the fumigation-extraction procedure, increasing fumigation time from 1 to 5 days significantly increased all extractable-N, but not extractable-C, values. Means of experimentally determined kEC-factors, for converting extractable-C flush to microbial C, varied from 0.28 to 0.31 (SD, 0.05–0.09), depending on which 10–20 day control was used in calibration with the fumigation-incubation method. The kEN-factors when calculated in a similar way appeared unrealistically high. The SIR method appeared to under-estimate microbial biomass, when a conventional formula was used for converting CO2 produced to microbial C. Further calibration of the SIR procedure, however, seems warranted. The fumigation-extraction procedure is generally recommended for measuring microbial C and N in these strongly acid samples, using a kEC-factor of c 0.30 and the provisional kEN-factor of 0.45, respectively.","author":[{"dropping-particle":"","family":"Ross","given":"D.J.","non-dropping-particle":"","parse-names":false,"suffix":""},{"dropping-particle":"","family":"Täte","given":"K.R.","non-dropping-particle":"","parse-names":false,"suffix":""}],"container-title":"Soil Biology and Biochemistry","id":"ITEM-3","issue":"4","issued":{"date-parts":[["1993","4","1"]]},"page":"467-475","publisher":"Pergamon","title":"Microbial C and N in litter and soil of a southern beech (Nothofagus) forest: Comparison of measurement procedures","type":"article-journal","volume":"25"},"uris":["http://www.mendeley.com/documents/?uuid=f82725c5-6b1d-3fff-9ae9-b9e62731000d"]},{"id":"ITEM-4","itemData":{"DOI":"10.1016/S0038-0717(97)00111-9","ISSN":"0038-0717","abstract":"We investigated whether the chloroform fumigation extraction (CFE) method could be used to determine the microbial biomass in subsurface soils. The structure of microbial communities may vary over depth and the distribution of their cellular components may result in variations in the value of the calibration coefficient Kec. To verify whether this is so, we adopted a procedure based on in situ labelling of the microbial biomass using 14C-labelled carbon substrates. This procedure was evaluated under different operating conditions, by changing the chemical type (glucose or acetate), and the amount and duration of contact with the tracer substrates. Experimental data support two main conclusions. First, realistic values of the Kec coefficient can be obtained for subsoil microflora as long as they are determined under nutrient conditions similar to those prevailing in the natural environment. Second, a relationship exists between the value of the Kec coefficient and the depth in the soil profile.","author":[{"dropping-particle":"","family":"Dictor","given":"Marie-Christine","non-dropping-particle":"","parse-names":false,"suffix":""},{"dropping-particle":"","family":"Tessier","given":"Laurent","non-dropping-particle":"","parse-names":false,"suffix":""},{"dropping-particle":"","family":"Soulas","given":"Guy","non-dropping-particle":"","parse-names":false,"suffix":""}],"container-title":"Soil Biology and Biochemistry","id":"ITEM-4","issue":"2","issued":{"date-parts":[["1998","2","1"]]},"page":"119-127","publisher":"Pergamon","title":"Reassessement of the Kec coefficient of the fumigation–extraction method in a soil profile","type":"article-journal","volume":"30"},"uris":["http://www.mendeley.com/documents/?uuid=9c17330d-d722-3358-90d6-3a6b0537e284"]},{"id":"ITEM-5","itemData":{"DOI":"10.1016/S0038-0717(99)00065-6","ISSN":"0038-0717","abstract":"We combined measurements of dsDNA, using a newly developed assay for quantitative determination of dsDNA in crude soil extracts (Sandaa et al., 1998, Soil Biology &amp; Biochemistry 30, 265–268), with measurements of biomass C according to the fumigation extraction (FE) technique and calculations of growth characteristics obtained from respiration curves to measure microbial growth in soil after glucose addition. Our results showed that the exponential increase in respiration rate after glucose addition was accompanied by an exponential increase in the amount of dsDNA extracted from the soil. Values of the specific microbial growth rate (μ) obtained from respiration rates and from dsDNA concentrations were almost identical. This suggests that changes in dsDNA quantitatively reflected microbial growth in soil after glucose addition. However, changes in chloroform labile C (CL-C) did not reflect microbial growth during the exponential phase. The increases in CL-C preceded the formation of dsDNA. This resulted in a 4-fold decrease in the ratio of dsDNA-to-CL-C 5 h after glucose addition compared to the initial value. This ratio then increased and towards the end of the incubation (216 h) had reached that of the non-amended soil. With an increase in the rate of glucose addition the proportion of glucose C respired increased while the proportion of glucose C recovered in the chloroform labile fraction decreased. The lowest rate of glucose application (100 μg C g−1) resulted in microbial uptake of glucose C, without there having been an increase in the amount of dsDNA nor evidence of growth from the respiration data. Such uptake without growth confirms earlier suggestions that at low rates of glucose addition the C assimilated is stored or incorporated in the microbial cytoplasm. We conclude that measurements of dsDNA and respiration rates can be used to measure specific microbial growth rates after substrate addition to soil, and that dsDNA is an alternative to quantifying microbial biomass under conditions where the FE technique is not wholly reliable.","author":[{"dropping-particle":"","family":"Marstorp","given":"H","non-dropping-particle":"","parse-names":false,"suffix":""},{"dropping-particle":"","family":"Witter","given":"E","non-dropping-particle":"","parse-names":false,"suffix":""}],"container-title":"Soil Biology and Biochemistry","id":"ITEM-5","issue":"10","issued":{"date-parts":[["1999","9","1"]]},"page":"1443-1453","publisher":"Pergamon","title":"Extractable dsDNA and product formation as measures of microbial growth in soil upon substrate addition","type":"article-journal","volume":"31"},"uris":["http://www.mendeley.com/documents/?uuid=aa0c88fd-5153-3fb8-bb28-a2e5efaeab32"]},{"id":"ITEM-6","itemData":{"DOI":"10.1002/jpln.200321041","ISBN":"1436-8730","ISSN":"14368730","abstract":"Microbial eco-physiology in soils is regulated by substrate quality of the organic matter. This regulation was studied for a forest and an agricultural soil by the combination of activity and biomass techniques. Soil respiration was stimulated by the substrate quality in the order, humic acid &lt; cellulose &lt; glucose over 20 days. Concurrently, substrate addition increased the respiratory quotient (RQ), defined as the ratio of mol CO2 evolution per mol O-2 uptake. Anabolic processes were mainly induced by glucose addition. Soil preconditioned with glucose showed a decrease in the RQ value during glucose-induced microbial growth in comparison to non-amended control. The decrease in the RQ value induced by preconditioning with cellulose and humic acid was lower. Glucose, cellulose, and humic acid addition modified the microbial biomass as estimated by fumigation-extraction (FE), substrate-induced respiration (SIR), and ATP content. Since each biomass estimate refers to specific microbial components, shifts in microbial eco-physiology and community structure induced by substrate quality were reflected by SIR : FE and SIR : ATP ratios. The active and glucose-responsive biomass in the forest soil which was earlier suggested as being dominated by K-strategists was increased in the order, humic acid &lt; cellulose &lt; glucose.","author":[{"dropping-particle":"","family":"Dilly","given":"Oliver","non-dropping-particle":"","parse-names":false,"suffix":""}],"container-title":"Journal of Plant Nutrition and Soil Science","id":"ITEM-6","issue":"3","issued":{"date-parts":[["2004","6","1"]]},"page":"261-266","publisher":"Wiley-Blackwell","title":"Effects of glucose, cellulose, and humic acids on soil microbial eco-physiology","type":"article-journal","volume":"167"},"uris":["http://www.mendeley.com/documents/?uuid=3983d0c4-8190-39e2-a53f-68ef039dbb50"]}],"mendeley":{"formattedCitation":"(Dictor, Tessier, &amp; Soulas, 1998; Dilly, 2004; H Marstorp &amp; Witter, 1999; Ross &amp; Täte, 1993; Schimel, Scott, &amp; Killham, 1989; G. P. Sparling, Feltham, Reynolds, West, &amp; Singleton, 1990)","plainTextFormattedCitation":"(Dictor, Tessier, &amp; Soulas, 1998; Dilly, 2004; H Marstorp &amp; Witter, 1999; Ross &amp; Täte, 1993; Schimel, Scott, &amp; Killham, 1989; G. P. Sparling, Feltham, Reynolds, West, &amp; Singleton, 1990)","previouslyFormattedCitation":"(Dictor, Tessier, &amp; Soulas, 1998; Dilly, 2004; H Marstorp &amp; Witter, 1999; Ross &amp; Täte, 1993; Schimel, Scott, &amp; Killham, 1989; G. P. Sparling, Feltham, Reynolds, West, &amp; Singleton, 1990)"},"properties":{"noteIndex":0},"schema":"https://github.com/citation-style-language/schema/raw/master/csl-citation.json"}</w:instrText>
      </w:r>
      <w:r w:rsidR="00D30683">
        <w:rPr>
          <w:sz w:val="22"/>
          <w:szCs w:val="22"/>
        </w:rPr>
        <w:fldChar w:fldCharType="separate"/>
      </w:r>
      <w:r w:rsidR="00273863" w:rsidRPr="00273863">
        <w:rPr>
          <w:noProof/>
          <w:sz w:val="22"/>
          <w:szCs w:val="22"/>
        </w:rPr>
        <w:t>(Dictor, Tessier, &amp; Soulas, 1998; Dilly, 2004; H Marstorp &amp; Witter, 1999; Ross &amp; Täte, 1993; Schimel, Scott, &amp; Killham, 1989; G. P. Sparling, Feltham, Reynolds, West, &amp; Singleton, 1990)</w:t>
      </w:r>
      <w:r w:rsidR="00D30683">
        <w:rPr>
          <w:sz w:val="22"/>
          <w:szCs w:val="22"/>
        </w:rPr>
        <w:fldChar w:fldCharType="end"/>
      </w:r>
      <w:r w:rsidRPr="00BE5BB4">
        <w:rPr>
          <w:sz w:val="22"/>
          <w:szCs w:val="22"/>
        </w:rPr>
        <w:t xml:space="preserve">. For example, </w:t>
      </w:r>
      <w:proofErr w:type="spellStart"/>
      <w:r w:rsidRPr="00BE5BB4">
        <w:rPr>
          <w:sz w:val="22"/>
          <w:szCs w:val="22"/>
        </w:rPr>
        <w:t>Marstrop</w:t>
      </w:r>
      <w:proofErr w:type="spellEnd"/>
      <w:r w:rsidRPr="00BE5BB4">
        <w:rPr>
          <w:sz w:val="22"/>
          <w:szCs w:val="22"/>
        </w:rPr>
        <w:t xml:space="preserve"> and Witter (1999) and Dilly (2004) showed that following a substrate addition, the temporal dynamic of DNA, ATP and chloroform labile microbial carbon is </w:t>
      </w:r>
      <w:r w:rsidR="00D30683" w:rsidRPr="00BE5BB4">
        <w:rPr>
          <w:sz w:val="22"/>
          <w:szCs w:val="22"/>
        </w:rPr>
        <w:t>significantly</w:t>
      </w:r>
      <w:r w:rsidRPr="00BE5BB4">
        <w:rPr>
          <w:sz w:val="22"/>
          <w:szCs w:val="22"/>
        </w:rPr>
        <w:t xml:space="preserve"> different in respect of magnitude and timing of the change. The reciprocal ratios of these cellular constituents vary during the experiment by a factor of four. Yet, most of the studies do not reflect the variability of microbial composition and use one universal conversion factor to calculate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implicitely accepting the associated error. Thus, when the composition of microbial cells changes in designated manipulation experiment with time or as a result of experimental treatment, the effect of that treatment on coupled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dynamic is confounded by the error associated with quantitative estimation </w:t>
      </w:r>
      <w:proofErr w:type="gramStart"/>
      <w:r w:rsidRPr="00BE5BB4">
        <w:rPr>
          <w:sz w:val="22"/>
          <w:szCs w:val="22"/>
        </w:rPr>
        <w:t xml:space="preserve">of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The only method to avoid such a bias is to explicitely account for the variability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composition in the model. Such a possibility offer a Dynamic Energy Budget theory originally developed by </w:t>
      </w:r>
      <w:proofErr w:type="spellStart"/>
      <w:r w:rsidRPr="00BE5BB4">
        <w:rPr>
          <w:sz w:val="22"/>
          <w:szCs w:val="22"/>
        </w:rPr>
        <w:t>Kooijiman</w:t>
      </w:r>
      <w:proofErr w:type="spellEnd"/>
      <w:r w:rsidRPr="00BE5BB4">
        <w:rPr>
          <w:sz w:val="22"/>
          <w:szCs w:val="22"/>
        </w:rPr>
        <w:t xml:space="preserve"> </w:t>
      </w:r>
      <w:r w:rsidR="00273863">
        <w:rPr>
          <w:sz w:val="22"/>
          <w:szCs w:val="22"/>
        </w:rPr>
        <w:fldChar w:fldCharType="begin" w:fldLock="1"/>
      </w:r>
      <w:r w:rsidR="00273863">
        <w:rPr>
          <w:sz w:val="22"/>
          <w:szCs w:val="22"/>
        </w:rPr>
        <w:instrText>ADDIN CSL_CITATION {"citationItems":[{"id":"ITEM-1","itemData":{"ISBN":"0 521 45223 6","author":[{"dropping-particle":"","family":"Kooijman","given":"S. A.L.M.","non-dropping-particle":"","parse-names":false,"suffix":""}],"edition":"Third","id":"ITEM-1","issued":{"date-parts":[["2009"]]},"number-of-pages":"508","publisher":"Cambridge University Press","publisher-place":"Cambridge, United Kingdom and New York, NY, USA","title":"Dynamic Energy Budget theory for metabolic organisation","type":"book"},"uris":["http://www.mendeley.com/documents/?uuid=fa498a6b-2d7a-42d7-8370-16700c7dbb45"]}],"mendeley":{"formattedCitation":"(Kooijman, 2009)","manualFormatting":"(2009)","plainTextFormattedCitation":"(Kooijman, 2009)","previouslyFormattedCitation":"(Kooijman, 2009)"},"properties":{"noteIndex":0},"schema":"https://github.com/citation-style-language/schema/raw/master/csl-citation.json"}</w:instrText>
      </w:r>
      <w:r w:rsidR="00273863">
        <w:rPr>
          <w:sz w:val="22"/>
          <w:szCs w:val="22"/>
        </w:rPr>
        <w:fldChar w:fldCharType="separate"/>
      </w:r>
      <w:r w:rsidR="00273863" w:rsidRPr="00273863">
        <w:rPr>
          <w:noProof/>
          <w:sz w:val="22"/>
          <w:szCs w:val="22"/>
        </w:rPr>
        <w:t>(2009)</w:t>
      </w:r>
      <w:r w:rsidR="00273863">
        <w:rPr>
          <w:sz w:val="22"/>
          <w:szCs w:val="22"/>
        </w:rPr>
        <w:fldChar w:fldCharType="end"/>
      </w:r>
      <w:r w:rsidRPr="00BE5BB4">
        <w:rPr>
          <w:sz w:val="22"/>
          <w:szCs w:val="22"/>
        </w:rPr>
        <w:t xml:space="preserve"> and </w:t>
      </w:r>
      <w:r w:rsidR="00273863" w:rsidRPr="00BE5BB4">
        <w:rPr>
          <w:sz w:val="22"/>
          <w:szCs w:val="22"/>
        </w:rPr>
        <w:t>successfully</w:t>
      </w:r>
      <w:r w:rsidRPr="00BE5BB4">
        <w:rPr>
          <w:sz w:val="22"/>
          <w:szCs w:val="22"/>
        </w:rPr>
        <w:t xml:space="preserve"> used by </w:t>
      </w:r>
      <w:proofErr w:type="spellStart"/>
      <w:r w:rsidRPr="00BE5BB4">
        <w:rPr>
          <w:sz w:val="22"/>
          <w:szCs w:val="22"/>
        </w:rPr>
        <w:t>Hanegraaf</w:t>
      </w:r>
      <w:proofErr w:type="spellEnd"/>
      <w:r w:rsidRPr="00BE5BB4">
        <w:rPr>
          <w:sz w:val="22"/>
          <w:szCs w:val="22"/>
        </w:rPr>
        <w:t xml:space="preserve"> and Muller (2001) and </w:t>
      </w:r>
      <w:r w:rsidR="00273863">
        <w:rPr>
          <w:sz w:val="22"/>
          <w:szCs w:val="22"/>
        </w:rPr>
        <w:fldChar w:fldCharType="begin" w:fldLock="1"/>
      </w:r>
      <w:r w:rsidR="00273863">
        <w:rPr>
          <w:sz w:val="22"/>
          <w:szCs w:val="22"/>
        </w:rPr>
        <w:instrText>ADDIN CSL_CITATION {"citationItems":[{"id":"ITEM-1","itemData":{"DOI":"10.1002/(SICI)1097-0061(20000330)16:5&lt;423::AID-YEA541&gt;3.0.CO;2-I","ISBN":"0749-503X (Print)\\r0749-503X (Linking)","ISSN":"0749503X","PMID":"10705371","abstract":"A mechanistic model is presented that describes the respiro-fermentative physiology of yeast. The model assumes the presence of multiple types of glucose carriers and multiple assimilation pathways. Respiro-fermentative physiology is explained by the mechanistic response of the different types of carriers and assimilation pathways on the substrate concentration. At low substrate concentrations, glucose is taken up mainly via a high affinity carrier with a low maximum uptake rate. At high substrate concentrations, this carrier becomes saturated and the main pathway for glucose uptake is via a low affinity carrier with a high maximum uptake rate. The price to pay for the high uptake rate is a lowered assimilation efficiency, resulting in a low biomass yield. Product formation occurs via the pathway with the high uptake rate. The model explains the link between substrate concentration and product formation generally observed in the literature on yeast and bacteria. Model parameter values are estimated by fitting data from the literature. The model distinguishes itself from other models in that it does not rely on the presence of switches, such as the 'critical dilution rate', or on the assumption that the respiratory capacity reaches its maximum during respiro-fermentative metabolism. The present theory is not designed exclusively for the phenomenon of respiro-fermentative physiology: it describes the degradation of substances by heterotrophic micro-organisms in general.","author":[{"dropping-particle":"","family":"Hanegraaf","given":"P. P.F.","non-dropping-particle":"","parse-names":false,"suffix":""},{"dropping-particle":"","family":"Stouthamer","given":"A. H.","non-dropping-particle":"","parse-names":false,"suffix":""},{"dropping-particle":"","family":"Kooijman","given":"S. A.L.M.","non-dropping-particle":"","parse-names":false,"suffix":""}],"container-title":"Yeast","id":"ITEM-1","issue":"5","issued":{"date-parts":[["2000","3","30"]]},"page":"423-437","publisher":"Wiley-Blackwell","title":"A mathematical model for yeast respiro-fermentative physiology","type":"article-journal","volume":"16"},"uris":["http://www.mendeley.com/documents/?uuid=88d9a91e-d4f0-3770-b6b5-488761e405b1"]}],"mendeley":{"formattedCitation":"(Hanegraaf, Stouthamer, &amp; Kooijman, 2000)","manualFormatting":"Hanegraaf, Stouthamer, &amp; Kooijman (2000)","plainTextFormattedCitation":"(Hanegraaf, Stouthamer, &amp; Kooijman, 2000)","previouslyFormattedCitation":"(Hanegraaf, Stouthamer, &amp; Kooijman, 2000)"},"properties":{"noteIndex":0},"schema":"https://github.com/citation-style-language/schema/raw/master/csl-citation.json"}</w:instrText>
      </w:r>
      <w:r w:rsidR="00273863">
        <w:rPr>
          <w:sz w:val="22"/>
          <w:szCs w:val="22"/>
        </w:rPr>
        <w:fldChar w:fldCharType="separate"/>
      </w:r>
      <w:r w:rsidR="00273863" w:rsidRPr="00273863">
        <w:rPr>
          <w:noProof/>
          <w:sz w:val="22"/>
          <w:szCs w:val="22"/>
        </w:rPr>
        <w:t>Ha</w:t>
      </w:r>
      <w:r w:rsidR="00273863">
        <w:rPr>
          <w:noProof/>
          <w:sz w:val="22"/>
          <w:szCs w:val="22"/>
        </w:rPr>
        <w:t>negraaf, Stouthamer, &amp; Kooijman</w:t>
      </w:r>
      <w:r w:rsidR="00273863" w:rsidRPr="00273863">
        <w:rPr>
          <w:noProof/>
          <w:sz w:val="22"/>
          <w:szCs w:val="22"/>
        </w:rPr>
        <w:t xml:space="preserve"> </w:t>
      </w:r>
      <w:r w:rsidR="00273863">
        <w:rPr>
          <w:noProof/>
          <w:sz w:val="22"/>
          <w:szCs w:val="22"/>
        </w:rPr>
        <w:t>(</w:t>
      </w:r>
      <w:r w:rsidR="00273863" w:rsidRPr="00273863">
        <w:rPr>
          <w:noProof/>
          <w:sz w:val="22"/>
          <w:szCs w:val="22"/>
        </w:rPr>
        <w:t>2000)</w:t>
      </w:r>
      <w:r w:rsidR="00273863">
        <w:rPr>
          <w:sz w:val="22"/>
          <w:szCs w:val="22"/>
        </w:rPr>
        <w:fldChar w:fldCharType="end"/>
      </w:r>
      <w:r w:rsidR="00273863">
        <w:rPr>
          <w:sz w:val="22"/>
          <w:szCs w:val="22"/>
        </w:rPr>
        <w:t xml:space="preserve"> </w:t>
      </w:r>
      <w:r w:rsidRPr="00BE5BB4">
        <w:rPr>
          <w:sz w:val="22"/>
          <w:szCs w:val="22"/>
        </w:rPr>
        <w:t xml:space="preserve">to explain and model macromolecular and elemental composition of several pure microbial cultures along the gradient of organic substrate concentration and growth rate. The fundamental assumption of the theory is an existence of two different pools </w:t>
      </w:r>
      <w:proofErr w:type="gramStart"/>
      <w:r w:rsidRPr="00BE5BB4">
        <w:rPr>
          <w:sz w:val="22"/>
          <w:szCs w:val="22"/>
        </w:rPr>
        <w:t xml:space="preserve">of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reserves (</w:t>
      </w:r>
      <m:oMath>
        <m:r>
          <w:rPr>
            <w:rFonts w:ascii="Cambria Math" w:hAnsi="Cambria Math"/>
            <w:sz w:val="22"/>
            <w:szCs w:val="22"/>
          </w:rPr>
          <m:t>R</m:t>
        </m:r>
      </m:oMath>
      <w:r w:rsidRPr="00BE5BB4">
        <w:rPr>
          <w:sz w:val="22"/>
          <w:szCs w:val="22"/>
        </w:rPr>
        <w:t>) and Structures (</w:t>
      </w:r>
      <m:oMath>
        <m:r>
          <w:rPr>
            <w:rFonts w:ascii="Cambria Math" w:hAnsi="Cambria Math"/>
            <w:sz w:val="22"/>
            <w:szCs w:val="22"/>
          </w:rPr>
          <m:t>S</m:t>
        </m:r>
      </m:oMath>
      <w:r w:rsidRPr="00BE5BB4">
        <w:rPr>
          <w:sz w:val="22"/>
          <w:szCs w:val="22"/>
        </w:rPr>
        <w:t xml:space="preserve">). These pools have different function in the organism and different dynamic. Their proportion changes making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composition flexible in respect to </w:t>
      </w:r>
      <m:oMath>
        <m:r>
          <w:rPr>
            <w:rFonts w:ascii="Cambria Math" w:hAnsi="Cambria Math"/>
            <w:sz w:val="22"/>
            <w:szCs w:val="22"/>
          </w:rPr>
          <m:t>R</m:t>
        </m:r>
      </m:oMath>
      <w:r w:rsidRPr="00BE5BB4">
        <w:rPr>
          <w:sz w:val="22"/>
          <w:szCs w:val="22"/>
        </w:rPr>
        <w:t xml:space="preserve"> </w:t>
      </w:r>
      <w:proofErr w:type="gramStart"/>
      <w:r w:rsidRPr="00BE5BB4">
        <w:rPr>
          <w:sz w:val="22"/>
          <w:szCs w:val="22"/>
        </w:rPr>
        <w:t xml:space="preserve">and </w:t>
      </w:r>
      <w:proofErr w:type="gramEnd"/>
      <m:oMath>
        <m:r>
          <w:rPr>
            <w:rFonts w:ascii="Cambria Math" w:hAnsi="Cambria Math"/>
            <w:sz w:val="22"/>
            <w:szCs w:val="22"/>
          </w:rPr>
          <m:t>S</m:t>
        </m:r>
      </m:oMath>
      <w:r w:rsidRPr="00BE5BB4">
        <w:rPr>
          <w:sz w:val="22"/>
          <w:szCs w:val="22"/>
        </w:rPr>
        <w:t xml:space="preserve">. The content of these pools can be defined in respect to cell constituents of interest. This allows to make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composition flexible in respect to these constituents too </w:t>
      </w:r>
      <w:r w:rsidR="00273863">
        <w:rPr>
          <w:sz w:val="22"/>
          <w:szCs w:val="22"/>
        </w:rPr>
        <w:fldChar w:fldCharType="begin" w:fldLock="1"/>
      </w:r>
      <w:r w:rsidR="00273863">
        <w:rPr>
          <w:sz w:val="22"/>
          <w:szCs w:val="22"/>
        </w:rPr>
        <w:instrText>ADDIN CSL_CITATION {"citationItems":[{"id":"ITEM-1","itemData":{"DOI":"10.1002/(SICI)1097-0061(20000330)16:5&lt;423::AID-YEA541&gt;3.0.CO;2-I","ISBN":"0749-503X (Print)\\r0749-503X (Linking)","ISSN":"0749503X","PMID":"10705371","abstract":"A mechanistic model is presented that describes the respiro-fermentative physiology of yeast. The model assumes the presence of multiple types of glucose carriers and multiple assimilation pathways. Respiro-fermentative physiology is explained by the mechanistic response of the different types of carriers and assimilation pathways on the substrate concentration. At low substrate concentrations, glucose is taken up mainly via a high affinity carrier with a low maximum uptake rate. At high substrate concentrations, this carrier becomes saturated and the main pathway for glucose uptake is via a low affinity carrier with a high maximum uptake rate. The price to pay for the high uptake rate is a lowered assimilation efficiency, resulting in a low biomass yield. Product formation occurs via the pathway with the high uptake rate. The model explains the link between substrate concentration and product formation generally observed in the literature on yeast and bacteria. Model parameter values are estimated by fitting data from the literature. The model distinguishes itself from other models in that it does not rely on the presence of switches, such as the 'critical dilution rate', or on the assumption that the respiratory capacity reaches its maximum during respiro-fermentative metabolism. The present theory is not designed exclusively for the phenomenon of respiro-fermentative physiology: it describes the degradation of substances by heterotrophic micro-organisms in general.","author":[{"dropping-particle":"","family":"Hanegraaf","given":"P. P.F.","non-dropping-particle":"","parse-names":false,"suffix":""},{"dropping-particle":"","family":"Stouthamer","given":"A. H.","non-dropping-particle":"","parse-names":false,"suffix":""},{"dropping-particle":"","family":"Kooijman","given":"S. A.L.M.","non-dropping-particle":"","parse-names":false,"suffix":""}],"container-title":"Yeast","id":"ITEM-1","issue":"5","issued":{"date-parts":[["2000","3","30"]]},"page":"423-437","publisher":"Wiley-Blackwell","title":"A mathematical model for yeast respiro-fermentative physiology","type":"article-journal","volume":"16"},"uris":["http://www.mendeley.com/documents/?uuid=88d9a91e-d4f0-3770-b6b5-488761e405b1"]},{"id":"ITEM-2","itemData":{"DOI":"10.1006/jtbi.2001.2369","ISBN":"00225193","abstract":"The biomass composition of microorganisms depends on the growth conditions. This study explores whether a two-component model can explain how the elemental and macromolecular composition of the biomass of bacteria varies with the specific growth rate. The model describes the rates at which microorganisms assimilate substrates into reserves and utilize reserves for maintenance and growth. Crucial model assumptions are that biomass consists of reserves and structure and that each of these components has an invariant composition. The composition of biomass can vary when the ratio between reserves and structure varies. Literature data on the macromolecular composition of Escherichia coli, cultivated on various substrates, show that the protein, RNA and DNA content of biomass follow a distinctive trend when plotted as a function of the dry-weight-specific growth rate. This observation leads to the proposition that the macromolecular composition of E. coli depends directly on the growth rate, and only indirectly on the carbon- and energy-source used as substrate. We show that the variation of the macromolecular composition of E. coli over its entire range of growth rates can be described with invariant macromolecular compositions of the reserve and structural components of biomass. The model is also applied to our data on a succinate-limited continuous culture of Paracoccus denitrificans. (C) 2001 Academic Press.","author":[{"dropping-particle":"","family":"Hanegraaf","given":"P P F","non-dropping-particle":"","parse-names":false,"suffix":""},{"dropping-particle":"","family":"Muller","given":"E B","non-dropping-particle":"","parse-names":false,"suffix":""}],"container-title":"Journal of Theoretical Biology","id":"ITEM-2","issue":"2","issued":{"date-parts":[["2001"]]},"language":"English","note":"From Duplicate 2 (The dynamics of the macromolecular composition of biomass - Hanegraaf, P P F; Muller, E B)\n\nISI Document Delivery No.: 473UX\nTimes Cited: 13\nCited Reference Count: 30\nAcademic press ltd\nLondon","page":"237-251","title":"The Dynamics of the Macromolecular Composition of Biomass","type":"article-journal","volume":"212"},"uris":["http://www.mendeley.com/documents/?uuid=91e636c3-1034-471e-b17f-0e296ab71295"]}],"mendeley":{"formattedCitation":"(Hanegraaf &amp; Muller, 2001; Hanegraaf et al., 2000)","plainTextFormattedCitation":"(Hanegraaf &amp; Muller, 2001; Hanegraaf et al., 2000)","previouslyFormattedCitation":"(Hanegraaf &amp; Muller, 2001; Hanegraaf et al., 2000)"},"properties":{"noteIndex":0},"schema":"https://github.com/citation-style-language/schema/raw/master/csl-citation.json"}</w:instrText>
      </w:r>
      <w:r w:rsidR="00273863">
        <w:rPr>
          <w:sz w:val="22"/>
          <w:szCs w:val="22"/>
        </w:rPr>
        <w:fldChar w:fldCharType="separate"/>
      </w:r>
      <w:r w:rsidR="00273863" w:rsidRPr="00273863">
        <w:rPr>
          <w:noProof/>
          <w:sz w:val="22"/>
          <w:szCs w:val="22"/>
        </w:rPr>
        <w:t>(Hanegraaf &amp; Muller, 2001; Hanegraaf et al., 2000)</w:t>
      </w:r>
      <w:r w:rsidR="00273863">
        <w:rPr>
          <w:sz w:val="22"/>
          <w:szCs w:val="22"/>
        </w:rPr>
        <w:fldChar w:fldCharType="end"/>
      </w:r>
      <w:r w:rsidRPr="00BE5BB4">
        <w:rPr>
          <w:sz w:val="22"/>
          <w:szCs w:val="22"/>
        </w:rPr>
        <w:t xml:space="preserve">. The provided flexibility should be sufficient to explain the variability of single species molecular composition. However, it has to be expected that different microbial species have different molecular composition and that the microbial species abundance can change with changing soil conditions. </w:t>
      </w:r>
    </w:p>
    <w:p w:rsidR="00424F1C" w:rsidRPr="00BE5BB4" w:rsidRDefault="00BE5BB4" w:rsidP="00BE5BB4">
      <w:pPr>
        <w:spacing w:before="0" w:line="480" w:lineRule="auto"/>
        <w:rPr>
          <w:sz w:val="22"/>
          <w:szCs w:val="22"/>
        </w:rPr>
      </w:pPr>
      <w:r w:rsidRPr="00BE5BB4">
        <w:rPr>
          <w:sz w:val="22"/>
          <w:szCs w:val="22"/>
        </w:rPr>
        <w:lastRenderedPageBreak/>
        <w:t xml:space="preserve">The aim of this study is to quantify the effect of physical structure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quality on the coupled dynamic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quantified as two different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(i.e. Cellular proteins and DNA). To do so, we designed an experiment in which indigenous soil microbial community was incubated with two different substrates (i.e. glucose and </w:t>
      </w:r>
      <w:proofErr w:type="spellStart"/>
      <w:r w:rsidRPr="00BE5BB4">
        <w:rPr>
          <w:sz w:val="22"/>
          <w:szCs w:val="22"/>
        </w:rPr>
        <w:t>cellobiose</w:t>
      </w:r>
      <w:proofErr w:type="spellEnd"/>
      <w:r w:rsidRPr="00BE5BB4">
        <w:rPr>
          <w:sz w:val="22"/>
          <w:szCs w:val="22"/>
        </w:rPr>
        <w:t xml:space="preserve">) and with or without the presence of two types of physical barrier differing in texture (i.e. glass beads and glass wool). We expect that the presence of physical barrier would decrease the rate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uptake by microbial community.</w:t>
      </w:r>
    </w:p>
    <w:p w:rsidR="00424F1C" w:rsidRPr="00BE5BB4" w:rsidRDefault="00BE5BB4" w:rsidP="00BE5BB4">
      <w:pPr>
        <w:pStyle w:val="Heading2"/>
        <w:spacing w:before="0" w:line="480" w:lineRule="auto"/>
        <w:rPr>
          <w:rFonts w:asciiTheme="minorHAnsi" w:hAnsiTheme="minorHAnsi"/>
          <w:sz w:val="22"/>
          <w:szCs w:val="22"/>
        </w:rPr>
      </w:pPr>
      <w:bookmarkStart w:id="3" w:name="material-and-methods"/>
      <w:r w:rsidRPr="00BE5BB4">
        <w:rPr>
          <w:rFonts w:asciiTheme="minorHAnsi" w:hAnsiTheme="minorHAnsi"/>
          <w:sz w:val="22"/>
          <w:szCs w:val="22"/>
        </w:rPr>
        <w:t>Material and Methods</w:t>
      </w:r>
    </w:p>
    <w:p w:rsidR="00424F1C" w:rsidRPr="00BE5BB4" w:rsidRDefault="00BE5BB4" w:rsidP="00BE5BB4">
      <w:pPr>
        <w:pStyle w:val="Heading3"/>
        <w:spacing w:before="0" w:line="480" w:lineRule="auto"/>
        <w:rPr>
          <w:rFonts w:asciiTheme="minorHAnsi" w:hAnsiTheme="minorHAnsi"/>
          <w:sz w:val="22"/>
          <w:szCs w:val="22"/>
        </w:rPr>
      </w:pPr>
      <w:bookmarkStart w:id="4" w:name="experimental-design"/>
      <w:bookmarkEnd w:id="3"/>
      <w:r w:rsidRPr="00BE5BB4">
        <w:rPr>
          <w:rFonts w:asciiTheme="minorHAnsi" w:hAnsiTheme="minorHAnsi"/>
          <w:sz w:val="22"/>
          <w:szCs w:val="22"/>
        </w:rPr>
        <w:t>Experimental design</w:t>
      </w:r>
    </w:p>
    <w:bookmarkEnd w:id="4"/>
    <w:p w:rsidR="00424F1C" w:rsidRPr="00BE5BB4" w:rsidRDefault="00BE5BB4" w:rsidP="00BE5BB4">
      <w:pPr>
        <w:spacing w:before="0" w:line="480" w:lineRule="auto"/>
        <w:rPr>
          <w:sz w:val="22"/>
          <w:szCs w:val="22"/>
        </w:rPr>
      </w:pPr>
      <w:r w:rsidRPr="00BE5BB4">
        <w:rPr>
          <w:sz w:val="22"/>
          <w:szCs w:val="22"/>
        </w:rPr>
        <w:t xml:space="preserve">Soil microbial culture (see later) was incubated in liquid batch microcosms at 24°C in the dark for five days under six different experimental treatments. These treatments included two different organic substrates as a sole source of organic carbon for microbial culture and three different levels of microcosm structural complexity. The treatments were arranged in full factorial design. The two organic substrates were glucose and </w:t>
      </w:r>
      <w:proofErr w:type="spellStart"/>
      <w:r w:rsidRPr="00BE5BB4">
        <w:rPr>
          <w:sz w:val="22"/>
          <w:szCs w:val="22"/>
        </w:rPr>
        <w:t>cellobiose</w:t>
      </w:r>
      <w:proofErr w:type="spellEnd"/>
      <w:r w:rsidRPr="00BE5BB4">
        <w:rPr>
          <w:sz w:val="22"/>
          <w:szCs w:val="22"/>
        </w:rPr>
        <w:t xml:space="preserve">. The three levels of structural complexity of the system were represented by 30 ml serum bottles with liquid medium (denoted as </w:t>
      </w:r>
      <w:r w:rsidRPr="00BE5BB4">
        <w:rPr>
          <w:b/>
          <w:sz w:val="22"/>
          <w:szCs w:val="22"/>
        </w:rPr>
        <w:t>"BROTH"</w:t>
      </w:r>
      <w:r w:rsidRPr="00BE5BB4">
        <w:rPr>
          <w:sz w:val="22"/>
          <w:szCs w:val="22"/>
        </w:rPr>
        <w:t xml:space="preserve"> further in the text), with liquid medium and mixture of 2.7, 0.1 and 0.1 mm glass beads (5 g of 2.7 mm </w:t>
      </w:r>
      <w:proofErr w:type="spellStart"/>
      <w:r w:rsidRPr="00BE5BB4">
        <w:rPr>
          <w:sz w:val="22"/>
          <w:szCs w:val="22"/>
        </w:rPr>
        <w:t>Biospec</w:t>
      </w:r>
      <w:proofErr w:type="spellEnd"/>
      <w:r w:rsidRPr="00BE5BB4">
        <w:rPr>
          <w:sz w:val="22"/>
          <w:szCs w:val="22"/>
        </w:rPr>
        <w:t xml:space="preserve"> glass beads, 2 g of 1.0 mm </w:t>
      </w:r>
      <w:proofErr w:type="spellStart"/>
      <w:r w:rsidRPr="00BE5BB4">
        <w:rPr>
          <w:sz w:val="22"/>
          <w:szCs w:val="22"/>
        </w:rPr>
        <w:t>Biospec</w:t>
      </w:r>
      <w:proofErr w:type="spellEnd"/>
      <w:r w:rsidRPr="00BE5BB4">
        <w:rPr>
          <w:sz w:val="22"/>
          <w:szCs w:val="22"/>
        </w:rPr>
        <w:t xml:space="preserve"> glass beads and 1 g of 0.1 mm Next-Advanced glass beads; denoted as </w:t>
      </w:r>
      <w:r w:rsidRPr="00BE5BB4">
        <w:rPr>
          <w:b/>
          <w:sz w:val="22"/>
          <w:szCs w:val="22"/>
        </w:rPr>
        <w:t>"GLASS"</w:t>
      </w:r>
      <w:r w:rsidRPr="00BE5BB4">
        <w:rPr>
          <w:sz w:val="22"/>
          <w:szCs w:val="22"/>
        </w:rPr>
        <w:t xml:space="preserve"> further in the text) and with liquid medium and glass wool (0.2 g of Pyrex fiber glass wool cut to ~0.25 cm pieces; denoted as </w:t>
      </w:r>
      <w:r w:rsidRPr="00BE5BB4">
        <w:rPr>
          <w:b/>
          <w:sz w:val="22"/>
          <w:szCs w:val="22"/>
        </w:rPr>
        <w:t>"WOOL"</w:t>
      </w:r>
      <w:r w:rsidRPr="00BE5BB4">
        <w:rPr>
          <w:sz w:val="22"/>
          <w:szCs w:val="22"/>
        </w:rPr>
        <w:t xml:space="preserve"> further in the text). A total of 12 replicates were prepared for each condition so that four replicates could be harvested at three time</w:t>
      </w:r>
      <w:r w:rsidR="00273863">
        <w:rPr>
          <w:sz w:val="22"/>
          <w:szCs w:val="22"/>
        </w:rPr>
        <w:t xml:space="preserve"> </w:t>
      </w:r>
      <w:r w:rsidRPr="00BE5BB4">
        <w:rPr>
          <w:sz w:val="22"/>
          <w:szCs w:val="22"/>
        </w:rPr>
        <w:t>points; 24, 48, and 120 hr.</w:t>
      </w:r>
    </w:p>
    <w:p w:rsidR="00424F1C" w:rsidRPr="00BE5BB4" w:rsidRDefault="00BE5BB4" w:rsidP="00BE5BB4">
      <w:pPr>
        <w:pStyle w:val="Heading3"/>
        <w:spacing w:before="0" w:line="480" w:lineRule="auto"/>
        <w:rPr>
          <w:rFonts w:asciiTheme="minorHAnsi" w:hAnsiTheme="minorHAnsi"/>
          <w:sz w:val="22"/>
          <w:szCs w:val="22"/>
        </w:rPr>
      </w:pPr>
      <w:bookmarkStart w:id="5" w:name="indigenous-soil-microbial-culture"/>
      <w:r w:rsidRPr="00BE5BB4">
        <w:rPr>
          <w:rFonts w:asciiTheme="minorHAnsi" w:hAnsiTheme="minorHAnsi"/>
          <w:sz w:val="22"/>
          <w:szCs w:val="22"/>
        </w:rPr>
        <w:t>Indigenous soil microbial culture</w:t>
      </w:r>
    </w:p>
    <w:bookmarkEnd w:id="5"/>
    <w:p w:rsidR="00424F1C" w:rsidRPr="00BE5BB4" w:rsidRDefault="00BE5BB4" w:rsidP="00BE5BB4">
      <w:pPr>
        <w:spacing w:before="0" w:line="480" w:lineRule="auto"/>
        <w:rPr>
          <w:sz w:val="22"/>
          <w:szCs w:val="22"/>
        </w:rPr>
      </w:pPr>
      <w:r w:rsidRPr="00BE5BB4">
        <w:rPr>
          <w:sz w:val="22"/>
          <w:szCs w:val="22"/>
        </w:rPr>
        <w:t xml:space="preserve">Soil collected from a fertilized prairie plot at the Comparison of Biofuel Systems research site at Iowa State University’s South </w:t>
      </w:r>
      <w:proofErr w:type="spellStart"/>
      <w:r w:rsidRPr="00BE5BB4">
        <w:rPr>
          <w:sz w:val="22"/>
          <w:szCs w:val="22"/>
        </w:rPr>
        <w:t>Reynoldson</w:t>
      </w:r>
      <w:proofErr w:type="spellEnd"/>
      <w:r w:rsidRPr="00BE5BB4">
        <w:rPr>
          <w:sz w:val="22"/>
          <w:szCs w:val="22"/>
        </w:rPr>
        <w:t xml:space="preserve"> Farm (Boone County, Iowa) was used to prepare a soil derived microbial inoculum for the microcosm time course experiment. Modified M9 Media was </w:t>
      </w:r>
      <w:r w:rsidRPr="00BE5BB4">
        <w:rPr>
          <w:sz w:val="22"/>
          <w:szCs w:val="22"/>
        </w:rPr>
        <w:lastRenderedPageBreak/>
        <w:t xml:space="preserve">used for soil culturing and was prepared by mixing 300 ml of M9 Minimal Media 10X stock solution (59.623 g anhydrous </w:t>
      </w:r>
      <m:oMath>
        <m:r>
          <w:rPr>
            <w:rFonts w:ascii="Cambria Math" w:hAnsi="Cambria Math"/>
            <w:sz w:val="22"/>
            <w:szCs w:val="22"/>
          </w:rPr>
          <m:t>Na</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P</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4</m:t>
            </m:r>
          </m:sub>
        </m:sSub>
      </m:oMath>
      <w:r w:rsidRPr="00BE5BB4">
        <w:rPr>
          <w:sz w:val="22"/>
          <w:szCs w:val="22"/>
        </w:rPr>
        <w:t xml:space="preserve">, 29.938 g </w:t>
      </w:r>
      <m:oMath>
        <m:r>
          <w:rPr>
            <w:rFonts w:ascii="Cambria Math" w:hAnsi="Cambria Math"/>
            <w:sz w:val="22"/>
            <w:szCs w:val="22"/>
          </w:rPr>
          <m:t>K</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P</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4</m:t>
            </m:r>
          </m:sub>
        </m:sSub>
      </m:oMath>
      <w:r w:rsidRPr="00BE5BB4">
        <w:rPr>
          <w:sz w:val="22"/>
          <w:szCs w:val="22"/>
        </w:rPr>
        <w:t xml:space="preserve">, 4.967 g NaCl, 10.003 g </w:t>
      </w:r>
      <m:oMath>
        <m:r>
          <w:rPr>
            <w:rFonts w:ascii="Cambria Math" w:hAnsi="Cambria Math"/>
            <w:sz w:val="22"/>
            <w:szCs w:val="22"/>
          </w:rPr>
          <m:t>N</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4</m:t>
            </m:r>
          </m:sub>
        </m:sSub>
        <m:r>
          <w:rPr>
            <w:rFonts w:ascii="Cambria Math" w:hAnsi="Cambria Math"/>
            <w:sz w:val="22"/>
            <w:szCs w:val="22"/>
          </w:rPr>
          <m:t>Cl</m:t>
        </m:r>
      </m:oMath>
      <w:r w:rsidRPr="00BE5BB4">
        <w:rPr>
          <w:sz w:val="22"/>
          <w:szCs w:val="22"/>
        </w:rPr>
        <w:t xml:space="preserve">, 1.204 g anhydrous </w:t>
      </w:r>
      <m:oMath>
        <m:r>
          <w:rPr>
            <w:rFonts w:ascii="Cambria Math" w:hAnsi="Cambria Math"/>
            <w:sz w:val="22"/>
            <w:szCs w:val="22"/>
          </w:rPr>
          <m:t>MgS</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4</m:t>
            </m:r>
          </m:sub>
        </m:sSub>
      </m:oMath>
      <w:r w:rsidRPr="00BE5BB4">
        <w:rPr>
          <w:sz w:val="22"/>
          <w:szCs w:val="22"/>
        </w:rPr>
        <w:t xml:space="preserve"> and 0.140 g </w:t>
      </w:r>
      <m:oMath>
        <m:r>
          <w:rPr>
            <w:rFonts w:ascii="Cambria Math" w:hAnsi="Cambria Math"/>
            <w:sz w:val="22"/>
            <w:szCs w:val="22"/>
          </w:rPr>
          <m:t>CaC</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2</m:t>
            </m:r>
          </m:sub>
        </m:sSub>
        <m:r>
          <w:rPr>
            <w:rFonts w:ascii="Cambria Math" w:hAnsi="Cambria Math"/>
            <w:sz w:val="22"/>
            <w:szCs w:val="22"/>
          </w:rPr>
          <m:t>⋅2</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0</m:t>
        </m:r>
      </m:oMath>
      <w:r w:rsidRPr="00BE5BB4">
        <w:rPr>
          <w:sz w:val="22"/>
          <w:szCs w:val="22"/>
        </w:rPr>
        <w:t xml:space="preserve"> in 1 l of ultra pure water), 10 ml of </w:t>
      </w:r>
      <w:proofErr w:type="spellStart"/>
      <w:r w:rsidRPr="00BE5BB4">
        <w:rPr>
          <w:sz w:val="22"/>
          <w:szCs w:val="22"/>
        </w:rPr>
        <w:t>Hutner's</w:t>
      </w:r>
      <w:proofErr w:type="spellEnd"/>
      <w:r w:rsidRPr="00BE5BB4">
        <w:rPr>
          <w:sz w:val="22"/>
          <w:szCs w:val="22"/>
        </w:rPr>
        <w:t xml:space="preserve"> Trace Element Solution (10 g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6</m:t>
            </m:r>
          </m:sub>
        </m:sSub>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9</m:t>
            </m:r>
          </m:sub>
        </m:sSub>
        <m:r>
          <w:rPr>
            <w:rFonts w:ascii="Cambria Math" w:hAnsi="Cambria Math"/>
            <w:sz w:val="22"/>
            <w:szCs w:val="22"/>
          </w:rPr>
          <m:t>N</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6</m:t>
            </m:r>
          </m:sub>
        </m:sSub>
      </m:oMath>
      <w:r w:rsidRPr="00BE5BB4">
        <w:rPr>
          <w:sz w:val="22"/>
          <w:szCs w:val="22"/>
        </w:rPr>
        <w:t xml:space="preserve">, 7.3 g KOH, 14.45 g </w:t>
      </w:r>
      <m:oMath>
        <m:r>
          <w:rPr>
            <w:rFonts w:ascii="Cambria Math" w:hAnsi="Cambria Math"/>
            <w:sz w:val="22"/>
            <w:szCs w:val="22"/>
          </w:rPr>
          <m:t>MgS</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4</m:t>
            </m:r>
          </m:sub>
        </m:sSub>
      </m:oMath>
      <w:r w:rsidRPr="00BE5BB4">
        <w:rPr>
          <w:sz w:val="22"/>
          <w:szCs w:val="22"/>
        </w:rPr>
        <w:t xml:space="preserve">, 3.335 g </w:t>
      </w:r>
      <m:oMath>
        <m:r>
          <w:rPr>
            <w:rFonts w:ascii="Cambria Math" w:hAnsi="Cambria Math"/>
            <w:sz w:val="22"/>
            <w:szCs w:val="22"/>
          </w:rPr>
          <m:t>CaC</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2</m:t>
            </m:r>
          </m:sub>
        </m:sSub>
        <m:r>
          <w:rPr>
            <w:rFonts w:ascii="Cambria Math" w:hAnsi="Cambria Math"/>
            <w:sz w:val="22"/>
            <w:szCs w:val="22"/>
          </w:rPr>
          <m:t>⋅2</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0</m:t>
        </m:r>
      </m:oMath>
      <w:r w:rsidRPr="00BE5BB4">
        <w:rPr>
          <w:sz w:val="22"/>
          <w:szCs w:val="22"/>
        </w:rPr>
        <w:t xml:space="preserve">, 0.00925 g </w:t>
      </w:r>
      <m:oMath>
        <m:r>
          <w:rPr>
            <w:rFonts w:ascii="Cambria Math" w:hAnsi="Cambria Math"/>
            <w:sz w:val="22"/>
            <w:szCs w:val="22"/>
          </w:rPr>
          <m:t>(N</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4</m:t>
            </m:r>
          </m:sub>
        </m:sSub>
        <m:sSub>
          <m:sSubPr>
            <m:ctrlPr>
              <w:rPr>
                <w:rFonts w:ascii="Cambria Math" w:hAnsi="Cambria Math"/>
                <w:sz w:val="22"/>
                <w:szCs w:val="22"/>
              </w:rPr>
            </m:ctrlPr>
          </m:sSubPr>
          <m:e>
            <m:r>
              <w:rPr>
                <w:rFonts w:ascii="Cambria Math" w:hAnsi="Cambria Math"/>
                <w:sz w:val="22"/>
                <w:szCs w:val="22"/>
              </w:rPr>
              <m:t>)</m:t>
            </m:r>
          </m:e>
          <m:sub>
            <m:r>
              <w:rPr>
                <w:rFonts w:ascii="Cambria Math" w:hAnsi="Cambria Math"/>
                <w:sz w:val="22"/>
                <w:szCs w:val="22"/>
              </w:rPr>
              <m:t>6</m:t>
            </m:r>
          </m:sub>
        </m:sSub>
        <m:r>
          <w:rPr>
            <w:rFonts w:ascii="Cambria Math" w:hAnsi="Cambria Math"/>
            <w:sz w:val="22"/>
            <w:szCs w:val="22"/>
          </w:rPr>
          <m:t>M</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7</m:t>
            </m:r>
          </m:sub>
        </m:sSub>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24</m:t>
            </m:r>
          </m:sub>
        </m:sSub>
        <m:r>
          <w:rPr>
            <w:rFonts w:ascii="Cambria Math" w:hAnsi="Cambria Math"/>
            <w:sz w:val="22"/>
            <w:szCs w:val="22"/>
          </w:rPr>
          <m:t>⋅4</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0</m:t>
        </m:r>
      </m:oMath>
      <w:r w:rsidRPr="00BE5BB4">
        <w:rPr>
          <w:sz w:val="22"/>
          <w:szCs w:val="22"/>
        </w:rPr>
        <w:t xml:space="preserve">, 0.099 g </w:t>
      </w:r>
      <m:oMath>
        <m:r>
          <w:rPr>
            <w:rFonts w:ascii="Cambria Math" w:hAnsi="Cambria Math"/>
            <w:sz w:val="22"/>
            <w:szCs w:val="22"/>
          </w:rPr>
          <m:t>FeS</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4</m:t>
            </m:r>
          </m:sub>
        </m:sSub>
        <m:r>
          <w:rPr>
            <w:rFonts w:ascii="Cambria Math" w:hAnsi="Cambria Math"/>
            <w:sz w:val="22"/>
            <w:szCs w:val="22"/>
          </w:rPr>
          <m:t>⋅7</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0</m:t>
        </m:r>
      </m:oMath>
      <w:r w:rsidRPr="00BE5BB4">
        <w:rPr>
          <w:sz w:val="22"/>
          <w:szCs w:val="22"/>
        </w:rPr>
        <w:t xml:space="preserve"> and 50 mL of Hutner's Stock Salt Solution in 1 l of </w:t>
      </w:r>
      <w:proofErr w:type="spellStart"/>
      <w:r w:rsidRPr="00BE5BB4">
        <w:rPr>
          <w:sz w:val="22"/>
          <w:szCs w:val="22"/>
        </w:rPr>
        <w:t>ultra pure</w:t>
      </w:r>
      <w:proofErr w:type="spellEnd"/>
      <w:r w:rsidRPr="00BE5BB4">
        <w:rPr>
          <w:sz w:val="22"/>
          <w:szCs w:val="22"/>
        </w:rPr>
        <w:t xml:space="preserve"> water), 1 ml of Biotin (1 g </w:t>
      </w:r>
      <m:oMath>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-1</m:t>
            </m:r>
          </m:sup>
        </m:sSup>
      </m:oMath>
      <w:r w:rsidRPr="00BE5BB4">
        <w:rPr>
          <w:sz w:val="22"/>
          <w:szCs w:val="22"/>
        </w:rPr>
        <w:t xml:space="preserve">), 1 ml of Thiamin (1 g </w:t>
      </w:r>
      <m:oMath>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-1</m:t>
            </m:r>
          </m:sup>
        </m:sSup>
      </m:oMath>
      <w:r w:rsidRPr="00BE5BB4">
        <w:rPr>
          <w:sz w:val="22"/>
          <w:szCs w:val="22"/>
        </w:rPr>
        <w:t xml:space="preserve">) and ultra pure water to 1 l. Twenty replicates were prepared as follows: one gram of air-dried aggregates (&gt;2 mM) were submerged in 10 mL of sterile modified M9 media and 625 </w:t>
      </w:r>
      <w:proofErr w:type="spellStart"/>
      <w:r w:rsidRPr="00BE5BB4">
        <w:rPr>
          <w:sz w:val="22"/>
          <w:szCs w:val="22"/>
        </w:rPr>
        <w:t>uL</w:t>
      </w:r>
      <w:proofErr w:type="spellEnd"/>
      <w:r w:rsidRPr="00BE5BB4">
        <w:rPr>
          <w:sz w:val="22"/>
          <w:szCs w:val="22"/>
        </w:rPr>
        <w:t xml:space="preserve"> of sterile Luria-</w:t>
      </w:r>
      <w:proofErr w:type="spellStart"/>
      <w:r w:rsidRPr="00BE5BB4">
        <w:rPr>
          <w:sz w:val="22"/>
          <w:szCs w:val="22"/>
        </w:rPr>
        <w:t>Bertani</w:t>
      </w:r>
      <w:proofErr w:type="spellEnd"/>
      <w:r w:rsidRPr="00BE5BB4">
        <w:rPr>
          <w:sz w:val="22"/>
          <w:szCs w:val="22"/>
        </w:rPr>
        <w:t xml:space="preserve"> (LB) broth (Lennox; Sigma Aldrich) and incubated at 24°C for 7 days. Following 7 days of incubation, the soil cultures were shaken with ~ten 2.7 mm glass beads (</w:t>
      </w:r>
      <w:proofErr w:type="spellStart"/>
      <w:r w:rsidRPr="00BE5BB4">
        <w:rPr>
          <w:sz w:val="22"/>
          <w:szCs w:val="22"/>
        </w:rPr>
        <w:t>Biospec</w:t>
      </w:r>
      <w:proofErr w:type="spellEnd"/>
      <w:r w:rsidRPr="00BE5BB4">
        <w:rPr>
          <w:sz w:val="22"/>
          <w:szCs w:val="22"/>
        </w:rPr>
        <w:t>) for ten seconds. The soil cultures were pooled in a sterile glass flask, and particles were allowed to settle for 10 minutes. The liquid phase was further transferred to a new sterile flask and capped with aluminum till microcosm inoculation.</w:t>
      </w:r>
    </w:p>
    <w:p w:rsidR="00424F1C" w:rsidRPr="00BE5BB4" w:rsidRDefault="00BE5BB4" w:rsidP="00BE5BB4">
      <w:pPr>
        <w:pStyle w:val="Heading3"/>
        <w:spacing w:before="0" w:line="480" w:lineRule="auto"/>
        <w:rPr>
          <w:rFonts w:asciiTheme="minorHAnsi" w:hAnsiTheme="minorHAnsi"/>
          <w:sz w:val="22"/>
          <w:szCs w:val="22"/>
        </w:rPr>
      </w:pPr>
      <w:bookmarkStart w:id="6" w:name="microcosm"/>
      <w:r w:rsidRPr="00BE5BB4">
        <w:rPr>
          <w:rFonts w:asciiTheme="minorHAnsi" w:hAnsiTheme="minorHAnsi"/>
          <w:sz w:val="22"/>
          <w:szCs w:val="22"/>
        </w:rPr>
        <w:t>Microcosm</w:t>
      </w:r>
    </w:p>
    <w:bookmarkEnd w:id="6"/>
    <w:p w:rsidR="00424F1C" w:rsidRPr="00BE5BB4" w:rsidRDefault="00BE5BB4" w:rsidP="00BE5BB4">
      <w:pPr>
        <w:spacing w:before="0" w:line="480" w:lineRule="auto"/>
        <w:rPr>
          <w:sz w:val="22"/>
          <w:szCs w:val="22"/>
        </w:rPr>
      </w:pPr>
      <w:r w:rsidRPr="00BE5BB4">
        <w:rPr>
          <w:sz w:val="22"/>
          <w:szCs w:val="22"/>
        </w:rPr>
        <w:t xml:space="preserve">Microcosms were prepared by adding 3 ml of sterilized modified M9 media enriched with 1 </w:t>
      </w:r>
      <m:oMath>
        <m:r>
          <w:rPr>
            <w:rFonts w:ascii="Cambria Math" w:hAnsi="Cambria Math"/>
            <w:sz w:val="22"/>
            <w:szCs w:val="22"/>
          </w:rPr>
          <m:t>g </m:t>
        </m:r>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-1</m:t>
            </m:r>
          </m:sup>
        </m:sSup>
      </m:oMath>
      <w:r w:rsidRPr="00BE5BB4">
        <w:rPr>
          <w:sz w:val="22"/>
          <w:szCs w:val="22"/>
        </w:rPr>
        <w:t xml:space="preserve"> of organic carbon (cellobiose or glucose) and 1 ml of soil culture inoculum to each of the 72 autoclaved 30 mL serum bottles; 24 empty bottles (BROTH), 24 bottles with a glass wool matrix (WOOL), and 24 bottles with mixed glass beads (GLASS). Accounting for the dilution by the inoculum with assumed organic carbon concentration nearly zero, initial organic carbon concentration of the microcosms was 25 </w:t>
      </w:r>
      <m:oMath>
        <m:r>
          <w:rPr>
            <w:rFonts w:ascii="Cambria Math" w:hAnsi="Cambria Math"/>
            <w:sz w:val="22"/>
            <w:szCs w:val="22"/>
          </w:rPr>
          <m:t>μ</m:t>
        </m:r>
      </m:oMath>
      <w:proofErr w:type="gramStart"/>
      <w:r w:rsidRPr="00BE5BB4">
        <w:rPr>
          <w:sz w:val="22"/>
          <w:szCs w:val="22"/>
        </w:rPr>
        <w:t xml:space="preserve">mol </w:t>
      </w:r>
      <m:oMath>
        <m:r>
          <w:rPr>
            <w:rFonts w:ascii="Cambria Math" w:hAnsi="Cambria Math"/>
            <w:sz w:val="22"/>
            <w:szCs w:val="22"/>
          </w:rPr>
          <m:t>(</m:t>
        </m:r>
        <w:proofErr w:type="gramEnd"/>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r>
          <w:rPr>
            <w:rFonts w:ascii="Cambria Math" w:hAnsi="Cambria Math"/>
            <w:sz w:val="22"/>
            <w:szCs w:val="22"/>
          </w:rPr>
          <m:t>)</m:t>
        </m:r>
      </m:oMath>
      <w:r w:rsidRPr="00BE5BB4">
        <w:rPr>
          <w:sz w:val="22"/>
          <w:szCs w:val="22"/>
        </w:rPr>
        <w:t xml:space="preserve"> </w:t>
      </w:r>
      <m:oMath>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-1</m:t>
            </m:r>
          </m:sup>
        </m:sSup>
      </m:oMath>
      <w:r w:rsidRPr="00BE5BB4">
        <w:rPr>
          <w:sz w:val="22"/>
          <w:szCs w:val="22"/>
        </w:rPr>
        <w:t xml:space="preserve">. Samples were covered with air permeable Breath Easier (BE) membranes and kept at 24°C in an </w:t>
      </w:r>
      <w:proofErr w:type="spellStart"/>
      <w:r w:rsidRPr="00BE5BB4">
        <w:rPr>
          <w:sz w:val="22"/>
          <w:szCs w:val="22"/>
        </w:rPr>
        <w:t>Innova</w:t>
      </w:r>
      <w:proofErr w:type="spellEnd"/>
      <w:r w:rsidRPr="00BE5BB4">
        <w:rPr>
          <w:sz w:val="22"/>
          <w:szCs w:val="22"/>
        </w:rPr>
        <w:t xml:space="preserve"> 42R incubator except when bottle headspace air was sampled for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measurements.</w:t>
      </w:r>
    </w:p>
    <w:p w:rsidR="00424F1C" w:rsidRPr="00BE5BB4" w:rsidRDefault="00BE5BB4" w:rsidP="00BE5BB4">
      <w:pPr>
        <w:pStyle w:val="Heading3"/>
        <w:spacing w:before="0" w:line="480" w:lineRule="auto"/>
        <w:rPr>
          <w:rFonts w:asciiTheme="minorHAnsi" w:hAnsiTheme="minorHAnsi"/>
          <w:sz w:val="22"/>
          <w:szCs w:val="22"/>
        </w:rPr>
      </w:pPr>
      <w:bookmarkStart w:id="7" w:name="respiration-rate"/>
      <w:r w:rsidRPr="00BE5BB4">
        <w:rPr>
          <w:rFonts w:asciiTheme="minorHAnsi" w:hAnsiTheme="minorHAnsi"/>
          <w:sz w:val="22"/>
          <w:szCs w:val="22"/>
        </w:rPr>
        <w:t>Respiration rate</w:t>
      </w:r>
    </w:p>
    <w:bookmarkEnd w:id="7"/>
    <w:p w:rsidR="00424F1C" w:rsidRPr="00BE5BB4" w:rsidRDefault="00BE5BB4" w:rsidP="00BE5BB4">
      <w:pPr>
        <w:spacing w:before="0" w:line="480" w:lineRule="auto"/>
        <w:rPr>
          <w:sz w:val="22"/>
          <w:szCs w:val="22"/>
        </w:rPr>
      </w:pPr>
      <w:r w:rsidRPr="00BE5BB4">
        <w:rPr>
          <w:sz w:val="22"/>
          <w:szCs w:val="22"/>
        </w:rPr>
        <w:t xml:space="preserve">Microbial respiration rate was measured at the beginning of the experiment and each following day (six times in total). Approximately two hours before the headspace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concentration </w:t>
      </w:r>
      <w:r w:rsidRPr="00BE5BB4">
        <w:rPr>
          <w:sz w:val="22"/>
          <w:szCs w:val="22"/>
        </w:rPr>
        <w:lastRenderedPageBreak/>
        <w:t xml:space="preserve">measurement, BE membranes were removed from the incubation vials and replaced by the ruber septa secured with the alluminium cap. Vials headspace was exchanged for the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-free air and incubated. Headspace was sampled using 5 ml gas tight syringe. 1.5 ml of well mixed headspace air was sampled and directly injected to Li-Cor 7000 (LI-COR, Inc., Lincoln, Nebraska, USA).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w:t>
      </w:r>
      <w:proofErr w:type="gramStart"/>
      <w:r w:rsidRPr="00BE5BB4">
        <w:rPr>
          <w:sz w:val="22"/>
          <w:szCs w:val="22"/>
        </w:rPr>
        <w:t>concentration</w:t>
      </w:r>
      <w:proofErr w:type="gramEnd"/>
      <w:r w:rsidRPr="00BE5BB4">
        <w:rPr>
          <w:sz w:val="22"/>
          <w:szCs w:val="22"/>
        </w:rPr>
        <w:t xml:space="preserve"> was calculated against the </w:t>
      </w:r>
      <w:r w:rsidR="006A4DF4" w:rsidRPr="00BE5BB4">
        <w:rPr>
          <w:sz w:val="22"/>
          <w:szCs w:val="22"/>
        </w:rPr>
        <w:t>calibration</w:t>
      </w:r>
      <w:r w:rsidRPr="00BE5BB4">
        <w:rPr>
          <w:sz w:val="22"/>
          <w:szCs w:val="22"/>
        </w:rPr>
        <w:t xml:space="preserve"> standard gas with the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concentration 2000 ppm.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concentration was corrected for the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dissolution in liquid media according to Sparling and West </w:t>
      </w:r>
      <w:r w:rsidR="00273863">
        <w:rPr>
          <w:sz w:val="22"/>
          <w:szCs w:val="22"/>
        </w:rPr>
        <w:fldChar w:fldCharType="begin" w:fldLock="1"/>
      </w:r>
      <w:r w:rsidR="00273863">
        <w:rPr>
          <w:sz w:val="22"/>
          <w:szCs w:val="22"/>
        </w:rPr>
        <w:instrText>ADDIN CSL_CITATION {"citationItems":[{"id":"ITEM-1","itemData":{"author":[{"dropping-particle":"","family":"Sparling","given":"G.","non-dropping-particle":"","parse-names":false,"suffix":""},{"dropping-particle":"","family":"West","given":"A.","non-dropping-particle":"","parse-names":false,"suffix":""}],"container-title":"Pedobiologia","id":"ITEM-1","issue":"2","issued":{"date-parts":[["1990","3","11"]]},"page":"103","title":"A comparison of gas-chromatography and differential respirometer methods to measure soil respiration and to estimate the soil microbial biomass","type":"article-journal","volume":"34"},"uris":["http://www.mendeley.com/documents/?uuid=d7c34ea5-323a-307b-9b00-1efa0024809f"]}],"mendeley":{"formattedCitation":"(G. Sparling &amp; West, 1990)","manualFormatting":"(1990)","plainTextFormattedCitation":"(G. Sparling &amp; West, 1990)","previouslyFormattedCitation":"(G. Sparling &amp; West, 1990)"},"properties":{"noteIndex":0},"schema":"https://github.com/citation-style-language/schema/raw/master/csl-citation.json"}</w:instrText>
      </w:r>
      <w:r w:rsidR="00273863">
        <w:rPr>
          <w:sz w:val="22"/>
          <w:szCs w:val="22"/>
        </w:rPr>
        <w:fldChar w:fldCharType="separate"/>
      </w:r>
      <w:r w:rsidR="00273863" w:rsidRPr="00273863">
        <w:rPr>
          <w:noProof/>
          <w:sz w:val="22"/>
          <w:szCs w:val="22"/>
        </w:rPr>
        <w:t>(1990)</w:t>
      </w:r>
      <w:r w:rsidR="00273863">
        <w:rPr>
          <w:sz w:val="22"/>
          <w:szCs w:val="22"/>
        </w:rPr>
        <w:fldChar w:fldCharType="end"/>
      </w:r>
      <w:r w:rsidRPr="00BE5BB4">
        <w:rPr>
          <w:sz w:val="22"/>
          <w:szCs w:val="22"/>
        </w:rPr>
        <w:t xml:space="preserve">. Respiration rate was calculated as corrected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concentration divided by the time between the headspace atmosphere exchange and the measurement.</w:t>
      </w:r>
    </w:p>
    <w:p w:rsidR="00424F1C" w:rsidRPr="00BE5BB4" w:rsidRDefault="00BE5BB4" w:rsidP="00BE5BB4">
      <w:pPr>
        <w:pStyle w:val="Heading3"/>
        <w:spacing w:before="0" w:line="480" w:lineRule="auto"/>
        <w:rPr>
          <w:rFonts w:asciiTheme="minorHAnsi" w:hAnsiTheme="minorHAnsi"/>
          <w:sz w:val="22"/>
          <w:szCs w:val="22"/>
        </w:rPr>
      </w:pPr>
      <w:bookmarkStart w:id="8" w:name="biomass-harvest"/>
      <w:r w:rsidRPr="00BE5BB4">
        <w:rPr>
          <w:rFonts w:asciiTheme="minorHAnsi" w:hAnsiTheme="minorHAnsi"/>
          <w:sz w:val="22"/>
          <w:szCs w:val="22"/>
        </w:rPr>
        <w:t>Biomass harvest</w:t>
      </w:r>
    </w:p>
    <w:bookmarkEnd w:id="8"/>
    <w:p w:rsidR="00424F1C" w:rsidRPr="00BE5BB4" w:rsidRDefault="00BE5BB4" w:rsidP="00BE5BB4">
      <w:pPr>
        <w:spacing w:before="0" w:line="480" w:lineRule="auto"/>
        <w:rPr>
          <w:sz w:val="22"/>
          <w:szCs w:val="22"/>
        </w:rPr>
      </w:pPr>
      <w:r w:rsidRPr="00BE5BB4">
        <w:rPr>
          <w:sz w:val="22"/>
          <w:szCs w:val="22"/>
        </w:rPr>
        <w:t xml:space="preserve">Immediately after respiration measurement, the whole microcosm culture was transferred to 15 ml conical tubes, and a 2 ml aliquot of phosphate buffer solution (PBS) was dispensed into each bottle. Residual biomass was dislodged from bottle and glass matrix with individually wrapped sterile cell scrapers and transferred to corresponding 15 ml conical tubes. An additional 2 ml aliquot of PBS was dispensed into each bottle, and the biomass recovery step was repeated. Recovered biomass was centrifuged at 4,700 g, 4°C for 10 minutes. Cell pellets were suspended in 500 </w:t>
      </w:r>
      <m:oMath>
        <m:r>
          <w:rPr>
            <w:rFonts w:ascii="Cambria Math" w:hAnsi="Cambria Math"/>
            <w:sz w:val="22"/>
            <w:szCs w:val="22"/>
          </w:rPr>
          <m:t>μ</m:t>
        </m:r>
      </m:oMath>
      <w:r w:rsidRPr="00BE5BB4">
        <w:rPr>
          <w:sz w:val="22"/>
          <w:szCs w:val="22"/>
        </w:rPr>
        <w:t>l of PBS and transferred to 1.7 ml locking conical tubes. Samples were stored at -80°C.</w:t>
      </w:r>
    </w:p>
    <w:p w:rsidR="00424F1C" w:rsidRPr="00BE5BB4" w:rsidRDefault="00BE5BB4" w:rsidP="00BE5BB4">
      <w:pPr>
        <w:pStyle w:val="Heading3"/>
        <w:spacing w:before="0" w:line="480" w:lineRule="auto"/>
        <w:rPr>
          <w:rFonts w:asciiTheme="minorHAnsi" w:hAnsiTheme="minorHAnsi"/>
          <w:sz w:val="22"/>
          <w:szCs w:val="22"/>
        </w:rPr>
      </w:pPr>
      <w:bookmarkStart w:id="9" w:name="cell-lysis-dna-and-protein-quantificatio"/>
      <w:r w:rsidRPr="00BE5BB4">
        <w:rPr>
          <w:rFonts w:asciiTheme="minorHAnsi" w:hAnsiTheme="minorHAnsi"/>
          <w:sz w:val="22"/>
          <w:szCs w:val="22"/>
        </w:rPr>
        <w:t>Cell lysis, DNA and protein quantification</w:t>
      </w:r>
    </w:p>
    <w:bookmarkEnd w:id="9"/>
    <w:p w:rsidR="00424F1C" w:rsidRPr="00BE5BB4" w:rsidRDefault="00BE5BB4" w:rsidP="00BE5BB4">
      <w:pPr>
        <w:spacing w:before="0" w:line="480" w:lineRule="auto"/>
        <w:rPr>
          <w:sz w:val="22"/>
          <w:szCs w:val="22"/>
        </w:rPr>
      </w:pPr>
      <w:r w:rsidRPr="00BE5BB4">
        <w:rPr>
          <w:sz w:val="22"/>
          <w:szCs w:val="22"/>
        </w:rPr>
        <w:t xml:space="preserve">To lyse cells, 100 </w:t>
      </w:r>
      <m:oMath>
        <m:r>
          <w:rPr>
            <w:rFonts w:ascii="Cambria Math" w:hAnsi="Cambria Math"/>
            <w:sz w:val="22"/>
            <w:szCs w:val="22"/>
          </w:rPr>
          <m:t>μ</m:t>
        </m:r>
      </m:oMath>
      <w:r w:rsidRPr="00BE5BB4">
        <w:rPr>
          <w:sz w:val="22"/>
          <w:szCs w:val="22"/>
        </w:rPr>
        <w:t xml:space="preserve">g of 100 </w:t>
      </w:r>
      <m:oMath>
        <m:r>
          <w:rPr>
            <w:rFonts w:ascii="Cambria Math" w:hAnsi="Cambria Math"/>
            <w:sz w:val="22"/>
            <w:szCs w:val="22"/>
          </w:rPr>
          <m:t>μ</m:t>
        </m:r>
      </m:oMath>
      <w:r w:rsidRPr="00BE5BB4">
        <w:rPr>
          <w:sz w:val="22"/>
          <w:szCs w:val="22"/>
        </w:rPr>
        <w:t xml:space="preserve">m glass beads (Next-Advanced) were dispensed in each tube and lysed by two consecutive five minutes runs in a bead beater (Next-Advanced) staged in a 4°C cold room. Lysates were centrifuged at 8,000 x g, 4°C for five minutes, and supernatant was transferred to new 1.7 ml conical tubes. DNA from cell lysate was isolated using </w:t>
      </w:r>
      <w:proofErr w:type="spellStart"/>
      <w:r w:rsidRPr="00BE5BB4">
        <w:rPr>
          <w:sz w:val="22"/>
          <w:szCs w:val="22"/>
        </w:rPr>
        <w:t>Qiagen</w:t>
      </w:r>
      <w:proofErr w:type="spellEnd"/>
      <w:r w:rsidRPr="00BE5BB4">
        <w:rPr>
          <w:sz w:val="22"/>
          <w:szCs w:val="22"/>
        </w:rPr>
        <w:t xml:space="preserve"> power soil kit following the standard protocol. DNA concentration was measured by </w:t>
      </w:r>
      <w:proofErr w:type="spellStart"/>
      <w:r w:rsidRPr="00BE5BB4">
        <w:rPr>
          <w:sz w:val="22"/>
          <w:szCs w:val="22"/>
        </w:rPr>
        <w:t>Nanodrop</w:t>
      </w:r>
      <w:proofErr w:type="spellEnd"/>
      <w:r w:rsidRPr="00BE5BB4">
        <w:rPr>
          <w:sz w:val="22"/>
          <w:szCs w:val="22"/>
        </w:rPr>
        <w:t xml:space="preserve"> meter (</w:t>
      </w:r>
      <w:r w:rsidRPr="00BE5BB4">
        <w:rPr>
          <w:b/>
          <w:i/>
          <w:sz w:val="22"/>
          <w:szCs w:val="22"/>
        </w:rPr>
        <w:t>company</w:t>
      </w:r>
      <w:r w:rsidRPr="00BE5BB4">
        <w:rPr>
          <w:sz w:val="22"/>
          <w:szCs w:val="22"/>
        </w:rPr>
        <w:t xml:space="preserve">). A </w:t>
      </w:r>
      <w:proofErr w:type="spellStart"/>
      <w:r w:rsidRPr="00BE5BB4">
        <w:rPr>
          <w:sz w:val="22"/>
          <w:szCs w:val="22"/>
        </w:rPr>
        <w:t>bicinchronic</w:t>
      </w:r>
      <w:proofErr w:type="spellEnd"/>
      <w:r w:rsidRPr="00BE5BB4">
        <w:rPr>
          <w:sz w:val="22"/>
          <w:szCs w:val="22"/>
        </w:rPr>
        <w:t xml:space="preserve"> acid assay (Pierce BCA Protein Assay kit) was used as instructed by manufacturer to determine protein concentration. A </w:t>
      </w:r>
      <w:proofErr w:type="spellStart"/>
      <w:r w:rsidRPr="00BE5BB4">
        <w:rPr>
          <w:sz w:val="22"/>
          <w:szCs w:val="22"/>
        </w:rPr>
        <w:t>SpectraMax</w:t>
      </w:r>
      <w:proofErr w:type="spellEnd"/>
      <w:r w:rsidRPr="00BE5BB4">
        <w:rPr>
          <w:sz w:val="22"/>
          <w:szCs w:val="22"/>
        </w:rPr>
        <w:t xml:space="preserve"> </w:t>
      </w:r>
      <w:proofErr w:type="gramStart"/>
      <w:r w:rsidRPr="00BE5BB4">
        <w:rPr>
          <w:sz w:val="22"/>
          <w:szCs w:val="22"/>
        </w:rPr>
        <w:t>Plus</w:t>
      </w:r>
      <w:proofErr w:type="gramEnd"/>
      <w:r w:rsidRPr="00BE5BB4">
        <w:rPr>
          <w:sz w:val="22"/>
          <w:szCs w:val="22"/>
        </w:rPr>
        <w:t xml:space="preserve"> 384 Microplate Reader was used to measure </w:t>
      </w:r>
      <w:r w:rsidRPr="00BE5BB4">
        <w:rPr>
          <w:sz w:val="22"/>
          <w:szCs w:val="22"/>
        </w:rPr>
        <w:lastRenderedPageBreak/>
        <w:t>absorbance at 562 nm following a 30 minute incubation at 37°C. The DNA and protein concentration was converted to C base concentration (</w:t>
      </w:r>
      <m:oMath>
        <m:r>
          <w:rPr>
            <w:rFonts w:ascii="Cambria Math" w:hAnsi="Cambria Math"/>
            <w:sz w:val="22"/>
            <w:szCs w:val="22"/>
          </w:rPr>
          <m:t>μ</m:t>
        </m:r>
      </m:oMath>
      <w:r w:rsidRPr="00BE5BB4">
        <w:rPr>
          <w:sz w:val="22"/>
          <w:szCs w:val="22"/>
        </w:rPr>
        <w:t xml:space="preserve">mol </w:t>
      </w:r>
      <m:oMath>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r>
          <w:rPr>
            <w:rFonts w:ascii="Cambria Math" w:hAnsi="Cambria Math"/>
            <w:sz w:val="22"/>
            <w:szCs w:val="22"/>
          </w:rPr>
          <m:t>)</m:t>
        </m:r>
      </m:oMath>
      <w:r w:rsidRPr="00BE5BB4">
        <w:rPr>
          <w:sz w:val="22"/>
          <w:szCs w:val="22"/>
        </w:rPr>
        <w:t xml:space="preserve"> </w:t>
      </w:r>
      <m:oMath>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-1</m:t>
            </m:r>
          </m:sup>
        </m:sSup>
      </m:oMath>
      <w:r w:rsidRPr="00BE5BB4">
        <w:rPr>
          <w:sz w:val="22"/>
          <w:szCs w:val="22"/>
        </w:rPr>
        <w:t xml:space="preserve"> or </w:t>
      </w:r>
      <m:oMath>
        <m:r>
          <w:rPr>
            <w:rFonts w:ascii="Cambria Math" w:hAnsi="Cambria Math"/>
            <w:sz w:val="22"/>
            <w:szCs w:val="22"/>
          </w:rPr>
          <m:t>μ</m:t>
        </m:r>
      </m:oMath>
      <w:r w:rsidRPr="00BE5BB4">
        <w:rPr>
          <w:sz w:val="22"/>
          <w:szCs w:val="22"/>
        </w:rPr>
        <w:t xml:space="preserve">mol </w:t>
      </w:r>
      <m:oMath>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m:t>
            </m:r>
          </m:sub>
        </m:sSub>
        <m:r>
          <w:rPr>
            <w:rFonts w:ascii="Cambria Math" w:hAnsi="Cambria Math"/>
            <w:sz w:val="22"/>
            <w:szCs w:val="22"/>
          </w:rPr>
          <m:t>)</m:t>
        </m:r>
      </m:oMath>
      <w:r w:rsidRPr="00BE5BB4">
        <w:rPr>
          <w:sz w:val="22"/>
          <w:szCs w:val="22"/>
        </w:rPr>
        <w:t xml:space="preserve"> </w:t>
      </w:r>
      <m:oMath>
        <m:sSup>
          <m:sSupPr>
            <m:ctrlPr>
              <w:rPr>
                <w:rFonts w:ascii="Cambria Math" w:hAnsi="Cambria Math"/>
                <w:sz w:val="22"/>
                <w:szCs w:val="22"/>
              </w:rPr>
            </m:ctrlPr>
          </m:sSupPr>
          <m:e>
            <m:r>
              <w:rPr>
                <w:rFonts w:ascii="Cambria Math" w:hAnsi="Cambria Math"/>
                <w:sz w:val="22"/>
                <w:szCs w:val="22"/>
              </w:rPr>
              <m:t>l</m:t>
            </m:r>
          </m:e>
          <m:sup>
            <m:r>
              <w:rPr>
                <w:rFonts w:ascii="Cambria Math" w:hAnsi="Cambria Math"/>
                <w:sz w:val="22"/>
                <w:szCs w:val="22"/>
              </w:rPr>
              <m:t>-1</m:t>
            </m:r>
          </m:sup>
        </m:sSup>
      </m:oMath>
      <w:r w:rsidRPr="00BE5BB4">
        <w:rPr>
          <w:sz w:val="22"/>
          <w:szCs w:val="22"/>
        </w:rPr>
        <w:t xml:space="preserve">) using the conversion factors 0.45 and 0.51 respectively </w:t>
      </w:r>
      <w:r w:rsidR="00273863">
        <w:rPr>
          <w:sz w:val="22"/>
          <w:szCs w:val="22"/>
        </w:rPr>
        <w:fldChar w:fldCharType="begin" w:fldLock="1"/>
      </w:r>
      <w:r w:rsidR="00273863">
        <w:rPr>
          <w:sz w:val="22"/>
          <w:szCs w:val="22"/>
        </w:rPr>
        <w:instrText>ADDIN CSL_CITATION {"citationItems":[{"id":"ITEM-1","itemData":{"ISBN":"0012-9658","abstract":"Whereas it is acknowledged that the C:N:P stoichiometry of consumers and their resources affects both the structure and the function of food webs, and eventually influences broad-scale processes such as global carbon cycles, the mechanistic basis for the variation in stoichiometry has not yet been fully explored. Empirical evidence shows that the specific growth rate is positively related to RNA concentration both between and within taxa in both unicellular and multicellular organisms. Since RNA is rich in P and constitutes a substantial part of the, total P in organisms, a high growth rate is also connected with a high P content. We argue that the reason for this pattern is that the growth of all biota is closely linked with their protein synthesis rate, and thus with the concentration of ribosomal RNA. Dynamic energy budget theory supports the positive relationship between RNA and specific growth rate in microorganisms, whereas the predictions concerning multicellulars only partially agrees with the observed pattern. In a simple model of consumer growth, we explore the consequences of various allocation patterns of RNA; protein, carbohydrates/lipids, and other biochemical constituents on organism potential growth rate and C:N:P stoichiometry. According to the model the percentage of N, and especially percentage of P per dry mass increases with increasing specific growth rate. Furthermore, the model suggests that macromolecule allocation patterns and thus N:P stoichiometry are allowed to differ substantially at low growth rates whereas the stoichiometry at high growth rates is much more constricted at low N:R The model fits empirical data reasonably well, but it is also acknowledged that complex life cycles and associated physiological constraints may result in other patterns. We also use a similar approach of modeling organism growth from basic biochemical principles to illustrate fundamental connections among biochemical allocation and C:N stoichiometry in autotroph production, which is based on allocation patterns between carbohydrates and rubisco. Similar to the RNA-protein model, macromolecular composition and C:N ratios are more constrained at high than at low growth rates. The models and the empirical data together suggest that organism growth is tightly linked with the organisms' biochemical and elemental composition. The stoichiometry of growth impinges on nutrient cycles and carbon fluxes at the ecosystem level. Thus, focus on the biological …","author":[{"dropping-particle":"","family":"Vrede","given":"T","non-dropping-particle":"","parse-names":false,"suffix":""},{"dropping-particle":"","family":"Dobberfuhl","given":"D R","non-dropping-particle":"","parse-names":false,"suffix":""},{"dropping-particle":"","family":"Kooijman","given":"Salm","non-dropping-particle":"","parse-names":false,"suffix":""},{"dropping-particle":"","family":"Elser","given":"J J","non-dropping-particle":"","parse-names":false,"suffix":""}],"container-title":"Ecology","id":"ITEM-1","issue":"5","issued":{"date-parts":[["2004"]]},"language":"English","note":"ISI Document Delivery No.: 821BC\nTimes Cited: 44\nCited Reference Count: 82\nEcological soc amer\nWashington","page":"1217-1229","title":"Fundamental connections among organism C : N : P stoichiometry, macromolecular composition, and growth","type":"article-journal","volume":"85"},"uris":["http://www.mendeley.com/documents/?uuid=b37b29b9-f4f8-4c12-a7e1-8ba6e49b8877"]}],"mendeley":{"formattedCitation":"(Vrede, Dobberfuhl, Kooijman, &amp; Elser, 2004)","plainTextFormattedCitation":"(Vrede, Dobberfuhl, Kooijman, &amp; Elser, 2004)","previouslyFormattedCitation":"(Vrede, Dobberfuhl, Kooijman, &amp; Elser, 2004)"},"properties":{"noteIndex":0},"schema":"https://github.com/citation-style-language/schema/raw/master/csl-citation.json"}</w:instrText>
      </w:r>
      <w:r w:rsidR="00273863">
        <w:rPr>
          <w:sz w:val="22"/>
          <w:szCs w:val="22"/>
        </w:rPr>
        <w:fldChar w:fldCharType="separate"/>
      </w:r>
      <w:r w:rsidR="00273863" w:rsidRPr="00273863">
        <w:rPr>
          <w:noProof/>
          <w:sz w:val="22"/>
          <w:szCs w:val="22"/>
        </w:rPr>
        <w:t>(Vrede, Dobberfuhl, Kooijman, &amp; Elser, 2004)</w:t>
      </w:r>
      <w:r w:rsidR="00273863">
        <w:rPr>
          <w:sz w:val="22"/>
          <w:szCs w:val="22"/>
        </w:rPr>
        <w:fldChar w:fldCharType="end"/>
      </w:r>
      <w:r w:rsidR="00273863">
        <w:rPr>
          <w:sz w:val="22"/>
          <w:szCs w:val="22"/>
        </w:rPr>
        <w:t>.</w:t>
      </w:r>
    </w:p>
    <w:p w:rsidR="00424F1C" w:rsidRPr="00BE5BB4" w:rsidRDefault="00BE5BB4" w:rsidP="00BE5BB4">
      <w:pPr>
        <w:pStyle w:val="Heading3"/>
        <w:spacing w:before="0" w:line="480" w:lineRule="auto"/>
        <w:rPr>
          <w:rFonts w:asciiTheme="minorHAnsi" w:hAnsiTheme="minorHAnsi"/>
          <w:sz w:val="22"/>
          <w:szCs w:val="22"/>
        </w:rPr>
      </w:pPr>
      <w:bookmarkStart w:id="10" w:name="mathematical-description"/>
      <w:r w:rsidRPr="00BE5BB4">
        <w:rPr>
          <w:rFonts w:asciiTheme="minorHAnsi" w:hAnsiTheme="minorHAnsi"/>
          <w:sz w:val="22"/>
          <w:szCs w:val="22"/>
        </w:rPr>
        <w:t>Mathematical description</w:t>
      </w:r>
    </w:p>
    <w:bookmarkEnd w:id="10"/>
    <w:p w:rsidR="00424F1C" w:rsidRPr="00BE5BB4" w:rsidRDefault="00BE5BB4" w:rsidP="00BE5BB4">
      <w:pPr>
        <w:spacing w:before="0" w:line="480" w:lineRule="auto"/>
        <w:rPr>
          <w:sz w:val="22"/>
          <w:szCs w:val="22"/>
        </w:rPr>
      </w:pPr>
      <w:r w:rsidRPr="00BE5BB4">
        <w:rPr>
          <w:sz w:val="22"/>
          <w:szCs w:val="22"/>
        </w:rPr>
        <w:t>Three different models (Fig. 1) were used to simulate the changes in respiration rate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and microbial biomass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in time. The Monod model (Fig. 1a) represents the microbial part of the microbial-explicit soil biogeochemical model presented by </w:t>
      </w:r>
      <w:r w:rsidR="00273863">
        <w:rPr>
          <w:sz w:val="22"/>
          <w:szCs w:val="22"/>
        </w:rPr>
        <w:fldChar w:fldCharType="begin" w:fldLock="1"/>
      </w:r>
      <w:r w:rsidR="00273863">
        <w:rPr>
          <w:sz w:val="22"/>
          <w:szCs w:val="22"/>
        </w:rPr>
        <w:instrText>ADDIN CSL_CITATION {"citationItems":[{"id":"ITEM-1","itemData":{"DOI":"10.1038/ngeo846","ISBN":"1752-0894","abstract":"Most ecosystem models predict that climate warming will stimulate microbial decomposition of soil carbon, producing a positive feedback to rising global temperatures(1,2). Although field experiments document an initial increase in the loss of CO(2) from soils in response to warming, in line with these predictions, the carbon dioxide loss from soils tends to decline to control levels within a few years(3-5). This attenuation response could result from changes in microbial physiological properties with increasing temperature, such as a decline in the fraction of assimilated carbon that is allocated to growth, termed carbon-use efficiency(6). Here we explore these mechanisms using a microbial-enzyme model to simulate the responses of soil carbon to warming by 5 degrees C. We find that declines in microbial biomass and degradative enzymes can explain the observed attenuation of soil-carbon emissions in response to warming. Specifically, reduced carbon-use efficiency limits the biomass of microbial decomposers and mitigates the loss of soil carbon. However, microbial adaptation or a change in microbial communities could lead to an upward adjustment of the efficiency of carbon use, counteracting the decline in microbial biomass and accelerating soil-carbon loss. We conclude that the soil-carbon response to climate warming depends on the efficiency of soil microbes in using carbon.","author":[{"dropping-particle":"","family":"Allison","given":"S D","non-dropping-particle":"","parse-names":false,"suffix":""},{"dropping-particle":"","family":"Wallenstein","given":"M D","non-dropping-particle":"","parse-names":false,"suffix":""},{"dropping-particle":"","family":"Bradford","given":"M A","non-dropping-particle":"","parse-names":false,"suffix":""}],"container-title":"Nature Geoscience","id":"ITEM-1","issue":"5","issued":{"date-parts":[["2010"]]},"note":"Allison, Steven D. Wallenstein, Matthew D. Bradford, Mark A.\nSi","page":"336-340","title":"Soil-carbon response to warming dependent on microbial physiology","type":"article-journal","volume":"3"},"uris":["http://www.mendeley.com/documents/?uuid=013b3d92-b94f-4b09-8287-1a9ad2b2cdf4"]}],"mendeley":{"formattedCitation":"(Allison, Wallenstein, &amp; Bradford, 2010)","manualFormatting":"Allison, Wallenstein, &amp; Bradford (2010)","plainTextFormattedCitation":"(Allison, Wallenstein, &amp; Bradford, 2010)","previouslyFormattedCitation":"(Allison, Wallenstein, &amp; Bradford, 2010)"},"properties":{"noteIndex":0},"schema":"https://github.com/citation-style-language/schema/raw/master/csl-citation.json"}</w:instrText>
      </w:r>
      <w:r w:rsidR="00273863">
        <w:rPr>
          <w:sz w:val="22"/>
          <w:szCs w:val="22"/>
        </w:rPr>
        <w:fldChar w:fldCharType="separate"/>
      </w:r>
      <w:r w:rsidR="00273863" w:rsidRPr="00273863">
        <w:rPr>
          <w:noProof/>
          <w:sz w:val="22"/>
          <w:szCs w:val="22"/>
        </w:rPr>
        <w:t>A</w:t>
      </w:r>
      <w:r w:rsidR="00273863">
        <w:rPr>
          <w:noProof/>
          <w:sz w:val="22"/>
          <w:szCs w:val="22"/>
        </w:rPr>
        <w:t>llison, Wallenstein, &amp; Bradford</w:t>
      </w:r>
      <w:r w:rsidR="00273863" w:rsidRPr="00273863">
        <w:rPr>
          <w:noProof/>
          <w:sz w:val="22"/>
          <w:szCs w:val="22"/>
        </w:rPr>
        <w:t xml:space="preserve"> </w:t>
      </w:r>
      <w:r w:rsidR="00273863">
        <w:rPr>
          <w:noProof/>
          <w:sz w:val="22"/>
          <w:szCs w:val="22"/>
        </w:rPr>
        <w:t>(</w:t>
      </w:r>
      <w:r w:rsidR="00273863" w:rsidRPr="00273863">
        <w:rPr>
          <w:noProof/>
          <w:sz w:val="22"/>
          <w:szCs w:val="22"/>
        </w:rPr>
        <w:t>2010)</w:t>
      </w:r>
      <w:r w:rsidR="00273863">
        <w:rPr>
          <w:sz w:val="22"/>
          <w:szCs w:val="22"/>
        </w:rPr>
        <w:fldChar w:fldCharType="end"/>
      </w:r>
      <w:r w:rsidRPr="00BE5BB4">
        <w:rPr>
          <w:sz w:val="22"/>
          <w:szCs w:val="22"/>
        </w:rPr>
        <w:t xml:space="preserve">. The MEND model is its adaptation presented by Wang et al. (2013). The DB model is a simplified adaptation of Dynamic Energy Budget theory derived by </w:t>
      </w:r>
      <w:proofErr w:type="spellStart"/>
      <w:r w:rsidRPr="00BE5BB4">
        <w:rPr>
          <w:sz w:val="22"/>
          <w:szCs w:val="22"/>
        </w:rPr>
        <w:t>Hanegraaf</w:t>
      </w:r>
      <w:proofErr w:type="spellEnd"/>
      <w:r w:rsidRPr="00BE5BB4">
        <w:rPr>
          <w:sz w:val="22"/>
          <w:szCs w:val="22"/>
        </w:rPr>
        <w:t xml:space="preserve"> and Muller </w:t>
      </w:r>
      <w:r w:rsidR="00F71ECF">
        <w:rPr>
          <w:sz w:val="22"/>
          <w:szCs w:val="22"/>
        </w:rPr>
        <w:t>(</w:t>
      </w:r>
      <w:r w:rsidRPr="00BE5BB4">
        <w:rPr>
          <w:sz w:val="22"/>
          <w:szCs w:val="22"/>
        </w:rPr>
        <w:t>2001) for microbial populations. Here we present all models per molar C basis and use the terminology adopted from microbial- explicit biogeochemical models for consistency.</w:t>
      </w:r>
    </w:p>
    <w:p w:rsidR="00424F1C" w:rsidRPr="00BE5BB4" w:rsidRDefault="00BE5BB4" w:rsidP="00BE5BB4">
      <w:pPr>
        <w:pStyle w:val="Heading4"/>
        <w:spacing w:before="0" w:line="480" w:lineRule="auto"/>
        <w:rPr>
          <w:rFonts w:asciiTheme="minorHAnsi" w:hAnsiTheme="minorHAnsi"/>
          <w:sz w:val="22"/>
          <w:szCs w:val="22"/>
        </w:rPr>
      </w:pPr>
      <w:bookmarkStart w:id="11" w:name="monod-model-fig.-1a"/>
      <w:r w:rsidRPr="00BE5BB4">
        <w:rPr>
          <w:rFonts w:asciiTheme="minorHAnsi" w:hAnsiTheme="minorHAnsi"/>
          <w:sz w:val="22"/>
          <w:szCs w:val="22"/>
        </w:rPr>
        <w:t>Monod model (Fig. 1a)</w:t>
      </w:r>
    </w:p>
    <w:bookmarkEnd w:id="11"/>
    <w:p w:rsidR="00424F1C" w:rsidRPr="00BE5BB4" w:rsidRDefault="00BE5BB4" w:rsidP="00BE5BB4">
      <w:pPr>
        <w:spacing w:before="0" w:line="480" w:lineRule="auto"/>
        <w:rPr>
          <w:sz w:val="22"/>
          <w:szCs w:val="22"/>
        </w:rPr>
      </w:pPr>
      <w:r w:rsidRPr="00BE5BB4">
        <w:rPr>
          <w:sz w:val="22"/>
          <w:szCs w:val="22"/>
        </w:rPr>
        <w:t>In this model, organic substrate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is consumed by microbial biomass and converted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or respired. Microbial biomass is dying at constant rate returning used organic carbon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pool. Mass balance equations for pools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are respectively defined by following equations:</w:t>
      </w:r>
    </w:p>
    <w:p w:rsidR="00424F1C" w:rsidRPr="00BE5BB4" w:rsidRDefault="00BE5BB4" w:rsidP="00BE5BB4">
      <w:pPr>
        <w:spacing w:before="0" w:line="480" w:lineRule="auto"/>
        <w:rPr>
          <w:sz w:val="22"/>
          <w:szCs w:val="22"/>
        </w:rPr>
      </w:pPr>
      <w:r w:rsidRPr="00BE5BB4">
        <w:rPr>
          <w:sz w:val="22"/>
          <w:szCs w:val="22"/>
        </w:rPr>
        <w:t>[1</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num>
          <m:den>
            <m:r>
              <w:rPr>
                <w:rFonts w:ascii="Cambria Math" w:hAnsi="Cambria Math"/>
                <w:sz w:val="22"/>
                <w:szCs w:val="22"/>
              </w:rPr>
              <m:t>dt</m:t>
            </m:r>
          </m:den>
        </m:f>
        <m:r>
          <w:rPr>
            <w:rFonts w:ascii="Cambria Math" w:hAnsi="Cambria Math"/>
            <w:sz w:val="22"/>
            <w:szCs w:val="22"/>
          </w:rPr>
          <m:t> = uptake × CUE - </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MB</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[2</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num>
          <m:den>
            <m:r>
              <w:rPr>
                <w:rFonts w:ascii="Cambria Math" w:hAnsi="Cambria Math"/>
                <w:sz w:val="22"/>
                <w:szCs w:val="22"/>
              </w:rPr>
              <m:t>dt</m:t>
            </m:r>
          </m:den>
        </m:f>
        <m:r>
          <w:rPr>
            <w:rFonts w:ascii="Cambria Math" w:hAnsi="Cambria Math"/>
            <w:sz w:val="22"/>
            <w:szCs w:val="22"/>
          </w:rPr>
          <m:t> = -uptake + </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MB</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w:t>
      </w:r>
    </w:p>
    <w:p w:rsidR="00424F1C" w:rsidRPr="00BE5BB4" w:rsidRDefault="00BE5BB4" w:rsidP="00BE5BB4">
      <w:pPr>
        <w:spacing w:before="0" w:line="480" w:lineRule="auto"/>
        <w:rPr>
          <w:sz w:val="22"/>
          <w:szCs w:val="22"/>
        </w:rPr>
      </w:pPr>
      <w:proofErr w:type="gramStart"/>
      <w:r w:rsidRPr="00BE5BB4">
        <w:rPr>
          <w:sz w:val="22"/>
          <w:szCs w:val="22"/>
        </w:rPr>
        <w:t>in</w:t>
      </w:r>
      <w:proofErr w:type="gramEnd"/>
      <w:r w:rsidRPr="00BE5BB4">
        <w:rPr>
          <w:sz w:val="22"/>
          <w:szCs w:val="22"/>
        </w:rPr>
        <w:t xml:space="preserve"> which CUE is the carbon use efficiency (defined as an amount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converted to biomass over the amount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taken up) and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MB</m:t>
            </m:r>
          </m:sub>
        </m:sSub>
      </m:oMath>
      <w:r w:rsidRPr="00BE5BB4">
        <w:rPr>
          <w:sz w:val="22"/>
          <w:szCs w:val="22"/>
        </w:rPr>
        <w:t xml:space="preserve"> is the death rate constant of microbial biomass decay process. Microbial carbon uptake is defined by the equation:</w:t>
      </w:r>
    </w:p>
    <w:p w:rsidR="00424F1C" w:rsidRPr="00BE5BB4" w:rsidRDefault="00BE5BB4" w:rsidP="00BE5BB4">
      <w:pPr>
        <w:spacing w:before="0" w:line="480" w:lineRule="auto"/>
        <w:rPr>
          <w:sz w:val="22"/>
          <w:szCs w:val="22"/>
        </w:rPr>
      </w:pPr>
      <w:r w:rsidRPr="00BE5BB4">
        <w:rPr>
          <w:sz w:val="22"/>
          <w:szCs w:val="22"/>
        </w:rPr>
        <w:t>[3</w:t>
      </w:r>
      <w:proofErr w:type="gramStart"/>
      <w:r w:rsidRPr="00BE5BB4">
        <w:rPr>
          <w:sz w:val="22"/>
          <w:szCs w:val="22"/>
        </w:rPr>
        <w:t xml:space="preserve">] </w:t>
      </w:r>
      <w:proofErr w:type="gramEnd"/>
      <m:oMath>
        <m:r>
          <w:rPr>
            <w:rFonts w:ascii="Cambria Math" w:hAnsi="Cambria Math"/>
            <w:sz w:val="22"/>
            <w:szCs w:val="22"/>
          </w:rPr>
          <m:t>          uptake =</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num>
          <m:den>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den>
        </m:f>
      </m:oMath>
      <w:r w:rsidRPr="00BE5BB4">
        <w:rPr>
          <w:sz w:val="22"/>
          <w:szCs w:val="22"/>
        </w:rPr>
        <w:t>,</w:t>
      </w:r>
    </w:p>
    <w:p w:rsidR="00424F1C" w:rsidRPr="00BE5BB4" w:rsidRDefault="00BE5BB4" w:rsidP="00BE5BB4">
      <w:pPr>
        <w:spacing w:before="0" w:line="480" w:lineRule="auto"/>
        <w:rPr>
          <w:sz w:val="22"/>
          <w:szCs w:val="22"/>
        </w:rPr>
      </w:pPr>
      <w:proofErr w:type="gramStart"/>
      <w:r w:rsidRPr="00BE5BB4">
        <w:rPr>
          <w:sz w:val="22"/>
          <w:szCs w:val="22"/>
        </w:rPr>
        <w:lastRenderedPageBreak/>
        <w:t>in</w:t>
      </w:r>
      <w:proofErr w:type="gramEnd"/>
      <w:r w:rsidRPr="00BE5BB4">
        <w:rPr>
          <w:sz w:val="22"/>
          <w:szCs w:val="22"/>
        </w:rPr>
        <w:t xml:space="preserve"> which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is maximum velocity constant and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is affinity constant. Respiration rate is defined as a growth respiration rate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oMath>
      <w:r w:rsidRPr="00BE5BB4">
        <w:rPr>
          <w:sz w:val="22"/>
          <w:szCs w:val="22"/>
        </w:rPr>
        <w:t>), which is the constant fraction of uptake:</w:t>
      </w:r>
    </w:p>
    <w:p w:rsidR="00424F1C" w:rsidRPr="00BE5BB4" w:rsidRDefault="00BE5BB4" w:rsidP="00BE5BB4">
      <w:pPr>
        <w:spacing w:before="0" w:line="480" w:lineRule="auto"/>
        <w:rPr>
          <w:sz w:val="22"/>
          <w:szCs w:val="22"/>
        </w:rPr>
      </w:pPr>
      <w:r w:rsidRPr="00BE5BB4">
        <w:rPr>
          <w:sz w:val="22"/>
          <w:szCs w:val="22"/>
        </w:rPr>
        <w:t>[4</w:t>
      </w:r>
      <w:proofErr w:type="gramStart"/>
      <w:r w:rsidRPr="00BE5BB4">
        <w:rPr>
          <w:sz w:val="22"/>
          <w:szCs w:val="22"/>
        </w:rPr>
        <w:t xml:space="preserve">] </w:t>
      </w:r>
      <w:proofErr w:type="gramEnd"/>
      <m:oMath>
        <m:r>
          <w:rPr>
            <w:rFonts w:ascii="Cambria Math" w:hAnsi="Cambria Math"/>
            <w:sz w:val="22"/>
            <w:szCs w:val="22"/>
          </w:rPr>
          <m:t>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r>
          <w:rPr>
            <w:rFonts w:ascii="Cambria Math" w:hAnsi="Cambria Math"/>
            <w:sz w:val="22"/>
            <w:szCs w:val="22"/>
          </w:rPr>
          <m:t> = uptake × (1 - CUE)</m:t>
        </m:r>
      </m:oMath>
      <w:r w:rsidRPr="00BE5BB4">
        <w:rPr>
          <w:sz w:val="22"/>
          <w:szCs w:val="22"/>
        </w:rPr>
        <w:t>.</w:t>
      </w:r>
    </w:p>
    <w:p w:rsidR="00424F1C" w:rsidRPr="00BE5BB4" w:rsidRDefault="00BE5BB4" w:rsidP="00BE5BB4">
      <w:pPr>
        <w:pStyle w:val="Heading4"/>
        <w:spacing w:before="0" w:line="480" w:lineRule="auto"/>
        <w:rPr>
          <w:rFonts w:asciiTheme="minorHAnsi" w:hAnsiTheme="minorHAnsi"/>
          <w:sz w:val="22"/>
          <w:szCs w:val="22"/>
        </w:rPr>
      </w:pPr>
      <w:bookmarkStart w:id="12" w:name="mend-model-fig.-1b"/>
      <w:r w:rsidRPr="00BE5BB4">
        <w:rPr>
          <w:rFonts w:asciiTheme="minorHAnsi" w:hAnsiTheme="minorHAnsi"/>
          <w:sz w:val="22"/>
          <w:szCs w:val="22"/>
        </w:rPr>
        <w:t>MEND model (Fig. 1b)</w:t>
      </w:r>
    </w:p>
    <w:bookmarkEnd w:id="12"/>
    <w:p w:rsidR="00424F1C" w:rsidRPr="00BE5BB4" w:rsidRDefault="00BE5BB4" w:rsidP="00BE5BB4">
      <w:pPr>
        <w:spacing w:before="0" w:line="480" w:lineRule="auto"/>
        <w:rPr>
          <w:sz w:val="22"/>
          <w:szCs w:val="22"/>
        </w:rPr>
      </w:pPr>
      <w:r w:rsidRPr="00BE5BB4">
        <w:rPr>
          <w:sz w:val="22"/>
          <w:szCs w:val="22"/>
        </w:rPr>
        <w:t xml:space="preserve">In contrast to Monod model, in this model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consists of two different processes, growth respiration and maintenance respiration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M</m:t>
            </m:r>
          </m:sub>
        </m:sSub>
      </m:oMath>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oMath>
      <w:r w:rsidRPr="00BE5BB4">
        <w:rPr>
          <w:sz w:val="22"/>
          <w:szCs w:val="22"/>
        </w:rPr>
        <w:t xml:space="preserve"> </w:t>
      </w:r>
      <w:proofErr w:type="gramStart"/>
      <w:r w:rsidRPr="00BE5BB4">
        <w:rPr>
          <w:sz w:val="22"/>
          <w:szCs w:val="22"/>
        </w:rPr>
        <w:t>and</w:t>
      </w:r>
      <w:proofErr w:type="gramEnd"/>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M</m:t>
            </m:r>
          </m:sub>
        </m:sSub>
      </m:oMath>
      <w:r w:rsidRPr="00BE5BB4">
        <w:rPr>
          <w:sz w:val="22"/>
          <w:szCs w:val="22"/>
        </w:rPr>
        <w:t xml:space="preserve"> are respectively defined by following equations:</w:t>
      </w:r>
    </w:p>
    <w:p w:rsidR="00424F1C" w:rsidRPr="00BE5BB4" w:rsidRDefault="00BE5BB4" w:rsidP="00BE5BB4">
      <w:pPr>
        <w:spacing w:before="0" w:line="480" w:lineRule="auto"/>
        <w:rPr>
          <w:sz w:val="22"/>
          <w:szCs w:val="22"/>
        </w:rPr>
      </w:pPr>
      <w:r w:rsidRPr="00BE5BB4">
        <w:rPr>
          <w:sz w:val="22"/>
          <w:szCs w:val="22"/>
        </w:rPr>
        <w:t>[5</w:t>
      </w:r>
      <w:proofErr w:type="gramStart"/>
      <w:r w:rsidRPr="00BE5BB4">
        <w:rPr>
          <w:sz w:val="22"/>
          <w:szCs w:val="22"/>
        </w:rPr>
        <w:t xml:space="preserve">] </w:t>
      </w:r>
      <w:proofErr w:type="gramEnd"/>
      <m:oMath>
        <m:r>
          <w:rPr>
            <w:rFonts w:ascii="Cambria Math" w:hAnsi="Cambria Math"/>
            <w:sz w:val="22"/>
            <w:szCs w:val="22"/>
          </w:rPr>
          <m:t>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r>
          <w:rPr>
            <w:rFonts w:ascii="Cambria Math" w:hAnsi="Cambria Math"/>
            <w:sz w:val="22"/>
            <w:szCs w:val="22"/>
          </w:rPr>
          <m:t> = (</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CUE</m:t>
            </m:r>
          </m:den>
        </m:f>
        <m:r>
          <w:rPr>
            <w:rFonts w:ascii="Cambria Math" w:hAnsi="Cambria Math"/>
            <w:sz w:val="22"/>
            <w:szCs w:val="22"/>
          </w:rPr>
          <m:t> - 1) × </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num>
          <m:den>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den>
        </m:f>
      </m:oMath>
      <w:r w:rsidRPr="00BE5BB4">
        <w:rPr>
          <w:sz w:val="22"/>
          <w:szCs w:val="22"/>
        </w:rPr>
        <w:t>,</w:t>
      </w:r>
    </w:p>
    <w:p w:rsidR="00424F1C" w:rsidRPr="00BE5BB4" w:rsidRDefault="00BE5BB4" w:rsidP="00BE5BB4">
      <w:pPr>
        <w:spacing w:before="0" w:line="480" w:lineRule="auto"/>
        <w:rPr>
          <w:sz w:val="22"/>
          <w:szCs w:val="22"/>
        </w:rPr>
      </w:pPr>
      <w:proofErr w:type="gramStart"/>
      <w:r w:rsidRPr="00BE5BB4">
        <w:rPr>
          <w:sz w:val="22"/>
          <w:szCs w:val="22"/>
        </w:rPr>
        <w:t>and</w:t>
      </w:r>
      <w:proofErr w:type="gramEnd"/>
    </w:p>
    <w:p w:rsidR="00424F1C" w:rsidRPr="00BE5BB4" w:rsidRDefault="00BE5BB4" w:rsidP="00BE5BB4">
      <w:pPr>
        <w:spacing w:before="0" w:line="480" w:lineRule="auto"/>
        <w:rPr>
          <w:sz w:val="22"/>
          <w:szCs w:val="22"/>
        </w:rPr>
      </w:pPr>
      <w:r w:rsidRPr="00BE5BB4">
        <w:rPr>
          <w:sz w:val="22"/>
          <w:szCs w:val="22"/>
        </w:rPr>
        <w:t>[6</w:t>
      </w:r>
      <w:proofErr w:type="gramStart"/>
      <w:r w:rsidRPr="00BE5BB4">
        <w:rPr>
          <w:sz w:val="22"/>
          <w:szCs w:val="22"/>
        </w:rPr>
        <w:t xml:space="preserve">] </w:t>
      </w:r>
      <w:proofErr w:type="gramEnd"/>
      <m:oMath>
        <m:r>
          <w:rPr>
            <w:rFonts w:ascii="Cambria Math" w:hAnsi="Cambria Math"/>
            <w:sz w:val="22"/>
            <w:szCs w:val="22"/>
          </w:rPr>
          <m:t>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M</m:t>
            </m:r>
          </m:sub>
        </m:sSub>
        <m:r>
          <w:rPr>
            <w:rFonts w:ascii="Cambria Math" w:hAnsi="Cambria Math"/>
            <w:sz w:val="22"/>
            <w:szCs w:val="22"/>
          </w:rPr>
          <m:t> = (</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CUE</m:t>
            </m:r>
          </m:den>
        </m:f>
        <m:r>
          <w:rPr>
            <w:rFonts w:ascii="Cambria Math" w:hAnsi="Cambria Math"/>
            <w:sz w:val="22"/>
            <w:szCs w:val="22"/>
          </w:rPr>
          <m:t> - 1) × </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num>
          <m:den>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den>
        </m:f>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 xml:space="preserve">In eq. 6, </w:t>
      </w:r>
      <m:oMath>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oMath>
      <w:r w:rsidRPr="00BE5BB4">
        <w:rPr>
          <w:sz w:val="22"/>
          <w:szCs w:val="22"/>
        </w:rPr>
        <w:t xml:space="preserve"> is biomass specific maintenance rate constant. Since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M</m:t>
            </m:r>
          </m:sub>
        </m:sSub>
      </m:oMath>
      <w:r w:rsidRPr="00BE5BB4">
        <w:rPr>
          <w:sz w:val="22"/>
          <w:szCs w:val="22"/>
        </w:rPr>
        <w:t xml:space="preserve"> represent a constant fraction of organic C uptake, the equation defining an uptake rate has to take both fluxes into an account and the eq. 3 is rewritten to:</w:t>
      </w:r>
    </w:p>
    <w:p w:rsidR="00424F1C" w:rsidRPr="00BE5BB4" w:rsidRDefault="00BE5BB4" w:rsidP="00BE5BB4">
      <w:pPr>
        <w:spacing w:before="0" w:line="480" w:lineRule="auto"/>
        <w:rPr>
          <w:sz w:val="22"/>
          <w:szCs w:val="22"/>
        </w:rPr>
      </w:pPr>
      <w:r w:rsidRPr="00BE5BB4">
        <w:rPr>
          <w:sz w:val="22"/>
          <w:szCs w:val="22"/>
        </w:rPr>
        <w:t>[7</w:t>
      </w:r>
      <w:proofErr w:type="gramStart"/>
      <w:r w:rsidRPr="00BE5BB4">
        <w:rPr>
          <w:sz w:val="22"/>
          <w:szCs w:val="22"/>
        </w:rPr>
        <w:t xml:space="preserve">] </w:t>
      </w:r>
      <w:proofErr w:type="gramEnd"/>
      <m:oMath>
        <m:r>
          <w:rPr>
            <w:rFonts w:ascii="Cambria Math" w:hAnsi="Cambria Math"/>
            <w:sz w:val="22"/>
            <w:szCs w:val="22"/>
          </w:rPr>
          <m:t>          uptake = </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CUE</m:t>
            </m:r>
          </m:den>
        </m:f>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w:rPr>
            <w:rFonts w:ascii="Cambria Math" w:hAnsi="Cambria Math"/>
            <w:sz w:val="22"/>
            <w:szCs w:val="22"/>
          </w:rPr>
          <m:t> )× </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num>
          <m:den>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den>
        </m:f>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 xml:space="preserve">The overall mass balance equations for pools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are respectively defined by the equations:</w:t>
      </w:r>
    </w:p>
    <w:p w:rsidR="00424F1C" w:rsidRPr="00BE5BB4" w:rsidRDefault="00BE5BB4" w:rsidP="00BE5BB4">
      <w:pPr>
        <w:spacing w:before="0" w:line="480" w:lineRule="auto"/>
        <w:rPr>
          <w:sz w:val="22"/>
          <w:szCs w:val="22"/>
        </w:rPr>
      </w:pPr>
      <w:r w:rsidRPr="00BE5BB4">
        <w:rPr>
          <w:sz w:val="22"/>
          <w:szCs w:val="22"/>
        </w:rPr>
        <w:t>[8</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num>
          <m:den>
            <m:r>
              <w:rPr>
                <w:rFonts w:ascii="Cambria Math" w:hAnsi="Cambria Math"/>
                <w:sz w:val="22"/>
                <w:szCs w:val="22"/>
              </w:rPr>
              <m:t>dt</m:t>
            </m:r>
          </m:den>
        </m:f>
        <m:r>
          <w:rPr>
            <w:rFonts w:ascii="Cambria Math" w:hAnsi="Cambria Math"/>
            <w:sz w:val="22"/>
            <w:szCs w:val="22"/>
          </w:rPr>
          <m:t> = uptake - (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M</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[9</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num>
          <m:den>
            <m:r>
              <w:rPr>
                <w:rFonts w:ascii="Cambria Math" w:hAnsi="Cambria Math"/>
                <w:sz w:val="22"/>
                <w:szCs w:val="22"/>
              </w:rPr>
              <m:t>dt</m:t>
            </m:r>
          </m:den>
        </m:f>
        <m:r>
          <w:rPr>
            <w:rFonts w:ascii="Cambria Math" w:hAnsi="Cambria Math"/>
            <w:sz w:val="22"/>
            <w:szCs w:val="22"/>
          </w:rPr>
          <m:t> = -uptake + </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 xml:space="preserve">The last term of </w:t>
      </w:r>
      <w:proofErr w:type="spellStart"/>
      <w:r w:rsidRPr="00BE5BB4">
        <w:rPr>
          <w:sz w:val="22"/>
          <w:szCs w:val="22"/>
        </w:rPr>
        <w:t>eqs</w:t>
      </w:r>
      <w:proofErr w:type="spellEnd"/>
      <w:r w:rsidRPr="00BE5BB4">
        <w:rPr>
          <w:sz w:val="22"/>
          <w:szCs w:val="22"/>
        </w:rPr>
        <w:t xml:space="preserve">. 8 and 9 indicates that the rate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loss due to decay is controled </w:t>
      </w:r>
      <w:proofErr w:type="gramStart"/>
      <w:r w:rsidRPr="00BE5BB4">
        <w:rPr>
          <w:sz w:val="22"/>
          <w:szCs w:val="22"/>
        </w:rPr>
        <w:t xml:space="preserve">by </w:t>
      </w:r>
      <w:proofErr w:type="gramEnd"/>
      <m:oMath>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oMath>
      <w:r w:rsidRPr="00BE5BB4">
        <w:rPr>
          <w:sz w:val="22"/>
          <w:szCs w:val="22"/>
        </w:rPr>
        <w:t>.</w:t>
      </w:r>
    </w:p>
    <w:p w:rsidR="00424F1C" w:rsidRPr="00BE5BB4" w:rsidRDefault="00BE5BB4" w:rsidP="00BE5BB4">
      <w:pPr>
        <w:pStyle w:val="Heading4"/>
        <w:spacing w:before="0" w:line="480" w:lineRule="auto"/>
        <w:rPr>
          <w:rFonts w:asciiTheme="minorHAnsi" w:hAnsiTheme="minorHAnsi"/>
          <w:sz w:val="22"/>
          <w:szCs w:val="22"/>
        </w:rPr>
      </w:pPr>
      <w:bookmarkStart w:id="13" w:name="db-model-fig.-1c"/>
      <w:r w:rsidRPr="00BE5BB4">
        <w:rPr>
          <w:rFonts w:asciiTheme="minorHAnsi" w:hAnsiTheme="minorHAnsi"/>
          <w:sz w:val="22"/>
          <w:szCs w:val="22"/>
        </w:rPr>
        <w:lastRenderedPageBreak/>
        <w:t>DB model (Fig. 1c)</w:t>
      </w:r>
    </w:p>
    <w:bookmarkEnd w:id="13"/>
    <w:p w:rsidR="00424F1C" w:rsidRPr="00BE5BB4" w:rsidRDefault="00BE5BB4" w:rsidP="00BE5BB4">
      <w:pPr>
        <w:spacing w:before="0" w:line="480" w:lineRule="auto"/>
        <w:rPr>
          <w:sz w:val="22"/>
          <w:szCs w:val="22"/>
        </w:rPr>
      </w:pPr>
      <w:r w:rsidRPr="00BE5BB4">
        <w:rPr>
          <w:sz w:val="22"/>
          <w:szCs w:val="22"/>
        </w:rPr>
        <w:t xml:space="preserve">In contrast to previous models, microbial biomass </w:t>
      </w:r>
      <w:r w:rsidR="006A4DF4" w:rsidRPr="00BE5BB4">
        <w:rPr>
          <w:sz w:val="22"/>
          <w:szCs w:val="22"/>
        </w:rPr>
        <w:t>consist</w:t>
      </w:r>
      <w:r w:rsidRPr="00BE5BB4">
        <w:rPr>
          <w:sz w:val="22"/>
          <w:szCs w:val="22"/>
        </w:rPr>
        <w:t xml:space="preserve"> of two functional parts, reserves (</w:t>
      </w:r>
      <m:oMath>
        <m:r>
          <w:rPr>
            <w:rFonts w:ascii="Cambria Math" w:hAnsi="Cambria Math"/>
            <w:sz w:val="22"/>
            <w:szCs w:val="22"/>
          </w:rPr>
          <m:t>R</m:t>
        </m:r>
      </m:oMath>
      <w:r w:rsidRPr="00BE5BB4">
        <w:rPr>
          <w:sz w:val="22"/>
          <w:szCs w:val="22"/>
        </w:rPr>
        <w:t>) and structures (</w:t>
      </w:r>
      <m:oMath>
        <m:r>
          <w:rPr>
            <w:rFonts w:ascii="Cambria Math" w:hAnsi="Cambria Math"/>
            <w:sz w:val="22"/>
            <w:szCs w:val="22"/>
          </w:rPr>
          <m:t>S</m:t>
        </m:r>
      </m:oMath>
      <w:r w:rsidRPr="00BE5BB4">
        <w:rPr>
          <w:sz w:val="22"/>
          <w:szCs w:val="22"/>
        </w:rPr>
        <w:t xml:space="preserve">). Whereas </w:t>
      </w:r>
      <m:oMath>
        <m:r>
          <w:rPr>
            <w:rFonts w:ascii="Cambria Math" w:hAnsi="Cambria Math"/>
            <w:sz w:val="22"/>
            <w:szCs w:val="22"/>
          </w:rPr>
          <m:t>S</m:t>
        </m:r>
      </m:oMath>
      <w:r w:rsidRPr="00BE5BB4">
        <w:rPr>
          <w:sz w:val="22"/>
          <w:szCs w:val="22"/>
        </w:rPr>
        <w:t xml:space="preserve"> is functionally similar </w:t>
      </w:r>
      <w:proofErr w:type="gramStart"/>
      <w:r w:rsidRPr="00BE5BB4">
        <w:rPr>
          <w:sz w:val="22"/>
          <w:szCs w:val="22"/>
        </w:rPr>
        <w:t xml:space="preserve">to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w:t>
      </w:r>
      <m:oMath>
        <m:r>
          <w:rPr>
            <w:rFonts w:ascii="Cambria Math" w:hAnsi="Cambria Math"/>
            <w:sz w:val="22"/>
            <w:szCs w:val="22"/>
          </w:rPr>
          <m:t>R</m:t>
        </m:r>
      </m:oMath>
      <w:r w:rsidRPr="00BE5BB4">
        <w:rPr>
          <w:sz w:val="22"/>
          <w:szCs w:val="22"/>
        </w:rPr>
        <w:t xml:space="preserve"> represents a "buffering zone"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w:t>
      </w:r>
      <w:proofErr w:type="gramStart"/>
      <w:r w:rsidRPr="00BE5BB4">
        <w:rPr>
          <w:sz w:val="22"/>
          <w:szCs w:val="22"/>
        </w:rPr>
        <w:t>is</w:t>
      </w:r>
      <w:proofErr w:type="gramEnd"/>
      <w:r w:rsidRPr="00BE5BB4">
        <w:rPr>
          <w:sz w:val="22"/>
          <w:szCs w:val="22"/>
        </w:rPr>
        <w:t xml:space="preserve"> assimilated into reserves by a rate proportional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and </w:t>
      </w:r>
      <m:oMath>
        <m:r>
          <w:rPr>
            <w:rFonts w:ascii="Cambria Math" w:hAnsi="Cambria Math"/>
            <w:sz w:val="22"/>
            <w:szCs w:val="22"/>
          </w:rPr>
          <m:t>S</m:t>
        </m:r>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[10</w:t>
      </w:r>
      <w:proofErr w:type="gramStart"/>
      <w:r w:rsidRPr="00BE5BB4">
        <w:rPr>
          <w:sz w:val="22"/>
          <w:szCs w:val="22"/>
        </w:rPr>
        <w:t xml:space="preserve">] </w:t>
      </w:r>
      <w:proofErr w:type="gramEnd"/>
      <m:oMath>
        <m:r>
          <w:rPr>
            <w:rFonts w:ascii="Cambria Math" w:hAnsi="Cambria Math"/>
            <w:sz w:val="22"/>
            <w:szCs w:val="22"/>
          </w:rPr>
          <m:t>          assimilation =</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r>
              <w:rPr>
                <w:rFonts w:ascii="Cambria Math" w:hAnsi="Cambria Math"/>
                <w:sz w:val="22"/>
                <w:szCs w:val="22"/>
              </w:rPr>
              <m:t> × S</m:t>
            </m:r>
          </m:num>
          <m:den>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den>
        </m:f>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 xml:space="preserve">For simplicity, we assume that </w:t>
      </w:r>
      <w:proofErr w:type="gramStart"/>
      <w:r w:rsidRPr="00BE5BB4">
        <w:rPr>
          <w:sz w:val="22"/>
          <w:szCs w:val="22"/>
        </w:rPr>
        <w:t xml:space="preserve">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is</w:t>
      </w:r>
      <w:proofErr w:type="gramEnd"/>
      <w:r w:rsidRPr="00BE5BB4">
        <w:rPr>
          <w:sz w:val="22"/>
          <w:szCs w:val="22"/>
        </w:rPr>
        <w:t xml:space="preserve"> assimilated into R with efficiency equal to one. Organic C is released from reserves by a rate proportional to R. The overall mass balance equation for pool R is thus:</w:t>
      </w:r>
    </w:p>
    <w:p w:rsidR="00424F1C" w:rsidRPr="00BE5BB4" w:rsidRDefault="00BE5BB4" w:rsidP="00BE5BB4">
      <w:pPr>
        <w:spacing w:before="0" w:line="480" w:lineRule="auto"/>
        <w:rPr>
          <w:sz w:val="22"/>
          <w:szCs w:val="22"/>
        </w:rPr>
      </w:pPr>
      <w:r w:rsidRPr="00BE5BB4">
        <w:rPr>
          <w:sz w:val="22"/>
          <w:szCs w:val="22"/>
        </w:rPr>
        <w:t>[11</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dR</m:t>
            </m:r>
          </m:num>
          <m:den>
            <m:r>
              <w:rPr>
                <w:rFonts w:ascii="Cambria Math" w:hAnsi="Cambria Math"/>
                <w:sz w:val="22"/>
                <w:szCs w:val="22"/>
              </w:rPr>
              <m:t>dt</m:t>
            </m:r>
          </m:den>
        </m:f>
        <m:r>
          <w:rPr>
            <w:rFonts w:ascii="Cambria Math" w:hAnsi="Cambria Math"/>
            <w:sz w:val="22"/>
            <w:szCs w:val="22"/>
          </w:rPr>
          <m:t> = assimilation - </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0</m:t>
            </m:r>
          </m:sub>
        </m:sSub>
        <m:r>
          <w:rPr>
            <w:rFonts w:ascii="Cambria Math" w:hAnsi="Cambria Math"/>
            <w:sz w:val="22"/>
            <w:szCs w:val="22"/>
          </w:rPr>
          <m:t> × R</m:t>
        </m:r>
      </m:oMath>
      <w:r w:rsidRPr="00BE5BB4">
        <w:rPr>
          <w:sz w:val="22"/>
          <w:szCs w:val="22"/>
        </w:rPr>
        <w:t>,</w:t>
      </w:r>
    </w:p>
    <w:p w:rsidR="00424F1C" w:rsidRPr="00BE5BB4" w:rsidRDefault="00BE5BB4" w:rsidP="00BE5BB4">
      <w:pPr>
        <w:spacing w:before="0" w:line="480" w:lineRule="auto"/>
        <w:rPr>
          <w:sz w:val="22"/>
          <w:szCs w:val="22"/>
        </w:rPr>
      </w:pPr>
      <w:proofErr w:type="gramStart"/>
      <w:r w:rsidRPr="00BE5BB4">
        <w:rPr>
          <w:sz w:val="22"/>
          <w:szCs w:val="22"/>
        </w:rPr>
        <w:t>where</w:t>
      </w:r>
      <w:proofErr w:type="gramEnd"/>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0</m:t>
            </m:r>
          </m:sub>
        </m:sSub>
      </m:oMath>
      <w:r w:rsidRPr="00BE5BB4">
        <w:rPr>
          <w:sz w:val="22"/>
          <w:szCs w:val="22"/>
        </w:rPr>
        <w:t xml:space="preserve"> is the constant controlling the rate of release of organic C from reserves. The released organic C is used to maintain structures or to grow (i.e. increase </w:t>
      </w:r>
      <w:proofErr w:type="gramStart"/>
      <w:r w:rsidRPr="00BE5BB4">
        <w:rPr>
          <w:sz w:val="22"/>
          <w:szCs w:val="22"/>
        </w:rPr>
        <w:t xml:space="preserve">pool </w:t>
      </w:r>
      <w:proofErr w:type="gramEnd"/>
      <m:oMath>
        <m:r>
          <w:rPr>
            <w:rFonts w:ascii="Cambria Math" w:hAnsi="Cambria Math"/>
            <w:sz w:val="22"/>
            <w:szCs w:val="22"/>
          </w:rPr>
          <m:t>S</m:t>
        </m:r>
      </m:oMath>
      <w:r w:rsidRPr="00BE5BB4">
        <w:rPr>
          <w:sz w:val="22"/>
          <w:szCs w:val="22"/>
        </w:rPr>
        <w:t xml:space="preserve">). However, maintaining structures have a priority over the growth (@Hanegraaf2001). The growth is realized only when reserves contain enough organic C. When pool </w:t>
      </w:r>
      <m:oMath>
        <m:r>
          <w:rPr>
            <w:rFonts w:ascii="Cambria Math" w:hAnsi="Cambria Math"/>
            <w:sz w:val="22"/>
            <w:szCs w:val="22"/>
          </w:rPr>
          <m:t>R</m:t>
        </m:r>
      </m:oMath>
      <w:r w:rsidRPr="00BE5BB4">
        <w:rPr>
          <w:sz w:val="22"/>
          <w:szCs w:val="22"/>
        </w:rPr>
        <w:t xml:space="preserve"> doesn't contain enough organic C to </w:t>
      </w:r>
      <w:proofErr w:type="gramStart"/>
      <w:r w:rsidRPr="00BE5BB4">
        <w:rPr>
          <w:sz w:val="22"/>
          <w:szCs w:val="22"/>
        </w:rPr>
        <w:t xml:space="preserve">maintain </w:t>
      </w:r>
      <w:proofErr w:type="gramEnd"/>
      <m:oMath>
        <m:r>
          <w:rPr>
            <w:rFonts w:ascii="Cambria Math" w:hAnsi="Cambria Math"/>
            <w:sz w:val="22"/>
            <w:szCs w:val="22"/>
          </w:rPr>
          <m:t>S</m:t>
        </m:r>
      </m:oMath>
      <w:r w:rsidRPr="00BE5BB4">
        <w:rPr>
          <w:sz w:val="22"/>
          <w:szCs w:val="22"/>
        </w:rPr>
        <w:t xml:space="preserve">, proportional part of </w:t>
      </w:r>
      <m:oMath>
        <m:r>
          <w:rPr>
            <w:rFonts w:ascii="Cambria Math" w:hAnsi="Cambria Math"/>
            <w:sz w:val="22"/>
            <w:szCs w:val="22"/>
          </w:rPr>
          <m:t>S</m:t>
        </m:r>
      </m:oMath>
      <w:r w:rsidRPr="00BE5BB4">
        <w:rPr>
          <w:sz w:val="22"/>
          <w:szCs w:val="22"/>
        </w:rPr>
        <w:t xml:space="preserve"> is lost via respiration. The respective mass balance equations for pools </w:t>
      </w:r>
      <m:oMath>
        <m:r>
          <w:rPr>
            <w:rFonts w:ascii="Cambria Math" w:hAnsi="Cambria Math"/>
            <w:sz w:val="22"/>
            <w:szCs w:val="22"/>
          </w:rPr>
          <m:t>S</m:t>
        </m:r>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are defined as:</w:t>
      </w:r>
    </w:p>
    <w:p w:rsidR="00424F1C" w:rsidRPr="00BE5BB4" w:rsidRDefault="00BE5BB4" w:rsidP="00BE5BB4">
      <w:pPr>
        <w:spacing w:before="0" w:line="480" w:lineRule="auto"/>
        <w:rPr>
          <w:sz w:val="22"/>
          <w:szCs w:val="22"/>
        </w:rPr>
      </w:pPr>
      <w:r w:rsidRPr="00BE5BB4">
        <w:rPr>
          <w:sz w:val="22"/>
          <w:szCs w:val="22"/>
        </w:rPr>
        <w:t>[12</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dS</m:t>
            </m:r>
          </m:num>
          <m:den>
            <m:r>
              <w:rPr>
                <w:rFonts w:ascii="Cambria Math" w:hAnsi="Cambria Math"/>
                <w:sz w:val="22"/>
                <w:szCs w:val="22"/>
              </w:rPr>
              <m:t>dt</m:t>
            </m:r>
          </m:den>
        </m:f>
        <m:r>
          <w:rPr>
            <w:rFonts w:ascii="Cambria Math" w:hAnsi="Cambria Math"/>
            <w:sz w:val="22"/>
            <w:szCs w:val="22"/>
          </w:rPr>
          <m:t> = max</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a</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r>
              <w:rPr>
                <w:rFonts w:ascii="Cambria Math" w:hAnsi="Cambria Math"/>
                <w:sz w:val="22"/>
                <w:szCs w:val="22"/>
              </w:rPr>
              <m:t>, 0</m:t>
            </m:r>
          </m:e>
        </m:d>
        <m:r>
          <w:rPr>
            <w:rFonts w:ascii="Cambria Math" w:hAnsi="Cambria Math"/>
            <w:sz w:val="22"/>
            <w:szCs w:val="22"/>
          </w:rPr>
          <m:t> + min</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a</m:t>
                </m:r>
              </m:sub>
            </m:sSub>
            <m:r>
              <w:rPr>
                <w:rFonts w:ascii="Cambria Math" w:hAnsi="Cambria Math"/>
                <w:sz w:val="22"/>
                <w:szCs w:val="22"/>
              </w:rPr>
              <m:t>, 0</m:t>
            </m:r>
          </m:e>
        </m:d>
      </m:oMath>
      <w:r w:rsidRPr="00BE5BB4">
        <w:rPr>
          <w:sz w:val="22"/>
          <w:szCs w:val="22"/>
        </w:rPr>
        <w:t>,</w:t>
      </w:r>
    </w:p>
    <w:p w:rsidR="00424F1C" w:rsidRPr="00BE5BB4" w:rsidRDefault="00BE5BB4" w:rsidP="00BE5BB4">
      <w:pPr>
        <w:spacing w:before="0" w:line="480" w:lineRule="auto"/>
        <w:rPr>
          <w:sz w:val="22"/>
          <w:szCs w:val="22"/>
        </w:rPr>
      </w:pPr>
      <w:proofErr w:type="gramStart"/>
      <w:r w:rsidRPr="00BE5BB4">
        <w:rPr>
          <w:sz w:val="22"/>
          <w:szCs w:val="22"/>
        </w:rPr>
        <w:t>and</w:t>
      </w:r>
      <w:proofErr w:type="gramEnd"/>
    </w:p>
    <w:p w:rsidR="00424F1C" w:rsidRPr="00BE5BB4" w:rsidRDefault="00BE5BB4" w:rsidP="00BE5BB4">
      <w:pPr>
        <w:spacing w:before="0" w:line="480" w:lineRule="auto"/>
        <w:rPr>
          <w:sz w:val="22"/>
          <w:szCs w:val="22"/>
        </w:rPr>
      </w:pPr>
      <w:r w:rsidRPr="00BE5BB4">
        <w:rPr>
          <w:sz w:val="22"/>
          <w:szCs w:val="22"/>
        </w:rPr>
        <w:t>[13</w:t>
      </w:r>
      <w:proofErr w:type="gramStart"/>
      <w:r w:rsidRPr="00BE5BB4">
        <w:rPr>
          <w:sz w:val="22"/>
          <w:szCs w:val="22"/>
        </w:rPr>
        <w:t xml:space="preserve">] </w:t>
      </w:r>
      <w:proofErr w:type="gramEnd"/>
      <m:oMath>
        <m: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num>
          <m:den>
            <m:r>
              <w:rPr>
                <w:rFonts w:ascii="Cambria Math" w:hAnsi="Cambria Math"/>
                <w:sz w:val="22"/>
                <w:szCs w:val="22"/>
              </w:rPr>
              <m:t>dt</m:t>
            </m:r>
          </m:den>
        </m:f>
        <m:r>
          <w:rPr>
            <w:rFonts w:ascii="Cambria Math" w:hAnsi="Cambria Math"/>
            <w:sz w:val="22"/>
            <w:szCs w:val="22"/>
          </w:rPr>
          <m:t> = -assimilation</m:t>
        </m:r>
      </m:oMath>
      <w:r w:rsidRPr="00BE5BB4">
        <w:rPr>
          <w:sz w:val="22"/>
          <w:szCs w:val="22"/>
        </w:rPr>
        <w:t>.</w:t>
      </w:r>
    </w:p>
    <w:p w:rsidR="00424F1C" w:rsidRPr="00BE5BB4" w:rsidRDefault="00BE5BB4" w:rsidP="00BE5BB4">
      <w:pPr>
        <w:spacing w:before="0" w:line="480" w:lineRule="auto"/>
        <w:rPr>
          <w:sz w:val="22"/>
          <w:szCs w:val="22"/>
        </w:rPr>
      </w:pPr>
      <w:r w:rsidRPr="00BE5BB4">
        <w:rPr>
          <w:sz w:val="22"/>
          <w:szCs w:val="22"/>
        </w:rPr>
        <w:t xml:space="preserve">In eq. 12,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oMath>
      <w:r w:rsidRPr="00BE5BB4">
        <w:rPr>
          <w:sz w:val="22"/>
          <w:szCs w:val="22"/>
        </w:rPr>
        <w:t xml:space="preserve"> is yield or efficiency of structures production (</w:t>
      </w:r>
      <w:r w:rsidR="006A4DF4" w:rsidRPr="00BE5BB4">
        <w:rPr>
          <w:sz w:val="22"/>
          <w:szCs w:val="22"/>
        </w:rPr>
        <w:t>functionally</w:t>
      </w:r>
      <w:r w:rsidRPr="00BE5BB4">
        <w:rPr>
          <w:sz w:val="22"/>
          <w:szCs w:val="22"/>
        </w:rPr>
        <w:t xml:space="preserve"> similar </w:t>
      </w:r>
      <w:proofErr w:type="gramStart"/>
      <w:r w:rsidRPr="00BE5BB4">
        <w:rPr>
          <w:sz w:val="22"/>
          <w:szCs w:val="22"/>
        </w:rPr>
        <w:t xml:space="preserve">to </w:t>
      </w:r>
      <w:proofErr w:type="gramEnd"/>
      <m:oMath>
        <m:r>
          <w:rPr>
            <w:rFonts w:ascii="Cambria Math" w:hAnsi="Cambria Math"/>
            <w:sz w:val="22"/>
            <w:szCs w:val="22"/>
          </w:rPr>
          <m:t>CUE</m:t>
        </m:r>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a</m:t>
            </m:r>
          </m:sub>
        </m:sSub>
      </m:oMath>
      <w:r w:rsidRPr="00BE5BB4">
        <w:rPr>
          <w:sz w:val="22"/>
          <w:szCs w:val="22"/>
        </w:rPr>
        <w:t xml:space="preserve"> is the organic C flux available to construct </w:t>
      </w:r>
      <m:oMath>
        <m:r>
          <w:rPr>
            <w:rFonts w:ascii="Cambria Math" w:hAnsi="Cambria Math"/>
            <w:sz w:val="22"/>
            <w:szCs w:val="22"/>
          </w:rPr>
          <m:t>S</m:t>
        </m:r>
      </m:oMath>
      <w:r w:rsidRPr="00BE5BB4">
        <w:rPr>
          <w:sz w:val="22"/>
          <w:szCs w:val="22"/>
        </w:rPr>
        <w:t xml:space="preserve">. Depending on the size of the pool </w:t>
      </w:r>
      <m:oMath>
        <m:r>
          <w:rPr>
            <w:rFonts w:ascii="Cambria Math" w:hAnsi="Cambria Math"/>
            <w:sz w:val="22"/>
            <w:szCs w:val="22"/>
          </w:rPr>
          <m:t>R</m:t>
        </m:r>
      </m:oMath>
      <w:r w:rsidRPr="00BE5BB4">
        <w:rPr>
          <w:sz w:val="22"/>
          <w:szCs w:val="22"/>
        </w:rPr>
        <w:t xml:space="preserve"> and the amount of organic C needed to </w:t>
      </w:r>
      <w:proofErr w:type="gramStart"/>
      <w:r w:rsidRPr="00BE5BB4">
        <w:rPr>
          <w:sz w:val="22"/>
          <w:szCs w:val="22"/>
        </w:rPr>
        <w:t xml:space="preserve">maintain </w:t>
      </w:r>
      <w:proofErr w:type="gramEnd"/>
      <m:oMath>
        <m:r>
          <w:rPr>
            <w:rFonts w:ascii="Cambria Math" w:hAnsi="Cambria Math"/>
            <w:sz w:val="22"/>
            <w:szCs w:val="22"/>
          </w:rPr>
          <m:t>S</m:t>
        </m:r>
      </m:oMath>
      <w:r w:rsidRPr="00BE5BB4">
        <w:rPr>
          <w:sz w:val="22"/>
          <w:szCs w:val="22"/>
        </w:rPr>
        <w:t xml:space="preserve">. This flux can be positive or negative. If the flux is positive, </w:t>
      </w:r>
      <m:oMath>
        <m:r>
          <w:rPr>
            <w:rFonts w:ascii="Cambria Math" w:hAnsi="Cambria Math"/>
            <w:sz w:val="22"/>
            <w:szCs w:val="22"/>
          </w:rPr>
          <m:t>S</m:t>
        </m:r>
      </m:oMath>
      <w:r w:rsidRPr="00BE5BB4">
        <w:rPr>
          <w:sz w:val="22"/>
          <w:szCs w:val="22"/>
        </w:rPr>
        <w:t xml:space="preserve"> </w:t>
      </w:r>
      <w:r w:rsidRPr="00BE5BB4">
        <w:rPr>
          <w:sz w:val="22"/>
          <w:szCs w:val="22"/>
        </w:rPr>
        <w:lastRenderedPageBreak/>
        <w:t xml:space="preserve">increases, while if it is negative, </w:t>
      </w:r>
      <m:oMath>
        <m:r>
          <w:rPr>
            <w:rFonts w:ascii="Cambria Math" w:hAnsi="Cambria Math"/>
            <w:sz w:val="22"/>
            <w:szCs w:val="22"/>
          </w:rPr>
          <m:t>S</m:t>
        </m:r>
      </m:oMath>
      <w:r w:rsidRPr="00BE5BB4">
        <w:rPr>
          <w:sz w:val="22"/>
          <w:szCs w:val="22"/>
        </w:rPr>
        <w:t xml:space="preserve"> is lost via respiration (i.e. to cover required maintenance costs). The flux </w:t>
      </w:r>
      <m:oMath>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a</m:t>
            </m:r>
          </m:sub>
        </m:sSub>
      </m:oMath>
      <w:r w:rsidRPr="00BE5BB4">
        <w:rPr>
          <w:sz w:val="22"/>
          <w:szCs w:val="22"/>
        </w:rPr>
        <w:t xml:space="preserve"> is defined by the equation:</w:t>
      </w:r>
    </w:p>
    <w:p w:rsidR="00424F1C" w:rsidRPr="00BE5BB4" w:rsidRDefault="00BE5BB4" w:rsidP="00BE5BB4">
      <w:pPr>
        <w:spacing w:before="0" w:line="480" w:lineRule="auto"/>
        <w:rPr>
          <w:sz w:val="22"/>
          <w:szCs w:val="22"/>
        </w:rPr>
      </w:pPr>
      <w:r w:rsidRPr="00BE5BB4">
        <w:rPr>
          <w:sz w:val="22"/>
          <w:szCs w:val="22"/>
        </w:rPr>
        <w:t>[14</w:t>
      </w:r>
      <w:proofErr w:type="gramStart"/>
      <w:r w:rsidRPr="00BE5BB4">
        <w:rPr>
          <w:sz w:val="22"/>
          <w:szCs w:val="22"/>
        </w:rPr>
        <w:t xml:space="preserve">] </w:t>
      </w:r>
      <w:proofErr w:type="gramEnd"/>
      <m:oMath>
        <m:r>
          <w:rPr>
            <w:rFonts w:ascii="Cambria Math" w:hAnsi="Cambria Math"/>
            <w:sz w:val="22"/>
            <w:szCs w:val="22"/>
          </w:rPr>
          <m:t>          </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a</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0</m:t>
            </m:r>
          </m:sub>
        </m:sSub>
        <m:r>
          <w:rPr>
            <w:rFonts w:ascii="Cambria Math" w:hAnsi="Cambria Math"/>
            <w:sz w:val="22"/>
            <w:szCs w:val="22"/>
          </w:rPr>
          <m:t> × R - </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w:rPr>
            <w:rFonts w:ascii="Cambria Math" w:hAnsi="Cambria Math"/>
            <w:sz w:val="22"/>
            <w:szCs w:val="22"/>
          </w:rPr>
          <m:t> × S</m:t>
        </m:r>
      </m:oMath>
      <w:r w:rsidRPr="00BE5BB4">
        <w:rPr>
          <w:sz w:val="22"/>
          <w:szCs w:val="22"/>
        </w:rPr>
        <w:t>.</w:t>
      </w:r>
    </w:p>
    <w:p w:rsidR="00424F1C" w:rsidRPr="00BE5BB4" w:rsidRDefault="00773B1C" w:rsidP="00BE5BB4">
      <w:pPr>
        <w:spacing w:before="0" w:line="480" w:lineRule="auto"/>
        <w:rPr>
          <w:sz w:val="22"/>
          <w:szCs w:val="22"/>
        </w:rPr>
      </w:pP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00BE5BB4" w:rsidRPr="00BE5BB4">
        <w:rPr>
          <w:sz w:val="22"/>
          <w:szCs w:val="22"/>
        </w:rPr>
        <w:t xml:space="preserve"> </w:t>
      </w:r>
      <w:proofErr w:type="gramStart"/>
      <w:r w:rsidR="00BE5BB4" w:rsidRPr="00BE5BB4">
        <w:rPr>
          <w:sz w:val="22"/>
          <w:szCs w:val="22"/>
        </w:rPr>
        <w:t>consists</w:t>
      </w:r>
      <w:proofErr w:type="gramEnd"/>
      <w:r w:rsidR="00BE5BB4" w:rsidRPr="00BE5BB4">
        <w:rPr>
          <w:sz w:val="22"/>
          <w:szCs w:val="22"/>
        </w:rPr>
        <w:t xml:space="preserve"> of two different processes, growth and maintenance respiration:</w:t>
      </w:r>
    </w:p>
    <w:p w:rsidR="00424F1C" w:rsidRPr="00BE5BB4" w:rsidRDefault="00BE5BB4" w:rsidP="00BE5BB4">
      <w:pPr>
        <w:spacing w:before="0" w:line="480" w:lineRule="auto"/>
        <w:rPr>
          <w:sz w:val="22"/>
          <w:szCs w:val="22"/>
        </w:rPr>
      </w:pPr>
      <w:r w:rsidRPr="00BE5BB4">
        <w:rPr>
          <w:sz w:val="22"/>
          <w:szCs w:val="22"/>
        </w:rPr>
        <w:t>[15</w:t>
      </w:r>
      <w:proofErr w:type="gramStart"/>
      <w:r w:rsidRPr="00BE5BB4">
        <w:rPr>
          <w:sz w:val="22"/>
          <w:szCs w:val="22"/>
        </w:rPr>
        <w:t xml:space="preserve">] </w:t>
      </w:r>
      <w:proofErr w:type="gramEnd"/>
      <m:oMath>
        <m:r>
          <w:rPr>
            <w:rFonts w:ascii="Cambria Math" w:hAnsi="Cambria Math"/>
            <w:sz w:val="22"/>
            <w:szCs w:val="22"/>
          </w:rPr>
          <m:t>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G</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M</m:t>
            </m:r>
          </m:sub>
        </m:sSub>
        <m:r>
          <w:rPr>
            <w:rFonts w:ascii="Cambria Math" w:hAnsi="Cambria Math"/>
            <w:sz w:val="22"/>
            <w:szCs w:val="22"/>
          </w:rPr>
          <m:t> =  max</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a</m:t>
                </m:r>
              </m:sub>
            </m:sSub>
            <m:r>
              <w:rPr>
                <w:rFonts w:ascii="Cambria Math" w:hAnsi="Cambria Math"/>
                <w:sz w:val="22"/>
                <w:szCs w:val="22"/>
              </w:rPr>
              <m:t> × (1-</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r>
              <w:rPr>
                <w:rFonts w:ascii="Cambria Math" w:hAnsi="Cambria Math"/>
                <w:sz w:val="22"/>
                <w:szCs w:val="22"/>
              </w:rPr>
              <m:t>), 0</m:t>
            </m:r>
          </m:e>
        </m:d>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r>
          <w:rPr>
            <w:rFonts w:ascii="Cambria Math" w:hAnsi="Cambria Math"/>
            <w:sz w:val="22"/>
            <w:szCs w:val="22"/>
          </w:rPr>
          <m:t> × S</m:t>
        </m:r>
      </m:oMath>
      <w:r w:rsidRPr="00BE5BB4">
        <w:rPr>
          <w:sz w:val="22"/>
          <w:szCs w:val="22"/>
        </w:rPr>
        <w:t>.</w:t>
      </w:r>
    </w:p>
    <w:p w:rsidR="00424F1C" w:rsidRPr="00BE5BB4" w:rsidRDefault="00BE5BB4" w:rsidP="00BE5BB4">
      <w:pPr>
        <w:pStyle w:val="Heading3"/>
        <w:spacing w:before="0" w:line="480" w:lineRule="auto"/>
        <w:rPr>
          <w:rFonts w:asciiTheme="minorHAnsi" w:hAnsiTheme="minorHAnsi"/>
          <w:sz w:val="22"/>
          <w:szCs w:val="22"/>
        </w:rPr>
      </w:pPr>
      <w:bookmarkStart w:id="14" w:name="parameters-estimation-and-models-evaluat"/>
      <w:r w:rsidRPr="00BE5BB4">
        <w:rPr>
          <w:rFonts w:asciiTheme="minorHAnsi" w:hAnsiTheme="minorHAnsi"/>
          <w:sz w:val="22"/>
          <w:szCs w:val="22"/>
        </w:rPr>
        <w:t>Parameters estimation and models evaluation</w:t>
      </w:r>
    </w:p>
    <w:bookmarkEnd w:id="14"/>
    <w:p w:rsidR="00424F1C" w:rsidRPr="00BE5BB4" w:rsidRDefault="00BE5BB4" w:rsidP="00BE5BB4">
      <w:pPr>
        <w:spacing w:before="0" w:line="480" w:lineRule="auto"/>
        <w:rPr>
          <w:sz w:val="22"/>
          <w:szCs w:val="22"/>
        </w:rPr>
      </w:pPr>
      <w:r w:rsidRPr="00BE5BB4">
        <w:rPr>
          <w:sz w:val="22"/>
          <w:szCs w:val="22"/>
        </w:rPr>
        <w:t xml:space="preserve">All three models include parameters, whose value can be adjusted to maximize the correspondence between model simulations and observations. Models were calibrated against the measured respiration rate, cellular protein concentration and/or DNA content. Model parameters were adjusted to minimize the objective function </w:t>
      </w:r>
      <m:oMath>
        <m:r>
          <w:rPr>
            <w:rFonts w:ascii="Cambria Math" w:hAnsi="Cambria Math"/>
            <w:sz w:val="22"/>
            <w:szCs w:val="22"/>
          </w:rPr>
          <m:t>J</m:t>
        </m:r>
      </m:oMath>
      <w:r w:rsidRPr="00BE5BB4">
        <w:rPr>
          <w:sz w:val="22"/>
          <w:szCs w:val="22"/>
        </w:rPr>
        <w:t xml:space="preserve"> using the Differential Evolution algorithm </w:t>
      </w:r>
      <w:r w:rsidR="00F71ECF">
        <w:rPr>
          <w:sz w:val="22"/>
          <w:szCs w:val="22"/>
        </w:rPr>
        <w:fldChar w:fldCharType="begin" w:fldLock="1"/>
      </w:r>
      <w:r w:rsidR="00F71ECF">
        <w:rPr>
          <w:sz w:val="22"/>
          <w:szCs w:val="22"/>
        </w:rPr>
        <w:instrText>ADDIN CSL_CITATION {"citationItems":[{"id":"ITEM-1","itemData":{"author":[{"dropping-particle":"","family":"Mullen","given":"Katharine","non-dropping-particle":"","parse-names":false,"suffix":""},{"dropping-particle":"","family":"Ardia","given":"David","non-dropping-particle":"","parse-names":false,"suffix":""},{"dropping-particle":"","family":"Gil","given":"David","non-dropping-particle":"","parse-names":false,"suffix":""},{"dropping-particle":"","family":"Windover","given":"Donald","non-dropping-particle":"","parse-names":false,"suffix":""},{"dropping-particle":"","family":"Cline","given":"James","non-dropping-particle":"","parse-names":false,"suffix":""}],"container-title":"Journal of Statistical Software","id":"ITEM-1","issue":"6","issued":{"date-parts":[["2011"]]},"page":"1-26","title":"'DEoptim': An R Package for Global Optimization by Differential Evolution","type":"article-journal","volume":"40"},"uris":["http://www.mendeley.com/documents/?uuid=aced746f-dc46-405e-bedc-82f0f2a12a3c"]}],"mendeley":{"formattedCitation":"(Mullen, Ardia, Gil, Windover, &amp; Cline, 2011)","plainTextFormattedCitation":"(Mullen, Ardia, Gil, Windover, &amp; Cline, 2011)","previouslyFormattedCitation":"(Mullen, Ardia, Gil, Windover, &amp; Cline, 2011)"},"properties":{"noteIndex":0},"schema":"https://github.com/citation-style-language/schema/raw/master/csl-citation.json"}</w:instrText>
      </w:r>
      <w:r w:rsidR="00F71ECF">
        <w:rPr>
          <w:sz w:val="22"/>
          <w:szCs w:val="22"/>
        </w:rPr>
        <w:fldChar w:fldCharType="separate"/>
      </w:r>
      <w:r w:rsidR="00F71ECF" w:rsidRPr="00F71ECF">
        <w:rPr>
          <w:noProof/>
          <w:sz w:val="22"/>
          <w:szCs w:val="22"/>
        </w:rPr>
        <w:t>(Mullen, Ardia, Gil, Windover, &amp; Cline, 2011)</w:t>
      </w:r>
      <w:r w:rsidR="00F71ECF">
        <w:rPr>
          <w:sz w:val="22"/>
          <w:szCs w:val="22"/>
        </w:rPr>
        <w:fldChar w:fldCharType="end"/>
      </w:r>
      <w:r w:rsidRPr="00BE5BB4">
        <w:rPr>
          <w:sz w:val="22"/>
          <w:szCs w:val="22"/>
        </w:rPr>
        <w:t xml:space="preserve">. The objective function </w:t>
      </w:r>
      <m:oMath>
        <m:r>
          <w:rPr>
            <w:rFonts w:ascii="Cambria Math" w:hAnsi="Cambria Math"/>
            <w:sz w:val="22"/>
            <w:szCs w:val="22"/>
          </w:rPr>
          <m:t>J</m:t>
        </m:r>
      </m:oMath>
      <w:r w:rsidRPr="00BE5BB4">
        <w:rPr>
          <w:sz w:val="22"/>
          <w:szCs w:val="22"/>
        </w:rPr>
        <w:t xml:space="preserve"> was defined for each measured variable (i.e. respiration rate, cellular protein concentration and DNA content) as:</w:t>
      </w:r>
    </w:p>
    <w:p w:rsidR="00424F1C" w:rsidRPr="00BE5BB4" w:rsidRDefault="00BE5BB4" w:rsidP="00BE5BB4">
      <w:pPr>
        <w:spacing w:before="0" w:line="480" w:lineRule="auto"/>
        <w:rPr>
          <w:sz w:val="22"/>
          <w:szCs w:val="22"/>
        </w:rPr>
      </w:pPr>
      <w:r w:rsidRPr="00BE5BB4">
        <w:rPr>
          <w:sz w:val="22"/>
          <w:szCs w:val="22"/>
        </w:rPr>
        <w:t>[16</w:t>
      </w:r>
      <w:proofErr w:type="gramStart"/>
      <w:r w:rsidRPr="00BE5BB4">
        <w:rPr>
          <w:sz w:val="22"/>
          <w:szCs w:val="22"/>
        </w:rPr>
        <w:t xml:space="preserve">] </w:t>
      </w:r>
      <w:proofErr w:type="gramEnd"/>
      <m:oMath>
        <m:r>
          <w:rPr>
            <w:rFonts w:ascii="Cambria Math" w:hAnsi="Cambria Math"/>
            <w:sz w:val="22"/>
            <w:szCs w:val="22"/>
          </w:rPr>
          <m:t>          J = </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i</m:t>
                    </m:r>
                  </m:sub>
                </m:sSub>
              </m:num>
              <m:den>
                <m:r>
                  <w:rPr>
                    <w:rFonts w:ascii="Cambria Math" w:hAnsi="Cambria Math"/>
                    <w:sz w:val="22"/>
                    <w:szCs w:val="22"/>
                  </w:rPr>
                  <m:t>μ</m:t>
                </m:r>
              </m:den>
            </m:f>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2</m:t>
                </m:r>
              </m:sup>
            </m:sSup>
          </m:e>
        </m:nary>
      </m:oMath>
      <w:r w:rsidRPr="00BE5BB4">
        <w:rPr>
          <w:sz w:val="22"/>
          <w:szCs w:val="22"/>
        </w:rPr>
        <w:t>,</w:t>
      </w:r>
    </w:p>
    <w:p w:rsidR="002D756D" w:rsidRDefault="00BE5BB4" w:rsidP="00BE5BB4">
      <w:pPr>
        <w:spacing w:before="0" w:line="480" w:lineRule="auto"/>
        <w:rPr>
          <w:sz w:val="22"/>
          <w:szCs w:val="22"/>
        </w:rPr>
      </w:pPr>
      <w:proofErr w:type="gramStart"/>
      <w:r w:rsidRPr="00BE5BB4">
        <w:rPr>
          <w:sz w:val="22"/>
          <w:szCs w:val="22"/>
        </w:rPr>
        <w:t>where</w:t>
      </w:r>
      <w:proofErr w:type="gramEnd"/>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i</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oMath>
      <w:r w:rsidRPr="00BE5BB4">
        <w:rPr>
          <w:sz w:val="22"/>
          <w:szCs w:val="22"/>
        </w:rPr>
        <w:t xml:space="preserve"> stand for observation i and its corresponding value predicted by the model, and </w:t>
      </w:r>
      <m:oMath>
        <m:r>
          <w:rPr>
            <w:rFonts w:ascii="Cambria Math" w:hAnsi="Cambria Math"/>
            <w:sz w:val="22"/>
            <w:szCs w:val="22"/>
          </w:rPr>
          <m:t>μ</m:t>
        </m:r>
      </m:oMath>
      <w:r w:rsidRPr="00BE5BB4">
        <w:rPr>
          <w:sz w:val="22"/>
          <w:szCs w:val="22"/>
        </w:rPr>
        <w:t xml:space="preserve"> is the mean of all observations. The objective functions calculated for each measured variable were summed up. Uncertainty of parameters estimates were determined by Constrained Markov Chain Monte Carlo simulation on 5000 iterations</w:t>
      </w:r>
      <w:r w:rsidR="00F71ECF">
        <w:rPr>
          <w:sz w:val="22"/>
          <w:szCs w:val="22"/>
        </w:rPr>
        <w:t xml:space="preserve"> </w:t>
      </w:r>
      <w:r w:rsidR="00F71ECF">
        <w:rPr>
          <w:sz w:val="22"/>
          <w:szCs w:val="22"/>
        </w:rPr>
        <w:fldChar w:fldCharType="begin" w:fldLock="1"/>
      </w:r>
      <w:r w:rsidR="00F71ECF">
        <w:rPr>
          <w:sz w:val="22"/>
          <w:szCs w:val="22"/>
        </w:rPr>
        <w:instrText>ADDIN CSL_CITATION {"citationItems":[{"id":"ITEM-1","itemData":{"author":[{"dropping-particle":"","family":"Soetaert","given":"Karline","non-dropping-particle":"","parse-names":false,"suffix":""},{"dropping-particle":"","family":"Petzoldt","given":"Thomas","non-dropping-particle":"","parse-names":false,"suffix":""}],"container-title":"Journal of Statistical Software","id":"ITEM-1","issue":"3","issued":{"date-parts":[["2010"]]},"page":"1-28","title":"Inverse Modelling, Sensitivity and Monte Carlo Analysis in R Using Package FME","type":"article-journal","volume":"33"},"uris":["http://www.mendeley.com/documents/?uuid=0dc1de64-3124-494f-8d87-8f95a9ef2885"]}],"mendeley":{"formattedCitation":"(Soetaert &amp; Petzoldt, 2010)","plainTextFormattedCitation":"(Soetaert &amp; Petzoldt, 2010)","previouslyFormattedCitation":"(Soetaert &amp; Petzoldt, 2010)"},"properties":{"noteIndex":0},"schema":"https://github.com/citation-style-language/schema/raw/master/csl-citation.json"}</w:instrText>
      </w:r>
      <w:r w:rsidR="00F71ECF">
        <w:rPr>
          <w:sz w:val="22"/>
          <w:szCs w:val="22"/>
        </w:rPr>
        <w:fldChar w:fldCharType="separate"/>
      </w:r>
      <w:r w:rsidR="00F71ECF" w:rsidRPr="00F71ECF">
        <w:rPr>
          <w:noProof/>
          <w:sz w:val="22"/>
          <w:szCs w:val="22"/>
        </w:rPr>
        <w:t>(Soetaert &amp; Petzoldt, 2010)</w:t>
      </w:r>
      <w:r w:rsidR="00F71ECF">
        <w:rPr>
          <w:sz w:val="22"/>
          <w:szCs w:val="22"/>
        </w:rPr>
        <w:fldChar w:fldCharType="end"/>
      </w:r>
      <w:r w:rsidRPr="00BE5BB4">
        <w:rPr>
          <w:sz w:val="22"/>
          <w:szCs w:val="22"/>
        </w:rPr>
        <w:t xml:space="preserve">. To evaluate the goodness of correspondence between models simulations and observations, </w:t>
      </w:r>
      <w:proofErr w:type="spellStart"/>
      <w:r w:rsidRPr="00BE5BB4">
        <w:rPr>
          <w:sz w:val="22"/>
          <w:szCs w:val="22"/>
        </w:rPr>
        <w:t>Akaike</w:t>
      </w:r>
      <w:proofErr w:type="spellEnd"/>
      <w:r w:rsidRPr="00BE5BB4">
        <w:rPr>
          <w:sz w:val="22"/>
          <w:szCs w:val="22"/>
        </w:rPr>
        <w:t xml:space="preserve"> Information Criterion (AIC) and </w:t>
      </w:r>
      <w:r w:rsidR="00F71ECF" w:rsidRPr="00BE5BB4">
        <w:rPr>
          <w:sz w:val="22"/>
          <w:szCs w:val="22"/>
        </w:rPr>
        <w:t>coefficient</w:t>
      </w:r>
      <w:r w:rsidRPr="00BE5BB4">
        <w:rPr>
          <w:sz w:val="22"/>
          <w:szCs w:val="22"/>
        </w:rPr>
        <w:t xml:space="preserve"> of determination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BE5BB4">
        <w:rPr>
          <w:sz w:val="22"/>
          <w:szCs w:val="22"/>
        </w:rPr>
        <w:t xml:space="preserve">) were calculated. To evaluate the effect of experimental treatments, model parameters and corresponding goodness of fit were calculated across all treatments or for each substrate (glucose and cellobiose), each level of structural complexity (BROTH, GLASS, WOOL) or each </w:t>
      </w:r>
      <w:r w:rsidR="00F71ECF" w:rsidRPr="00BE5BB4">
        <w:rPr>
          <w:sz w:val="22"/>
          <w:szCs w:val="22"/>
        </w:rPr>
        <w:t>experimental</w:t>
      </w:r>
      <w:r w:rsidRPr="00BE5BB4">
        <w:rPr>
          <w:sz w:val="22"/>
          <w:szCs w:val="22"/>
        </w:rPr>
        <w:t xml:space="preserve"> treatment (combination of the substrate and level of structural complexity) separately. The conversion factor between cellular protein </w:t>
      </w:r>
      <w:r w:rsidR="00F71ECF" w:rsidRPr="00BE5BB4">
        <w:rPr>
          <w:sz w:val="22"/>
          <w:szCs w:val="22"/>
        </w:rPr>
        <w:t>concertation</w:t>
      </w:r>
      <w:r w:rsidRPr="00BE5BB4">
        <w:rPr>
          <w:sz w:val="22"/>
          <w:szCs w:val="22"/>
        </w:rPr>
        <w:t xml:space="preserve"> or </w:t>
      </w:r>
      <w:r w:rsidRPr="00BE5BB4">
        <w:rPr>
          <w:sz w:val="22"/>
          <w:szCs w:val="22"/>
        </w:rPr>
        <w:lastRenderedPageBreak/>
        <w:t xml:space="preserve">DNA content </w:t>
      </w:r>
      <w:proofErr w:type="gramStart"/>
      <w:r w:rsidRPr="00BE5BB4">
        <w:rPr>
          <w:sz w:val="22"/>
          <w:szCs w:val="22"/>
        </w:rPr>
        <w:t xml:space="preserve">and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w:t>
      </w:r>
      <m:oMath>
        <m:r>
          <w:rPr>
            <w:rFonts w:ascii="Cambria Math" w:hAnsi="Cambria Math"/>
            <w:sz w:val="22"/>
            <w:szCs w:val="22"/>
          </w:rPr>
          <m:t>R</m:t>
        </m:r>
      </m:oMath>
      <w:r w:rsidRPr="00BE5BB4">
        <w:rPr>
          <w:sz w:val="22"/>
          <w:szCs w:val="22"/>
        </w:rPr>
        <w:t xml:space="preserve"> and </w:t>
      </w:r>
      <m:oMath>
        <m:r>
          <w:rPr>
            <w:rFonts w:ascii="Cambria Math" w:hAnsi="Cambria Math"/>
            <w:sz w:val="22"/>
            <w:szCs w:val="22"/>
          </w:rPr>
          <m:t>S</m:t>
        </m:r>
      </m:oMath>
      <w:r w:rsidRPr="00BE5BB4">
        <w:rPr>
          <w:sz w:val="22"/>
          <w:szCs w:val="22"/>
        </w:rPr>
        <w:t xml:space="preserve"> was estimated together with model parameters. Monod and MEND model were calibrated against cellular protein concentration and DNA content separately. DB model was calibrated against both measured variables at once </w:t>
      </w:r>
      <w:r w:rsidR="00F71ECF">
        <w:rPr>
          <w:sz w:val="22"/>
          <w:szCs w:val="22"/>
        </w:rPr>
        <w:fldChar w:fldCharType="begin" w:fldLock="1"/>
      </w:r>
      <w:r w:rsidR="00F71ECF">
        <w:rPr>
          <w:sz w:val="22"/>
          <w:szCs w:val="22"/>
        </w:rPr>
        <w:instrText>ADDIN CSL_CITATION {"citationItems":[{"id":"ITEM-1","itemData":{"DOI":"10.1006/jtbi.2001.2369","ISBN":"00225193","abstract":"The biomass composition of microorganisms depends on the growth conditions. This study explores whether a two-component model can explain how the elemental and macromolecular composition of the biomass of bacteria varies with the specific growth rate. The model describes the rates at which microorganisms assimilate substrates into reserves and utilize reserves for maintenance and growth. Crucial model assumptions are that biomass consists of reserves and structure and that each of these components has an invariant composition. The composition of biomass can vary when the ratio between reserves and structure varies. Literature data on the macromolecular composition of Escherichia coli, cultivated on various substrates, show that the protein, RNA and DNA content of biomass follow a distinctive trend when plotted as a function of the dry-weight-specific growth rate. This observation leads to the proposition that the macromolecular composition of E. coli depends directly on the growth rate, and only indirectly on the carbon- and energy-source used as substrate. We show that the variation of the macromolecular composition of E. coli over its entire range of growth rates can be described with invariant macromolecular compositions of the reserve and structural components of biomass. The model is also applied to our data on a succinate-limited continuous culture of Paracoccus denitrificans. (C) 2001 Academic Press.","author":[{"dropping-particle":"","family":"Hanegraaf","given":"P P F","non-dropping-particle":"","parse-names":false,"suffix":""},{"dropping-particle":"","family":"Muller","given":"E B","non-dropping-particle":"","parse-names":false,"suffix":""}],"container-title":"Journal of Theoretical Biology","id":"ITEM-1","issue":"2","issued":{"date-parts":[["2001"]]},"language":"English","note":"From Duplicate 2 (The dynamics of the macromolecular composition of biomass - Hanegraaf, P P F; Muller, E B)\n\nISI Document Delivery No.: 473UX\nTimes Cited: 13\nCited Reference Count: 30\nAcademic press ltd\nLondon","page":"237-251","title":"The Dynamics of the Macromolecular Composition of Biomass","type":"article-journal","volume":"212"},"uris":["http://www.mendeley.com/documents/?uuid=91e636c3-1034-471e-b17f-0e296ab71295"]}],"mendeley":{"formattedCitation":"(Hanegraaf &amp; Muller, 2001)","plainTextFormattedCitation":"(Hanegraaf &amp; Muller, 2001)","previouslyFormattedCitation":"(Hanegraaf &amp; Muller, 2001)"},"properties":{"noteIndex":0},"schema":"https://github.com/citation-style-language/schema/raw/master/csl-citation.json"}</w:instrText>
      </w:r>
      <w:r w:rsidR="00F71ECF">
        <w:rPr>
          <w:sz w:val="22"/>
          <w:szCs w:val="22"/>
        </w:rPr>
        <w:fldChar w:fldCharType="separate"/>
      </w:r>
      <w:r w:rsidR="00F71ECF" w:rsidRPr="00F71ECF">
        <w:rPr>
          <w:noProof/>
          <w:sz w:val="22"/>
          <w:szCs w:val="22"/>
        </w:rPr>
        <w:t>(Hanegraaf &amp; Muller, 2001)</w:t>
      </w:r>
      <w:r w:rsidR="00F71ECF">
        <w:rPr>
          <w:sz w:val="22"/>
          <w:szCs w:val="22"/>
        </w:rPr>
        <w:fldChar w:fldCharType="end"/>
      </w:r>
      <w:r w:rsidRPr="00BE5BB4">
        <w:rPr>
          <w:sz w:val="22"/>
          <w:szCs w:val="22"/>
        </w:rPr>
        <w:t xml:space="preserve">. Cellular proteins were assumed to be part of </w:t>
      </w:r>
      <m:oMath>
        <m:r>
          <w:rPr>
            <w:rFonts w:ascii="Cambria Math" w:hAnsi="Cambria Math"/>
            <w:sz w:val="22"/>
            <w:szCs w:val="22"/>
          </w:rPr>
          <m:t>R</m:t>
        </m:r>
      </m:oMath>
      <w:r w:rsidRPr="00BE5BB4">
        <w:rPr>
          <w:sz w:val="22"/>
          <w:szCs w:val="22"/>
        </w:rPr>
        <w:t xml:space="preserve"> and </w:t>
      </w:r>
      <m:oMath>
        <m:r>
          <w:rPr>
            <w:rFonts w:ascii="Cambria Math" w:hAnsi="Cambria Math"/>
            <w:sz w:val="22"/>
            <w:szCs w:val="22"/>
          </w:rPr>
          <m:t>S</m:t>
        </m:r>
      </m:oMath>
      <w:r w:rsidRPr="00BE5BB4">
        <w:rPr>
          <w:sz w:val="22"/>
          <w:szCs w:val="22"/>
        </w:rPr>
        <w:t xml:space="preserve"> and DNA was assumed to be part of </w:t>
      </w:r>
      <m:oMath>
        <m:r>
          <w:rPr>
            <w:rFonts w:ascii="Cambria Math" w:hAnsi="Cambria Math"/>
            <w:sz w:val="22"/>
            <w:szCs w:val="22"/>
          </w:rPr>
          <m:t>S</m:t>
        </m:r>
      </m:oMath>
      <w:r w:rsidRPr="00BE5BB4">
        <w:rPr>
          <w:sz w:val="22"/>
          <w:szCs w:val="22"/>
        </w:rPr>
        <w:t xml:space="preserve"> only </w:t>
      </w:r>
      <w:r w:rsidR="00F71ECF">
        <w:rPr>
          <w:sz w:val="22"/>
          <w:szCs w:val="22"/>
        </w:rPr>
        <w:fldChar w:fldCharType="begin" w:fldLock="1"/>
      </w:r>
      <w:r w:rsidR="00F71ECF">
        <w:rPr>
          <w:sz w:val="22"/>
          <w:szCs w:val="22"/>
        </w:rPr>
        <w:instrText>ADDIN CSL_CITATION {"citationItems":[{"id":"ITEM-1","itemData":{"DOI":"10.1006/jtbi.2001.2369","ISBN":"00225193","abstract":"The biomass composition of microorganisms depends on the growth conditions. This study explores whether a two-component model can explain how the elemental and macromolecular composition of the biomass of bacteria varies with the specific growth rate. The model describes the rates at which microorganisms assimilate substrates into reserves and utilize reserves for maintenance and growth. Crucial model assumptions are that biomass consists of reserves and structure and that each of these components has an invariant composition. The composition of biomass can vary when the ratio between reserves and structure varies. Literature data on the macromolecular composition of Escherichia coli, cultivated on various substrates, show that the protein, RNA and DNA content of biomass follow a distinctive trend when plotted as a function of the dry-weight-specific growth rate. This observation leads to the proposition that the macromolecular composition of E. coli depends directly on the growth rate, and only indirectly on the carbon- and energy-source used as substrate. We show that the variation of the macromolecular composition of E. coli over its entire range of growth rates can be described with invariant macromolecular compositions of the reserve and structural components of biomass. The model is also applied to our data on a succinate-limited continuous culture of Paracoccus denitrificans. (C) 2001 Academic Press.","author":[{"dropping-particle":"","family":"Hanegraaf","given":"P P F","non-dropping-particle":"","parse-names":false,"suffix":""},{"dropping-particle":"","family":"Muller","given":"E B","non-dropping-particle":"","parse-names":false,"suffix":""}],"container-title":"Journal of Theoretical Biology","id":"ITEM-1","issue":"2","issued":{"date-parts":[["2001"]]},"language":"English","note":"From Duplicate 2 (The dynamics of the macromolecular composition of biomass - Hanegraaf, P P F; Muller, E B)\n\nISI Document Delivery No.: 473UX\nTimes Cited: 13\nCited Reference Count: 30\nAcademic press ltd\nLondon","page":"237-251","title":"The Dynamics of the Macromolecular Composition of Biomass","type":"article-journal","volume":"212"},"uris":["http://www.mendeley.com/documents/?uuid=91e636c3-1034-471e-b17f-0e296ab71295"]}],"mendeley":{"formattedCitation":"(Hanegraaf &amp; Muller, 2001)","plainTextFormattedCitation":"(Hanegraaf &amp; Muller, 2001)","previouslyFormattedCitation":"(Hanegraaf &amp; Muller, 2001)"},"properties":{"noteIndex":0},"schema":"https://github.com/citation-style-language/schema/raw/master/csl-citation.json"}</w:instrText>
      </w:r>
      <w:r w:rsidR="00F71ECF">
        <w:rPr>
          <w:sz w:val="22"/>
          <w:szCs w:val="22"/>
        </w:rPr>
        <w:fldChar w:fldCharType="separate"/>
      </w:r>
      <w:r w:rsidR="00F71ECF" w:rsidRPr="00F71ECF">
        <w:rPr>
          <w:noProof/>
          <w:sz w:val="22"/>
          <w:szCs w:val="22"/>
        </w:rPr>
        <w:t>(Hanegraaf &amp; Muller, 2001)</w:t>
      </w:r>
      <w:r w:rsidR="00F71ECF">
        <w:rPr>
          <w:sz w:val="22"/>
          <w:szCs w:val="22"/>
        </w:rPr>
        <w:fldChar w:fldCharType="end"/>
      </w:r>
      <w:r w:rsidRPr="00BE5BB4">
        <w:rPr>
          <w:sz w:val="22"/>
          <w:szCs w:val="22"/>
        </w:rPr>
        <w:t xml:space="preserve">. To produce Fig. 3, Monod and MEND models were also calibrated against observed respiration rate only. </w:t>
      </w:r>
    </w:p>
    <w:p w:rsidR="00424F1C" w:rsidRPr="00BE5BB4" w:rsidRDefault="00BE5BB4" w:rsidP="00BE5BB4">
      <w:pPr>
        <w:spacing w:before="0" w:line="480" w:lineRule="auto"/>
        <w:rPr>
          <w:sz w:val="22"/>
          <w:szCs w:val="22"/>
        </w:rPr>
      </w:pPr>
      <w:r w:rsidRPr="00BE5BB4">
        <w:rPr>
          <w:sz w:val="22"/>
          <w:szCs w:val="22"/>
        </w:rPr>
        <w:t>Models were compared by AIC calculated for each measured variable. Because the total number of estimated parameters dramatically increases when all parameters are estimated for each experimental treatment separately, the model parameters with no variability across treatments were kept fixed to avoid artificial AIC increase. The significance of the difference between goodness of fit of two models were calculated using the equation:</w:t>
      </w:r>
    </w:p>
    <w:p w:rsidR="00424F1C" w:rsidRPr="00BE5BB4" w:rsidRDefault="00BE5BB4" w:rsidP="00BE5BB4">
      <w:pPr>
        <w:spacing w:before="0" w:line="480" w:lineRule="auto"/>
        <w:rPr>
          <w:sz w:val="22"/>
          <w:szCs w:val="22"/>
        </w:rPr>
      </w:pPr>
      <w:r w:rsidRPr="00BE5BB4">
        <w:rPr>
          <w:sz w:val="22"/>
          <w:szCs w:val="22"/>
        </w:rPr>
        <w:t>[17</w:t>
      </w:r>
      <w:proofErr w:type="gramStart"/>
      <w:r w:rsidRPr="00BE5BB4">
        <w:rPr>
          <w:sz w:val="22"/>
          <w:szCs w:val="22"/>
        </w:rPr>
        <w:t xml:space="preserve">] </w:t>
      </w:r>
      <w:proofErr w:type="gramEnd"/>
      <m:oMath>
        <m:r>
          <w:rPr>
            <w:rFonts w:ascii="Cambria Math" w:hAnsi="Cambria Math"/>
            <w:sz w:val="22"/>
            <w:szCs w:val="22"/>
          </w:rPr>
          <m:t>          p = exp(</m:t>
        </m:r>
        <m:f>
          <m:fPr>
            <m:ctrlPr>
              <w:rPr>
                <w:rFonts w:ascii="Cambria Math" w:hAnsi="Cambria Math"/>
                <w:sz w:val="22"/>
                <w:szCs w:val="22"/>
              </w:rPr>
            </m:ctrlPr>
          </m:fPr>
          <m:num>
            <m:r>
              <w:rPr>
                <w:rFonts w:ascii="Cambria Math" w:hAnsi="Cambria Math"/>
                <w:sz w:val="22"/>
                <w:szCs w:val="22"/>
              </w:rPr>
              <m:t>-ΔAIC</m:t>
            </m:r>
          </m:num>
          <m:den>
            <m:r>
              <w:rPr>
                <w:rFonts w:ascii="Cambria Math" w:hAnsi="Cambria Math"/>
                <w:sz w:val="22"/>
                <w:szCs w:val="22"/>
              </w:rPr>
              <m:t>2</m:t>
            </m:r>
          </m:den>
        </m:f>
        <m:r>
          <w:rPr>
            <w:rFonts w:ascii="Cambria Math" w:hAnsi="Cambria Math"/>
            <w:sz w:val="22"/>
            <w:szCs w:val="22"/>
          </w:rPr>
          <m:t>)</m:t>
        </m:r>
      </m:oMath>
      <w:r w:rsidRPr="00BE5BB4">
        <w:rPr>
          <w:sz w:val="22"/>
          <w:szCs w:val="22"/>
        </w:rPr>
        <w:t>,</w:t>
      </w:r>
    </w:p>
    <w:p w:rsidR="00424F1C" w:rsidRPr="00BE5BB4" w:rsidRDefault="00BE5BB4" w:rsidP="00BE5BB4">
      <w:pPr>
        <w:spacing w:before="0" w:line="480" w:lineRule="auto"/>
        <w:rPr>
          <w:sz w:val="22"/>
          <w:szCs w:val="22"/>
        </w:rPr>
      </w:pPr>
      <w:proofErr w:type="gramStart"/>
      <w:r w:rsidRPr="00BE5BB4">
        <w:rPr>
          <w:sz w:val="22"/>
          <w:szCs w:val="22"/>
        </w:rPr>
        <w:t>in</w:t>
      </w:r>
      <w:proofErr w:type="gramEnd"/>
      <w:r w:rsidRPr="00BE5BB4">
        <w:rPr>
          <w:sz w:val="22"/>
          <w:szCs w:val="22"/>
        </w:rPr>
        <w:t xml:space="preserve"> which </w:t>
      </w:r>
      <m:oMath>
        <m:r>
          <w:rPr>
            <w:rFonts w:ascii="Cambria Math" w:hAnsi="Cambria Math"/>
            <w:sz w:val="22"/>
            <w:szCs w:val="22"/>
          </w:rPr>
          <m:t>ΔAIC</m:t>
        </m:r>
      </m:oMath>
      <w:r w:rsidRPr="00BE5BB4">
        <w:rPr>
          <w:sz w:val="22"/>
          <w:szCs w:val="22"/>
        </w:rPr>
        <w:t xml:space="preserve"> is the difference between AIC calculated for two different models and particular variable (i.e. respiration rate, cellular protein concentration and DNA content). All analyses were done in statistical program R </w:t>
      </w:r>
      <w:r w:rsidR="00F71ECF">
        <w:rPr>
          <w:sz w:val="22"/>
          <w:szCs w:val="22"/>
        </w:rPr>
        <w:fldChar w:fldCharType="begin" w:fldLock="1"/>
      </w:r>
      <w:r w:rsidR="00C6448D">
        <w:rPr>
          <w:sz w:val="22"/>
          <w:szCs w:val="22"/>
        </w:rPr>
        <w:instrText>ADDIN CSL_CITATION {"citationItems":[{"id":"ITEM-1","itemData":{"DOI":"10.1007/978-3-540-74686-7","ISBN":"3900051070","ISSN":"16000706","abstract":"R Foundation for Statistical Computing, Vienna, Austria. ISBN 3-900051-07-0, URL http://www.R-project.org/.","author":[{"dropping-particle":"","family":"R Development Core Team","given":"","non-dropping-particle":"","parse-names":false,"suffix":""}],"collection-title":"R Foundation for Statistical Computing","container-title":"R Foundation for Statistical Computing, Vienna, Austria. URL http://www.R-project.org/","editor":[{"dropping-particle":"","family":"Team","given":"R Development Core","non-dropping-particle":"","parse-names":false,"suffix":""}],"id":"ITEM-1","issue":"2.11.1","issued":{"date-parts":[["2014"]]},"page":"409","publisher":"R Foundation for Statistical Computing","title":"R: A language and environment for statistical computing","type":"article","volume":"1"},"uris":["http://www.mendeley.com/documents/?uuid=e3087216-4070-4997-b86a-1080e01d4fdf"]}],"mendeley":{"formattedCitation":"(R Development Core Team, 2014)","plainTextFormattedCitation":"(R Development Core Team, 2014)","previouslyFormattedCitation":"(R Development Core Team, 2014)"},"properties":{"noteIndex":0},"schema":"https://github.com/citation-style-language/schema/raw/master/csl-citation.json"}</w:instrText>
      </w:r>
      <w:r w:rsidR="00F71ECF">
        <w:rPr>
          <w:sz w:val="22"/>
          <w:szCs w:val="22"/>
        </w:rPr>
        <w:fldChar w:fldCharType="separate"/>
      </w:r>
      <w:r w:rsidR="00F71ECF" w:rsidRPr="00F71ECF">
        <w:rPr>
          <w:noProof/>
          <w:sz w:val="22"/>
          <w:szCs w:val="22"/>
        </w:rPr>
        <w:t>(R Development Core Team, 2014)</w:t>
      </w:r>
      <w:r w:rsidR="00F71ECF">
        <w:rPr>
          <w:sz w:val="22"/>
          <w:szCs w:val="22"/>
        </w:rPr>
        <w:fldChar w:fldCharType="end"/>
      </w:r>
      <w:r w:rsidRPr="00BE5BB4">
        <w:rPr>
          <w:sz w:val="22"/>
          <w:szCs w:val="22"/>
        </w:rPr>
        <w:t>.</w:t>
      </w:r>
    </w:p>
    <w:p w:rsidR="00424F1C" w:rsidRPr="00BE5BB4" w:rsidRDefault="00BE5BB4" w:rsidP="00BE5BB4">
      <w:pPr>
        <w:pStyle w:val="Heading2"/>
        <w:spacing w:before="0" w:line="480" w:lineRule="auto"/>
        <w:rPr>
          <w:rFonts w:asciiTheme="minorHAnsi" w:hAnsiTheme="minorHAnsi"/>
          <w:sz w:val="22"/>
          <w:szCs w:val="22"/>
        </w:rPr>
      </w:pPr>
      <w:bookmarkStart w:id="15" w:name="results"/>
      <w:r w:rsidRPr="00BE5BB4">
        <w:rPr>
          <w:rFonts w:asciiTheme="minorHAnsi" w:hAnsiTheme="minorHAnsi"/>
          <w:sz w:val="22"/>
          <w:szCs w:val="22"/>
        </w:rPr>
        <w:t>Results</w:t>
      </w:r>
    </w:p>
    <w:p w:rsidR="00424F1C" w:rsidRPr="00BE5BB4" w:rsidRDefault="00BE5BB4" w:rsidP="00BE5BB4">
      <w:pPr>
        <w:pStyle w:val="Heading3"/>
        <w:spacing w:before="0" w:line="480" w:lineRule="auto"/>
        <w:rPr>
          <w:rFonts w:asciiTheme="minorHAnsi" w:hAnsiTheme="minorHAnsi"/>
          <w:sz w:val="22"/>
          <w:szCs w:val="22"/>
        </w:rPr>
      </w:pPr>
      <w:bookmarkStart w:id="16" w:name="models-comparison"/>
      <w:bookmarkEnd w:id="15"/>
      <w:r w:rsidRPr="00BE5BB4">
        <w:rPr>
          <w:rFonts w:asciiTheme="minorHAnsi" w:hAnsiTheme="minorHAnsi"/>
          <w:sz w:val="22"/>
          <w:szCs w:val="22"/>
        </w:rPr>
        <w:t>Models comparison</w:t>
      </w:r>
    </w:p>
    <w:bookmarkEnd w:id="16"/>
    <w:p w:rsidR="00424F1C" w:rsidRPr="00BE5BB4" w:rsidRDefault="00BE5BB4" w:rsidP="00BE5BB4">
      <w:pPr>
        <w:spacing w:before="0" w:line="480" w:lineRule="auto"/>
        <w:rPr>
          <w:sz w:val="22"/>
          <w:szCs w:val="22"/>
        </w:rPr>
      </w:pPr>
      <w:r w:rsidRPr="00BE5BB4">
        <w:rPr>
          <w:sz w:val="22"/>
          <w:szCs w:val="22"/>
        </w:rPr>
        <w:t xml:space="preserve">The selected models simulated temporal dynamic </w:t>
      </w:r>
      <w:proofErr w:type="gramStart"/>
      <w:r w:rsidRPr="00BE5BB4">
        <w:rPr>
          <w:sz w:val="22"/>
          <w:szCs w:val="22"/>
        </w:rPr>
        <w:t xml:space="preserve">of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with different adequacy (Tab. 1). The model comparison is complicated by the fact that the goodness of </w:t>
      </w:r>
      <w:r w:rsidR="00F71ECF">
        <w:rPr>
          <w:sz w:val="22"/>
          <w:szCs w:val="22"/>
        </w:rPr>
        <w:t>model simulation</w:t>
      </w:r>
      <w:r w:rsidRPr="00BE5BB4">
        <w:rPr>
          <w:sz w:val="22"/>
          <w:szCs w:val="22"/>
        </w:rPr>
        <w:t xml:space="preserve"> was different for different variables and furthermore it was significantly affected by the type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 used to calibrate the model along </w:t>
      </w:r>
      <w:proofErr w:type="gramStart"/>
      <w:r w:rsidRPr="00BE5BB4">
        <w:rPr>
          <w:sz w:val="22"/>
          <w:szCs w:val="22"/>
        </w:rPr>
        <w:t xml:space="preserve">with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In general,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was simulated by all three models well as seen from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BE5BB4">
        <w:rPr>
          <w:sz w:val="22"/>
          <w:szCs w:val="22"/>
        </w:rPr>
        <w:t xml:space="preserve"> around 0.9 and higher (Tab. 1). The lowest AIC (i.e. the best correspondence given the number of model parameters) was calculated for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simulated by Monod </w:t>
      </w:r>
      <w:r w:rsidRPr="00BE5BB4">
        <w:rPr>
          <w:sz w:val="22"/>
          <w:szCs w:val="22"/>
        </w:rPr>
        <w:lastRenderedPageBreak/>
        <w:t xml:space="preserve">model with parameters estimated across all experimental treatments to simulate dynamic of measured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The goodness of the model fit was significantly better when compared to MEND model with parameters estimated the same way (</w:t>
      </w:r>
      <m:oMath>
        <m:r>
          <w:rPr>
            <w:rFonts w:ascii="Cambria Math" w:hAnsi="Cambria Math"/>
            <w:sz w:val="22"/>
            <w:szCs w:val="22"/>
          </w:rPr>
          <m:t>ΔAIC</m:t>
        </m:r>
      </m:oMath>
      <w:r w:rsidRPr="00BE5BB4">
        <w:rPr>
          <w:sz w:val="22"/>
          <w:szCs w:val="22"/>
        </w:rPr>
        <w:t xml:space="preserve"> = 7.4, p = 0.025) and DB model (</w:t>
      </w:r>
      <m:oMath>
        <m:r>
          <w:rPr>
            <w:rFonts w:ascii="Cambria Math" w:hAnsi="Cambria Math"/>
            <w:sz w:val="22"/>
            <w:szCs w:val="22"/>
          </w:rPr>
          <m:t>ΔAIC</m:t>
        </m:r>
      </m:oMath>
      <w:r w:rsidRPr="00BE5BB4">
        <w:rPr>
          <w:sz w:val="22"/>
          <w:szCs w:val="22"/>
        </w:rPr>
        <w:t xml:space="preserve"> = 7.9, p = 0.019). However, when the Monod model parameters were estimated to simulate dynamic of measured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instead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across all experimental treatments, the difference between models in respect to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goodness of fit diminished (Tab. 1). The temporal dynamic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was simulated by all models significantly worse </w:t>
      </w:r>
      <w:proofErr w:type="gramStart"/>
      <w:r w:rsidRPr="00BE5BB4">
        <w:rPr>
          <w:sz w:val="22"/>
          <w:szCs w:val="22"/>
        </w:rPr>
        <w:t xml:space="preserve">than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The maximum explained variability for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variable was 76% and 30% respectively. DB model simulated the temporal dynamic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significantly better as compared to Monod and MEND models with one exception. Monod model with parameters estimated for each level of structural complexity separately simulated 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dynamic better than DB model, however, non-significantly at p&lt;0.05 (</w:t>
      </w:r>
      <m:oMath>
        <m:r>
          <w:rPr>
            <w:rFonts w:ascii="Cambria Math" w:hAnsi="Cambria Math"/>
            <w:sz w:val="22"/>
            <w:szCs w:val="22"/>
          </w:rPr>
          <m:t>ΔAIC</m:t>
        </m:r>
      </m:oMath>
      <w:r w:rsidRPr="00BE5BB4">
        <w:rPr>
          <w:sz w:val="22"/>
          <w:szCs w:val="22"/>
        </w:rPr>
        <w:t xml:space="preserve"> = 4.8, p = 0.091).</w:t>
      </w:r>
    </w:p>
    <w:p w:rsidR="00424F1C" w:rsidRPr="00BE5BB4" w:rsidRDefault="00BE5BB4" w:rsidP="00BE5BB4">
      <w:pPr>
        <w:pStyle w:val="Heading3"/>
        <w:spacing w:before="0" w:line="480" w:lineRule="auto"/>
        <w:rPr>
          <w:rFonts w:asciiTheme="minorHAnsi" w:hAnsiTheme="minorHAnsi"/>
          <w:sz w:val="22"/>
          <w:szCs w:val="22"/>
        </w:rPr>
      </w:pPr>
      <w:bookmarkStart w:id="17" w:name="effect-of-experimental-treatments-on-mod"/>
      <w:r w:rsidRPr="00BE5BB4">
        <w:rPr>
          <w:rFonts w:asciiTheme="minorHAnsi" w:hAnsiTheme="minorHAnsi"/>
          <w:sz w:val="22"/>
          <w:szCs w:val="22"/>
        </w:rPr>
        <w:t>Effect of experimental treatments on models simulation accuracy</w:t>
      </w:r>
    </w:p>
    <w:bookmarkEnd w:id="17"/>
    <w:p w:rsidR="00424F1C" w:rsidRPr="00BE5BB4" w:rsidRDefault="00BE5BB4" w:rsidP="00BE5BB4">
      <w:pPr>
        <w:spacing w:before="0" w:line="480" w:lineRule="auto"/>
        <w:rPr>
          <w:sz w:val="22"/>
          <w:szCs w:val="22"/>
        </w:rPr>
      </w:pPr>
      <w:r w:rsidRPr="00BE5BB4">
        <w:rPr>
          <w:sz w:val="22"/>
          <w:szCs w:val="22"/>
        </w:rPr>
        <w:t xml:space="preserve">Experimental treatments affected temporal dynamic </w:t>
      </w:r>
      <w:proofErr w:type="gramStart"/>
      <w:r w:rsidRPr="00BE5BB4">
        <w:rPr>
          <w:sz w:val="22"/>
          <w:szCs w:val="22"/>
        </w:rPr>
        <w:t xml:space="preserve">of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differently. The effect of experimental treatments on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was small. When parameters of all models were estimated for each experimental treatment separately,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BE5BB4">
        <w:rPr>
          <w:sz w:val="22"/>
          <w:szCs w:val="22"/>
        </w:rPr>
        <w:t xml:space="preserve"> of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simulation increased but the corresponding AIC increased disproportionally making the effect of structural complexity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quality statistically non-significant.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w:t>
      </w:r>
      <w:proofErr w:type="gramStart"/>
      <w:r w:rsidRPr="00BE5BB4">
        <w:rPr>
          <w:sz w:val="22"/>
          <w:szCs w:val="22"/>
        </w:rPr>
        <w:t>and</w:t>
      </w:r>
      <w:proofErr w:type="gramEnd"/>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dynamic, however, was significantly affected by the structural complexity (Fig. 2). When parameters of all three models were estimated for each level of structural complexity separately, AIC calculated for both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decreased (Tab. 1). The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BE5BB4">
        <w:rPr>
          <w:sz w:val="22"/>
          <w:szCs w:val="22"/>
        </w:rPr>
        <w:t xml:space="preserve"> of DB model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simulation increased to 0.75 when the model parameters were estimated for each experimental treatment separately. However, the required number of parameters was so large that the AIC did not decrease but doubled.</w:t>
      </w:r>
    </w:p>
    <w:p w:rsidR="00424F1C" w:rsidRPr="00BE5BB4" w:rsidRDefault="00BE5BB4" w:rsidP="00BE5BB4">
      <w:pPr>
        <w:pStyle w:val="Heading3"/>
        <w:spacing w:before="0" w:line="480" w:lineRule="auto"/>
        <w:rPr>
          <w:rFonts w:asciiTheme="minorHAnsi" w:hAnsiTheme="minorHAnsi"/>
          <w:sz w:val="22"/>
          <w:szCs w:val="22"/>
        </w:rPr>
      </w:pPr>
      <w:r w:rsidRPr="00BE5BB4">
        <w:rPr>
          <w:rFonts w:asciiTheme="minorHAnsi" w:hAnsiTheme="minorHAnsi"/>
          <w:sz w:val="22"/>
          <w:szCs w:val="22"/>
        </w:rPr>
        <w:lastRenderedPageBreak/>
        <w:t xml:space="preserve">Effect of </w:t>
      </w:r>
      <m:oMath>
        <m:sSub>
          <m:sSubPr>
            <m:ctrlPr>
              <w:rPr>
                <w:rFonts w:ascii="Cambria Math" w:hAnsi="Cambria Math"/>
                <w:sz w:val="22"/>
                <w:szCs w:val="22"/>
              </w:rPr>
            </m:ctrlPr>
          </m:sSubPr>
          <m:e>
            <m:r>
              <m:rPr>
                <m:sty m:val="bi"/>
              </m:rPr>
              <w:rPr>
                <w:rFonts w:ascii="Cambria Math" w:hAnsi="Cambria Math"/>
                <w:sz w:val="22"/>
                <w:szCs w:val="22"/>
              </w:rPr>
              <m:t>C</m:t>
            </m:r>
          </m:e>
          <m:sub>
            <m:r>
              <m:rPr>
                <m:sty m:val="bi"/>
              </m:rPr>
              <w:rPr>
                <w:rFonts w:ascii="Cambria Math" w:hAnsi="Cambria Math"/>
                <w:sz w:val="22"/>
                <w:szCs w:val="22"/>
              </w:rPr>
              <m:t>MB</m:t>
            </m:r>
          </m:sub>
        </m:sSub>
      </m:oMath>
      <w:r w:rsidRPr="00BE5BB4">
        <w:rPr>
          <w:rFonts w:asciiTheme="minorHAnsi" w:hAnsiTheme="minorHAnsi"/>
          <w:sz w:val="22"/>
          <w:szCs w:val="22"/>
        </w:rPr>
        <w:t xml:space="preserve"> constituents on Monod and MEND model parameters</w:t>
      </w:r>
    </w:p>
    <w:p w:rsidR="00424F1C" w:rsidRPr="00BE5BB4" w:rsidRDefault="00BE5BB4" w:rsidP="00BE5BB4">
      <w:pPr>
        <w:spacing w:before="0" w:line="480" w:lineRule="auto"/>
        <w:rPr>
          <w:sz w:val="22"/>
          <w:szCs w:val="22"/>
        </w:rPr>
      </w:pPr>
      <w:r w:rsidRPr="00BE5BB4">
        <w:rPr>
          <w:sz w:val="22"/>
          <w:szCs w:val="22"/>
        </w:rPr>
        <w:t xml:space="preserve">Especially in BROTH and GLASS treatments, the temporal dynamic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differed (Fig. 2). For this reason, it was not possible to calibrate Monod and MEND model against both constituents simultaneously. Depending on the constituent used to calibrate the model, calibration yielded different set of parameters (Fig. 3). The absolute value of model parameters and the patterns of variability observed across BROTH, GLASS and WOOL treatments were affected. For example, the </w:t>
      </w:r>
      <m:oMath>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R</m:t>
            </m:r>
          </m:sub>
        </m:sSub>
      </m:oMath>
      <w:r w:rsidRPr="00BE5BB4">
        <w:rPr>
          <w:sz w:val="22"/>
          <w:szCs w:val="22"/>
        </w:rPr>
        <w:t xml:space="preserve"> parameter of MEND model decreased in order BROTH &gt; GLASS &gt; WOOL when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was used to calibrate the model but it did not change when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was used to calibrate the model. In contrast to Monod and MEND, DB model was calibrated against both constituents simultaneously so the calibration yielded one unique set of parameters (Tab. 2).</w:t>
      </w:r>
    </w:p>
    <w:p w:rsidR="00424F1C" w:rsidRPr="00BE5BB4" w:rsidRDefault="00BE5BB4" w:rsidP="00BE5BB4">
      <w:pPr>
        <w:pStyle w:val="Heading3"/>
        <w:spacing w:before="0" w:line="480" w:lineRule="auto"/>
        <w:rPr>
          <w:rFonts w:asciiTheme="minorHAnsi" w:hAnsiTheme="minorHAnsi"/>
          <w:sz w:val="22"/>
          <w:szCs w:val="22"/>
        </w:rPr>
      </w:pPr>
      <w:bookmarkStart w:id="18" w:name="effect-of-structural-complexity-on-db-mo"/>
      <w:r w:rsidRPr="00BE5BB4">
        <w:rPr>
          <w:rFonts w:asciiTheme="minorHAnsi" w:hAnsiTheme="minorHAnsi"/>
          <w:sz w:val="22"/>
          <w:szCs w:val="22"/>
        </w:rPr>
        <w:t>Effect of structural complexity on DB model parameters</w:t>
      </w:r>
    </w:p>
    <w:bookmarkEnd w:id="18"/>
    <w:p w:rsidR="00424F1C" w:rsidRPr="00BE5BB4" w:rsidRDefault="00BE5BB4" w:rsidP="00BE5BB4">
      <w:pPr>
        <w:spacing w:before="0" w:line="480" w:lineRule="auto"/>
        <w:rPr>
          <w:sz w:val="22"/>
          <w:szCs w:val="22"/>
        </w:rPr>
      </w:pPr>
      <w:r w:rsidRPr="00BE5BB4">
        <w:rPr>
          <w:sz w:val="22"/>
          <w:szCs w:val="22"/>
        </w:rPr>
        <w:t xml:space="preserve">Structural complexity affected the estimate of all DB parameters </w:t>
      </w:r>
      <w:proofErr w:type="gramStart"/>
      <w:r w:rsidRPr="00BE5BB4">
        <w:rPr>
          <w:sz w:val="22"/>
          <w:szCs w:val="22"/>
        </w:rPr>
        <w:t xml:space="preserve">except </w:t>
      </w:r>
      <w:proofErr w:type="gramEnd"/>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oMath>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oMath>
      <w:r w:rsidRPr="00BE5BB4">
        <w:rPr>
          <w:sz w:val="22"/>
          <w:szCs w:val="22"/>
        </w:rPr>
        <w:t xml:space="preserve"> </w:t>
      </w:r>
      <w:proofErr w:type="gramStart"/>
      <w:r w:rsidRPr="00BE5BB4">
        <w:rPr>
          <w:sz w:val="22"/>
          <w:szCs w:val="22"/>
        </w:rPr>
        <w:t>was</w:t>
      </w:r>
      <w:proofErr w:type="gramEnd"/>
      <w:r w:rsidRPr="00BE5BB4">
        <w:rPr>
          <w:sz w:val="22"/>
          <w:szCs w:val="22"/>
        </w:rPr>
        <w:t xml:space="preserve"> the only parameter, which was possible to keep constant across structural complexity treatments without decreasing the correspondence between model simulations and observations.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w:t>
      </w:r>
      <w:proofErr w:type="gramStart"/>
      <w:r w:rsidRPr="00BE5BB4">
        <w:rPr>
          <w:sz w:val="22"/>
          <w:szCs w:val="22"/>
        </w:rPr>
        <w:t>was</w:t>
      </w:r>
      <w:proofErr w:type="gramEnd"/>
      <w:r w:rsidRPr="00BE5BB4">
        <w:rPr>
          <w:sz w:val="22"/>
          <w:szCs w:val="22"/>
        </w:rPr>
        <w:t xml:space="preserve"> higher in BROTH treatment compared to GLASS and WOOL treatments (Tab. 2).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w:t>
      </w:r>
      <w:proofErr w:type="gramStart"/>
      <w:r w:rsidRPr="00BE5BB4">
        <w:rPr>
          <w:sz w:val="22"/>
          <w:szCs w:val="22"/>
        </w:rPr>
        <w:t>parameter</w:t>
      </w:r>
      <w:proofErr w:type="gramEnd"/>
      <w:r w:rsidRPr="00BE5BB4">
        <w:rPr>
          <w:sz w:val="22"/>
          <w:szCs w:val="22"/>
        </w:rPr>
        <w:t xml:space="preserve"> decreased in order BROTH &gt; GLASS &gt; WOOL (Tab. 2). The distribution of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parameters were highly correlated (data not shown). The estimated proteins content of reserves decreased in the same order as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(Tab. 2) but the distribution of this parameter was not correlated with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The differencess between BROTH, GLASS and WOOL treatments in other parameters were small and the associated uncertainty large. Therefore, no specific pattern can be identified.</w:t>
      </w:r>
    </w:p>
    <w:p w:rsidR="00424F1C" w:rsidRPr="00BE5BB4" w:rsidRDefault="00BE5BB4" w:rsidP="00BE5BB4">
      <w:pPr>
        <w:pStyle w:val="Heading2"/>
        <w:spacing w:before="0" w:line="480" w:lineRule="auto"/>
        <w:rPr>
          <w:rFonts w:asciiTheme="minorHAnsi" w:hAnsiTheme="minorHAnsi"/>
          <w:sz w:val="22"/>
          <w:szCs w:val="22"/>
        </w:rPr>
      </w:pPr>
      <w:bookmarkStart w:id="19" w:name="discussion"/>
      <w:r w:rsidRPr="00BE5BB4">
        <w:rPr>
          <w:rFonts w:asciiTheme="minorHAnsi" w:hAnsiTheme="minorHAnsi"/>
          <w:sz w:val="22"/>
          <w:szCs w:val="22"/>
        </w:rPr>
        <w:t>Discussion</w:t>
      </w:r>
    </w:p>
    <w:p w:rsidR="00424F1C" w:rsidRPr="00BE5BB4" w:rsidRDefault="00BE5BB4" w:rsidP="00BE5BB4">
      <w:pPr>
        <w:pStyle w:val="Heading3"/>
        <w:spacing w:before="0" w:line="480" w:lineRule="auto"/>
        <w:rPr>
          <w:rFonts w:asciiTheme="minorHAnsi" w:hAnsiTheme="minorHAnsi"/>
          <w:sz w:val="22"/>
          <w:szCs w:val="22"/>
        </w:rPr>
      </w:pPr>
      <w:bookmarkStart w:id="20" w:name="models-comparison-1"/>
      <w:bookmarkEnd w:id="19"/>
      <w:r w:rsidRPr="00BE5BB4">
        <w:rPr>
          <w:rFonts w:asciiTheme="minorHAnsi" w:hAnsiTheme="minorHAnsi"/>
          <w:sz w:val="22"/>
          <w:szCs w:val="22"/>
        </w:rPr>
        <w:t>Models comparison</w:t>
      </w:r>
    </w:p>
    <w:bookmarkEnd w:id="20"/>
    <w:p w:rsidR="00630AF4" w:rsidRDefault="00BE5BB4" w:rsidP="00BE5BB4">
      <w:pPr>
        <w:spacing w:before="0" w:line="480" w:lineRule="auto"/>
        <w:rPr>
          <w:sz w:val="22"/>
          <w:szCs w:val="22"/>
        </w:rPr>
      </w:pPr>
      <w:r w:rsidRPr="00BE5BB4">
        <w:rPr>
          <w:sz w:val="22"/>
          <w:szCs w:val="22"/>
        </w:rPr>
        <w:t xml:space="preserve">The growth of microbial biomass is regulated by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concentration and 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decay rate leading to </w:t>
      </w:r>
      <m:oMath>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2</m:t>
            </m:r>
          </m:sub>
        </m:sSub>
      </m:oMath>
      <w:r w:rsidRPr="00BE5BB4">
        <w:rPr>
          <w:sz w:val="22"/>
          <w:szCs w:val="22"/>
        </w:rPr>
        <w:t xml:space="preserve"> production (i.e</w:t>
      </w:r>
      <w:proofErr w:type="gramStart"/>
      <w:r w:rsidRPr="00BE5BB4">
        <w:rPr>
          <w:sz w:val="22"/>
          <w:szCs w:val="22"/>
        </w:rPr>
        <w:t xml:space="preserve">.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is regulated by 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size. This reciprocal relationship is the </w:t>
      </w:r>
      <w:r w:rsidRPr="00BE5BB4">
        <w:rPr>
          <w:sz w:val="22"/>
          <w:szCs w:val="22"/>
        </w:rPr>
        <w:lastRenderedPageBreak/>
        <w:t xml:space="preserve">fundamental part of microbial-explicit biogeochemical models. In pure microbial cultures laboratory studies,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are both simulated by a suite of available models that are based on this reciprocal relationship with high accuracy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BE5BB4">
        <w:rPr>
          <w:sz w:val="22"/>
          <w:szCs w:val="22"/>
        </w:rPr>
        <w:t xml:space="preserve"> ~ 0.9; e.g.</w:t>
      </w:r>
      <w:r w:rsidR="00C6448D">
        <w:rPr>
          <w:sz w:val="22"/>
          <w:szCs w:val="22"/>
        </w:rPr>
        <w:t xml:space="preserve"> </w:t>
      </w:r>
      <w:r w:rsidR="00C6448D">
        <w:rPr>
          <w:sz w:val="22"/>
          <w:szCs w:val="22"/>
        </w:rPr>
        <w:fldChar w:fldCharType="begin" w:fldLock="1"/>
      </w:r>
      <w:r w:rsidR="00C6448D">
        <w:rPr>
          <w:sz w:val="22"/>
          <w:szCs w:val="22"/>
        </w:rPr>
        <w:instrText>ADDIN CSL_CITATION {"citationItems":[{"id":"ITEM-1","itemData":{"ISSN":"1738-8872","PMID":"23221540","abstract":"An extensive investigation was carried out to describe the kinetics of cell growth, substrate consumption, and product formation in the batch fermentation using starch as substrate. Evaluation of intrinsic kinetic parameters was carried out using a best-fit unstructured model. A nonlinear regression technique was applied for computational purpose. The Andrew's model showed a comparatively better R2 value among all tested models. The values of specific growth rate (micronmax), saturation constant (KS), inhibition constant (KI), and YX/S were found to be 0.109 h-1, 11.1 g/l, 0.012 g/l, and 1.003, respectively. The Leudeking- Piret model was used to study the product formation kinetics and the process was found to be growth-associated. The growth-associated constant (alpha) for protease production was sensitive to substrate concentration. Its value was fairly constant up to a substrate concentration of 30.8 g/l, and then decreased.","author":[{"dropping-particle":"","family":"Bhunia","given":"Biswanath","non-dropping-particle":"","parse-names":false,"suffix":""},{"dropping-particle":"","family":"Basak","given":"Bikram","non-dropping-particle":"","parse-names":false,"suffix":""},{"dropping-particle":"","family":"Bhattacharya","given":"Pinaki","non-dropping-particle":"","parse-names":false,"suffix":""},{"dropping-particle":"","family":"Dey","given":"Apurba","non-dropping-particle":"","parse-names":false,"suffix":""}],"container-title":"Journal of microbiology and biotechnology","id":"ITEM-1","issue":"12","issued":{"date-parts":[["2012","12"]]},"page":"1758-66","title":"Kinetic studies of alkaline protease from Bacillus licheniformis NCIM-2042.","type":"article-journal","volume":"22"},"uris":["http://www.mendeley.com/documents/?uuid=da3bede4-70e3-3dcc-bcd7-1736030bb201"]}],"mendeley":{"formattedCitation":"(Bhunia, Basak, Bhattacharya, &amp; Dey, 2012)","manualFormatting":"Bhunia, Basak, Bhattacharya, &amp; Dey, 2012","plainTextFormattedCitation":"(Bhunia, Basak, Bhattacharya, &amp; Dey, 2012)","previouslyFormattedCitation":"(Bhunia, Basak, Bhattacharya, &amp; Dey, 2012)"},"properties":{"noteIndex":0},"schema":"https://github.com/citation-style-language/schema/raw/master/csl-citation.json"}</w:instrText>
      </w:r>
      <w:r w:rsidR="00C6448D">
        <w:rPr>
          <w:sz w:val="22"/>
          <w:szCs w:val="22"/>
        </w:rPr>
        <w:fldChar w:fldCharType="separate"/>
      </w:r>
      <w:r w:rsidR="00C6448D" w:rsidRPr="00C6448D">
        <w:rPr>
          <w:noProof/>
          <w:sz w:val="22"/>
          <w:szCs w:val="22"/>
        </w:rPr>
        <w:t>Bhunia, Basak, Bhattacharya, &amp; Dey, 2012</w:t>
      </w:r>
      <w:r w:rsidR="00C6448D">
        <w:rPr>
          <w:sz w:val="22"/>
          <w:szCs w:val="22"/>
        </w:rPr>
        <w:fldChar w:fldCharType="end"/>
      </w:r>
      <w:r w:rsidRPr="00BE5BB4">
        <w:rPr>
          <w:sz w:val="22"/>
          <w:szCs w:val="22"/>
        </w:rPr>
        <w:t xml:space="preserve">). In laboratory studies conducted with soils, however,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is always simulated accurately whereas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simulation accuracy is much lower</w:t>
      </w:r>
      <w:r w:rsidR="00C6448D">
        <w:rPr>
          <w:sz w:val="22"/>
          <w:szCs w:val="22"/>
        </w:rPr>
        <w:t xml:space="preserve"> </w:t>
      </w:r>
      <w:r w:rsidR="00C6448D">
        <w:rPr>
          <w:sz w:val="22"/>
          <w:szCs w:val="22"/>
        </w:rPr>
        <w:fldChar w:fldCharType="begin" w:fldLock="1"/>
      </w:r>
      <w:r w:rsidR="00C6448D">
        <w:rPr>
          <w:sz w:val="22"/>
          <w:szCs w:val="22"/>
        </w:rPr>
        <w:instrText>ADDIN CSL_CITATION {"citationItems":[{"id":"ITEM-1","itemData":{"DOI":"10.1038/ismej.2014.120","ISBN":"1751-7362","ISSN":"1751-7370","PMID":"25012899","abstract":"Climate feedbacks from soils can result from environmental change followed by response of plant and microbial communities, and/or associated changes in nutrient cycling. Explicit consideration of microbial life-history traits and functions may be necessary to predict climate feedbacks owing to changes in the physiology and community composition of microbes and their associated effect on carbon cycling. Here we developed the microbial enzyme-mediated decomposition (MEND) model by incorporating microbial dormancy and the ability to track multiple isotopes of carbon. We tested two versions of MEND, that is, MEND with dormancy (MEND) and MEND without dormancy (MEND_wod), against long-term (270 days) carbon decomposition data from laboratory incubations of four soils with isotopically labeled substrates. MEND_wod adequately fitted multiple observations (total C-CO2 and C-14-CO2 respiration, and dissolved organic carbon), but at the cost of significantly underestimating the total microbial biomass. MEND improved estimates of microbial biomass by 20-71% over MEND_wod. We also quantified uncertainties in parameters and model simulations using the Critical Objective Function Index method, which is based on a global stochastic optimization algorithm, as well as model complexity and observational data availability. Together our model extrapolations of the incubation study show that long-term soil incubations with experimental data for multiple carbon pools are conducive to estimate both decomposition and microbial parameters. These efforts should provide essential support to future field-and global-scale simulations, and enable more confident predictions of feedbacks between environmental change and carbon cycling.","author":[{"dropping-particle":"","family":"Wang","given":"Gangsheng S","non-dropping-particle":"","parse-names":false,"suffix":""},{"dropping-particle":"","family":"Jagadamma","given":"Sindhu","non-dropping-particle":"","parse-names":false,"suffix":""},{"dropping-particle":"","family":"Mayes","given":"Melanie A","non-dropping-particle":"","parse-names":false,"suffix":""},{"dropping-particle":"","family":"Schadt","given":"Christopher W","non-dropping-particle":"","parse-names":false,"suffix":""},{"dropping-particle":"","family":"Steinweg","given":"J Megan","non-dropping-particle":"","parse-names":false,"suffix":""},{"dropping-particle":"","family":"Gu","given":"Lianhong H","non-dropping-particle":"","parse-names":false,"suffix":""},{"dropping-particle":"","family":"Post","given":"Wilfred M","non-dropping-particle":"","parse-names":false,"suffix":""}],"container-title":"Isme Journal","id":"ITEM-1","issue":"1","issued":{"date-parts":[["2015","1"]]},"language":"English","note":"From Duplicate 1 (Microbial dormancy improves development and experimental validation of ecosystem model - Wang, G S; Jagadamma, S; Mayes, M A; Schadt, C W; Steinweg, J M; Gu, L H; Post, W M)\n\nISI Document Delivery No.: AZ4SK\nTimes Cited: 1\nCited Reference Count: 71\nWang, Gangsheng Jagadamma, Sindhu Mayes, Melanie A. Schadt, Christopher W. Steinweg, J. Megan Gu, Lianhong Post, Wilfred M.\nLaboratory Directed Research and Development Program of the Oak Ridge National Laboratory (ORNL); US Department of Energy (DOE) Biological and Environmental Research (BER) program; US DOE [DE-AC05-00OR22725]\nThis research was funded by the Laboratory Directed Research and Development Program of the Oak Ridge National Laboratory (ORNL) and by the US Department of Energy (DOE) Biological and Environmental Research (BER) program. ORNL is managed by UT-Battelle, LLC, for the US DOE under contract DE-AC05-00OR22725. The authors appreciate the insightful reviews of Dr Paul Hanson on earlier drafts of the manuscript. We also thank the two anonymous reviewers for their constructive comments.\nNature publishing group\nLondon","page":"226-37","publisher":"International Society for Microbial Ecology","title":"Microbial dormancy improves development and experimental validation of ecosystem model","title-short":"ISME J","type":"article-journal","volume":"9"},"uris":["http://www.mendeley.com/documents/?uuid=367754e9-b3e2-4495-b57b-99fd4a041a74"]},{"id":"ITEM-2","itemData":{"DOI":"10.5194/gmd-11-2111-2018","ISSN":"1991-9603","abstract":"The role of soil microorganisms in regulating soil organic matter (SOM) decomposition is of primary importance in the carbon cycle, in particular in the context of global change. Modeling soil microbial community dynamics to simulate its impact on soil gaseous carbon (C) emissions and nitrogen (N) mineralization at large spatial scales is a recent research field with the potential to improve predictions of SOM responses to global climate change. In this study we present a SOM model called ORCHIMIC, which utilizes input data that are consistent with those of global vegetation models. ORCHIMIC simulates the decomposition of SOM by explicitly accounting for enzyme production and distinguishing three different microbial functional groups: fresh organic matter (FOM) specialists, SOM specialists, and generalists, while also implicitly accounting for microbes that do not produce extracellular enzymes, i.e., cheaters. ORCHIMIC and two other organic matter decomposition models, CENTURY (based on first-order kinetics and representative of the structure of most current global soil carbon models) and PRIM (with FOM accelerating the decomposition rate of SOM), were calibrated to reproduce the observed respiration fluxes of FOM and SOM from the incubation experiments of Blagodatskaya et al. (2014). Among the three models, ORCHIMIC was the only one that effectively captured both the temporal dynamics of the respiratory fluxes and the magnitude of the priming effect observed during the incubation experiment. ORCHIMIC also effectively reproduced the temporal dynamics of microbial biomass. We then applied different idealized changes to the model input data, i.e., a 5 K stepwise increase of temperature and/or a doubling of plant litter inputs. Under 5 K warming conditions, ORCHIMIC predicted a 0.002 K−1 decrease in the C use efficiency (defined as the ratio of C allocated to microbial growth to the sum of C allocated to growth and respiration) and a 3 % loss of SOC. Under the double litter input scenario, ORCHIMIC predicted a doubling of microbial biomass, while SOC stock increased by less than 1 % due to the priming effect. This limited increase in SOC stock contrasted with the proportional increase in SOC stock as modeled by the conventional SOC decomposition model (CENTURY), which can not reproduce the priming effect. If temperature increased by 5 K and litter input was doubled, ORCHIMIC predicted almost the same loss of SOC as when only temperature was increased. Thes…","author":[{"dropping-particle":"","family":"Huang","given":"Ye","non-dropping-particle":"","parse-names":false,"suffix":""},{"dropping-particle":"","family":"Guenet","given":"Bertrand","non-dropping-particle":"","parse-names":false,"suffix":""},{"dropping-particle":"","family":"Ciais","given":"Philippe","non-dropping-particle":"","parse-names":false,"suffix":""},{"dropping-particle":"","family":"Janssens","given":"Ivan A.","non-dropping-particle":"","parse-names":false,"suffix":""},{"dropping-particle":"","family":"Soong","given":"Jennifer L.","non-dropping-particle":"","parse-names":false,"suffix":""},{"dropping-particle":"","family":"Wang","given":"Yilong","non-dropping-particle":"","parse-names":false,"suffix":""},{"dropping-particle":"","family":"Goll","given":"Daniel","non-dropping-particle":"","parse-names":false,"suffix":""},{"dropping-particle":"","family":"Blagodatskaya","given":"Evgenia","non-dropping-particle":"","parse-names":false,"suffix":""},{"dropping-particle":"","family":"Huang","given":"Yuanyuan","non-dropping-particle":"","parse-names":false,"suffix":""}],"container-title":"Geoscientific Model Development","id":"ITEM-2","issue":"6","issued":{"date-parts":[["2018","6","8"]]},"page":"2111-2138","title":"ORCHIMIC (v1.0), a microbe-mediated model for soil organic matter decomposition","type":"article-journal","volume":"11"},"uris":["http://www.mendeley.com/documents/?uuid=f94afa63-e0f4-3f8b-bbbe-2f3faf25b1ed"]},{"id":"ITEM-3","itemData":{"DOI":"10.1016/J.SOILBIO.2017.10.017","ISSN":"0038-0717","abstract":"Recent work suggests that metabolic activation and deactivation of microbes in soil strongly influences soil carbon (C) dynamics and climate feedbacks. However, few soil C models consider these transitions. We hypothesized that microbes’ capacity to enter and exit dormancy in response to unfavorable and favorable environmental conditions decreases the sensitivity of microbial biomass and cumulative respiration to environmental stress. To test this hypothesis, we collected data from a rewetting experiment and used it to design and parameterize dormancy in an existing microbe-based soil C model. Then we compared predictions of microbial biomass and soil heterotrophic respiration (RH) under simulated cycles of stressful (dryness) and favorable (wet pulses) conditions. Because the influence of moisture on microbial processes in soil generally depends on temperature, we collected data and tested predictions at different temperatures. When dormancy was not taken into account, simulated microbial biomass and cumulative microbial respiration over five years were lower and decreased faster under lengthening drying-wetting cycles. Differences due to dormancy increased with temperature and with the length of the dry periods between wetting events. We conclude that ignoring both the capacity of microbes to enter and exit dormancy in response to the environment and the consequences of these metabolic responses for soil C cycling results in predictions of unrealistically low RH under warming and drying-wetting cycles.","author":[{"dropping-particle":"","family":"Salazar","given":"Alejandro","non-dropping-particle":"","parse-names":false,"suffix":""},{"dropping-particle":"","family":"Sulman","given":"Benjamin N.","non-dropping-particle":"","parse-names":false,"suffix":""},{"dropping-particle":"","family":"Dukes","given":"Jeffrey S.","non-dropping-particle":"","parse-names":false,"suffix":""}],"container-title":"Soil Biology and Biochemistry","id":"ITEM-3","issued":{"date-parts":[["2018","1","1"]]},"page":"237-244","publisher":"Pergamon","title":"Microbial dormancy promotes microbial biomass and respiration across pulses of drying-wetting stress","type":"article-journal","volume":"116"},"uris":["http://www.mendeley.com/documents/?uuid=0566b097-ddfa-3d8d-a0a6-9c0f4d404a2b"]}],"mendeley":{"formattedCitation":"(Huang et al., 2018; Salazar, Sulman, &amp; Dukes, 2018; G. S. Wang et al., 2015)","plainTextFormattedCitation":"(Huang et al., 2018; Salazar, Sulman, &amp; Dukes, 2018; G. S. Wang et al., 2015)","previouslyFormattedCitation":"(Huang et al., 2018; Salazar, Sulman, &amp; Dukes, 2018; G. S. Wang et al., 2015)"},"properties":{"noteIndex":0},"schema":"https://github.com/citation-style-language/schema/raw/master/csl-citation.json"}</w:instrText>
      </w:r>
      <w:r w:rsidR="00C6448D">
        <w:rPr>
          <w:sz w:val="22"/>
          <w:szCs w:val="22"/>
        </w:rPr>
        <w:fldChar w:fldCharType="separate"/>
      </w:r>
      <w:r w:rsidR="00C6448D" w:rsidRPr="00C6448D">
        <w:rPr>
          <w:noProof/>
          <w:sz w:val="22"/>
          <w:szCs w:val="22"/>
        </w:rPr>
        <w:t>(Huang et al., 2018; Salazar, Sulman, &amp; Dukes, 2018; G. S. Wang et al., 2015)</w:t>
      </w:r>
      <w:r w:rsidR="00C6448D">
        <w:rPr>
          <w:sz w:val="22"/>
          <w:szCs w:val="22"/>
        </w:rPr>
        <w:fldChar w:fldCharType="end"/>
      </w:r>
      <w:r w:rsidRPr="00BE5BB4">
        <w:rPr>
          <w:sz w:val="22"/>
          <w:szCs w:val="22"/>
        </w:rPr>
        <w:t xml:space="preserve">. The temporal dynamic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is different than the models expect based on </w:t>
      </w:r>
      <w:proofErr w:type="gramStart"/>
      <w:r w:rsidRPr="00BE5BB4">
        <w:rPr>
          <w:sz w:val="22"/>
          <w:szCs w:val="22"/>
        </w:rPr>
        <w:t xml:space="preserve">observed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Such an obvious inconsistency between the theory and observations could be explained by the presence of the dormant microbial cells </w:t>
      </w:r>
      <w:r w:rsidR="00C6448D">
        <w:rPr>
          <w:sz w:val="22"/>
          <w:szCs w:val="22"/>
        </w:rPr>
        <w:fldChar w:fldCharType="begin" w:fldLock="1"/>
      </w:r>
      <w:r w:rsidR="00C6448D">
        <w:rPr>
          <w:sz w:val="22"/>
          <w:szCs w:val="22"/>
        </w:rPr>
        <w:instrText>ADDIN CSL_CITATION {"citationItems":[{"id":"ITEM-1","itemData":{"DOI":"10.1038/ismej.2014.120","ISBN":"1751-7362","ISSN":"1751-7370","PMID":"25012899","abstract":"Climate feedbacks from soils can result from environmental change followed by response of plant and microbial communities, and/or associated changes in nutrient cycling. Explicit consideration of microbial life-history traits and functions may be necessary to predict climate feedbacks owing to changes in the physiology and community composition of microbes and their associated effect on carbon cycling. Here we developed the microbial enzyme-mediated decomposition (MEND) model by incorporating microbial dormancy and the ability to track multiple isotopes of carbon. We tested two versions of MEND, that is, MEND with dormancy (MEND) and MEND without dormancy (MEND_wod), against long-term (270 days) carbon decomposition data from laboratory incubations of four soils with isotopically labeled substrates. MEND_wod adequately fitted multiple observations (total C-CO2 and C-14-CO2 respiration, and dissolved organic carbon), but at the cost of significantly underestimating the total microbial biomass. MEND improved estimates of microbial biomass by 20-71% over MEND_wod. We also quantified uncertainties in parameters and model simulations using the Critical Objective Function Index method, which is based on a global stochastic optimization algorithm, as well as model complexity and observational data availability. Together our model extrapolations of the incubation study show that long-term soil incubations with experimental data for multiple carbon pools are conducive to estimate both decomposition and microbial parameters. These efforts should provide essential support to future field-and global-scale simulations, and enable more confident predictions of feedbacks between environmental change and carbon cycling.","author":[{"dropping-particle":"","family":"Wang","given":"Gangsheng S","non-dropping-particle":"","parse-names":false,"suffix":""},{"dropping-particle":"","family":"Jagadamma","given":"Sindhu","non-dropping-particle":"","parse-names":false,"suffix":""},{"dropping-particle":"","family":"Mayes","given":"Melanie A","non-dropping-particle":"","parse-names":false,"suffix":""},{"dropping-particle":"","family":"Schadt","given":"Christopher W","non-dropping-particle":"","parse-names":false,"suffix":""},{"dropping-particle":"","family":"Steinweg","given":"J Megan","non-dropping-particle":"","parse-names":false,"suffix":""},{"dropping-particle":"","family":"Gu","given":"Lianhong H","non-dropping-particle":"","parse-names":false,"suffix":""},{"dropping-particle":"","family":"Post","given":"Wilfred M","non-dropping-particle":"","parse-names":false,"suffix":""}],"container-title":"Isme Journal","id":"ITEM-1","issue":"1","issued":{"date-parts":[["2015","1"]]},"language":"English","note":"From Duplicate 1 (Microbial dormancy improves development and experimental validation of ecosystem model - Wang, G S; Jagadamma, S; Mayes, M A; Schadt, C W; Steinweg, J M; Gu, L H; Post, W M)\n\nISI Document Delivery No.: AZ4SK\nTimes Cited: 1\nCited Reference Count: 71\nWang, Gangsheng Jagadamma, Sindhu Mayes, Melanie A. Schadt, Christopher W. Steinweg, J. Megan Gu, Lianhong Post, Wilfred M.\nLaboratory Directed Research and Development Program of the Oak Ridge National Laboratory (ORNL); US Department of Energy (DOE) Biological and Environmental Research (BER) program; US DOE [DE-AC05-00OR22725]\nThis research was funded by the Laboratory Directed Research and Development Program of the Oak Ridge National Laboratory (ORNL) and by the US Department of Energy (DOE) Biological and Environmental Research (BER) program. ORNL is managed by UT-Battelle, LLC, for the US DOE under contract DE-AC05-00OR22725. The authors appreciate the insightful reviews of Dr Paul Hanson on earlier drafts of the manuscript. We also thank the two anonymous reviewers for their constructive comments.\nNature publishing group\nLondon","page":"226-37","publisher":"International Society for Microbial Ecology","title":"Microbial dormancy improves development and experimental validation of ecosystem model","title-short":"ISME J","type":"article-journal","volume":"9"},"uris":["http://www.mendeley.com/documents/?uuid=367754e9-b3e2-4495-b57b-99fd4a041a74"]}],"mendeley":{"formattedCitation":"(G. S. Wang et al., 2015)","plainTextFormattedCitation":"(G. S. Wang et al., 2015)","previouslyFormattedCitation":"(G. S. Wang et al., 2015)"},"properties":{"noteIndex":0},"schema":"https://github.com/citation-style-language/schema/raw/master/csl-citation.json"}</w:instrText>
      </w:r>
      <w:r w:rsidR="00C6448D">
        <w:rPr>
          <w:sz w:val="22"/>
          <w:szCs w:val="22"/>
        </w:rPr>
        <w:fldChar w:fldCharType="separate"/>
      </w:r>
      <w:r w:rsidR="00C6448D" w:rsidRPr="00C6448D">
        <w:rPr>
          <w:noProof/>
          <w:sz w:val="22"/>
          <w:szCs w:val="22"/>
        </w:rPr>
        <w:t>(G. S. Wang et al., 2015)</w:t>
      </w:r>
      <w:r w:rsidR="00C6448D">
        <w:rPr>
          <w:sz w:val="22"/>
          <w:szCs w:val="22"/>
        </w:rPr>
        <w:fldChar w:fldCharType="end"/>
      </w:r>
      <w:r w:rsidRPr="00BE5BB4">
        <w:rPr>
          <w:sz w:val="22"/>
          <w:szCs w:val="22"/>
        </w:rPr>
        <w:t>, changing microbial community structure</w:t>
      </w:r>
      <w:r w:rsidR="00C6448D">
        <w:rPr>
          <w:sz w:val="22"/>
          <w:szCs w:val="22"/>
        </w:rPr>
        <w:t xml:space="preserve"> </w:t>
      </w:r>
      <w:r w:rsidR="00C6448D">
        <w:rPr>
          <w:sz w:val="22"/>
          <w:szCs w:val="22"/>
        </w:rPr>
        <w:fldChar w:fldCharType="begin" w:fldLock="1"/>
      </w:r>
      <w:r w:rsidR="00C6448D">
        <w:rPr>
          <w:sz w:val="22"/>
          <w:szCs w:val="22"/>
        </w:rPr>
        <w:instrText>ADDIN CSL_CITATION {"citationItems":[{"id":"ITEM-1","itemData":{"DOI":"10.1111/ele.12712","ISSN":"1461023X","author":[{"dropping-particle":"","family":"Buchkowski","given":"Robert W.","non-dropping-particle":"","parse-names":false,"suffix":""},{"dropping-particle":"","family":"Bradford","given":"Mark A.","non-dropping-particle":"","parse-names":false,"suffix":""},{"dropping-particle":"","family":"Grandy","given":"Andrew Stuart","non-dropping-particle":"","parse-names":false,"suffix":""},{"dropping-particle":"","family":"Schmitz","given":"Oswald J.","non-dropping-particle":"","parse-names":false,"suffix":""},{"dropping-particle":"","family":"Wieder","given":"William R.","non-dropping-particle":"","parse-names":false,"suffix":""}],"container-title":"Ecology Letters","editor":[{"dropping-particle":"","family":"Putten","given":"Wim","non-dropping-particle":"van der","parse-names":false,"suffix":""}],"id":"ITEM-1","issue":"2","issued":{"date-parts":[["2017","2","1"]]},"page":"231-245","publisher":"Wiley/Blackwell (10.1111)","title":"Applying population and community ecology theory to advance understanding of belowground biogeochemistry","type":"article-journal","volume":"20"},"uris":["http://www.mendeley.com/documents/?uuid=849dbb3e-77f7-373e-98ba-9a9ec890d2e8"]},{"id":"ITEM-2","itemData":{"DOI":"10.1038/ncomms9960","ISSN":"2041-1723","PMID":"26621582","abstract":"The chemical structure of organic matter has been shown to be only marginally important for its decomposability by microorganisms. The question of why organic matter does accumulate in the face of powerful microbial degraders is thus key for understanding terrestrial carbon and nitrogen cycling. Here we demonstrate, based on an individual-based microbial community model, that social dynamics among microbes producing extracellular enzymes ('decomposers') and microbes exploiting the catalytic activities of others ('cheaters') regulate organic matter turnover. We show that the presence of cheaters increases nitrogen retention and organic matter build-up by downregulating the ratio of extracellular enzymes to total microbial biomass, allowing nitrogen-rich microbial necromass to accumulate. Moreover, increasing catalytic efficiencies of enzymes are outbalanced by a strong negative feedback on enzyme producers, leading to less enzymes being produced at the community level. Our results thus reveal a possible control mechanism that may buffer soil CO2 emissions in a future climate.","author":[{"dropping-particle":"","family":"Kaiser","given":"Christina","non-dropping-particle":"","parse-names":false,"suffix":""},{"dropping-particle":"","family":"Franklin","given":"Oskar","non-dropping-particle":"","parse-names":false,"suffix":""},{"dropping-particle":"","family":"Richter","given":"Andreas","non-dropping-particle":"","parse-names":false,"suffix":""},{"dropping-particle":"","family":"Dieckmann","given":"Ulf","non-dropping-particle":"","parse-names":false,"suffix":""}],"container-title":"Nature communications","id":"ITEM-2","issued":{"date-parts":[["2015","1"]]},"page":"8960","publisher":"NATURE PUBLISHING GROUP, MACMILLAN BUILDING, 4 CRINAN ST, LONDON N1 9XW, ENGLAND","title":"Social dynamics within decomposer communities lead to nitrogen retention and organic matter build-up in soils.","type":"article-journal","volume":"6"},"uris":["http://www.mendeley.com/documents/?uuid=0c0597d4-5606-46a4-9817-04c6831362d2"]}],"mendeley":{"formattedCitation":"(Buchkowski, Bradford, Grandy, Schmitz, &amp; Wieder, 2017; Kaiser et al., 2015)","plainTextFormattedCitation":"(Buchkowski, Bradford, Grandy, Schmitz, &amp; Wieder, 2017; Kaiser et al., 2015)","previouslyFormattedCitation":"(Buchkowski, Bradford, Grandy, Schmitz, &amp; Wieder, 2017; Kaiser et al., 2015)"},"properties":{"noteIndex":0},"schema":"https://github.com/citation-style-language/schema/raw/master/csl-citation.json"}</w:instrText>
      </w:r>
      <w:r w:rsidR="00C6448D">
        <w:rPr>
          <w:sz w:val="22"/>
          <w:szCs w:val="22"/>
        </w:rPr>
        <w:fldChar w:fldCharType="separate"/>
      </w:r>
      <w:r w:rsidR="00C6448D" w:rsidRPr="00C6448D">
        <w:rPr>
          <w:noProof/>
          <w:sz w:val="22"/>
          <w:szCs w:val="22"/>
        </w:rPr>
        <w:t>(Buchkowski, Bradford, Grandy, Schmitz, &amp; Wieder, 2017; Kaiser et al., 2015)</w:t>
      </w:r>
      <w:r w:rsidR="00C6448D">
        <w:rPr>
          <w:sz w:val="22"/>
          <w:szCs w:val="22"/>
        </w:rPr>
        <w:fldChar w:fldCharType="end"/>
      </w:r>
      <w:r w:rsidRPr="00BE5BB4">
        <w:rPr>
          <w:sz w:val="22"/>
          <w:szCs w:val="22"/>
        </w:rPr>
        <w:t xml:space="preserve">, diffusion limits </w:t>
      </w:r>
      <w:r w:rsidR="00C6448D">
        <w:rPr>
          <w:sz w:val="22"/>
          <w:szCs w:val="22"/>
        </w:rPr>
        <w:fldChar w:fldCharType="begin" w:fldLock="1"/>
      </w:r>
      <w:r w:rsidR="00C6448D">
        <w:rPr>
          <w:sz w:val="22"/>
          <w:szCs w:val="22"/>
        </w:rPr>
        <w:instrText>ADDIN CSL_CITATION {"citationItems":[{"id":"ITEM-1","itemData":{"DOI":"10.1002/2014JG002701","ISBN":"2169-8961","ISSN":"21698961","abstract":"Conventional Q10 soil organic matter decomposition models and more complex microbial models are available for making projections of future soil carbon dynamics. However, it is unclear (1) how well the conceptually different approaches can simulate observed decomposition and (2) to what extent the trajectories of long-term simulations differ when using the different approaches. In this study, we compared three structurally different soil carbon (C) decomposition models (one Q10 and two microbial models of different complexity), each with a one- and two-horizon version. The models were calibrated and validated using 4 years of measurements of heterotrophic soil CO2 efflux from trenched plots in a Dahurian larch (Larix gmelinii Rupr.) plantation. All models reproduced the observed heterotrophic component of soil CO2 efflux, but the trajectories of soil carbon dynamics differed substantially in 100 year simulations with and without warming and increased litterfall input, with microbial models that produced better agreement with observed changes in soil organic C in long-term warming experiments. Our results also suggest that both constant and varying carbon use efficiency are plausible when modeling future decomposition dynamics and that the use of a short-term (e.g., a few years) period of measurement is insufficient to adequately constrain model parameters that represent long-term responses of microbial thermal adaption. These results highlight the need to reframe the representation of decomposition models and to constrain parameters with long-term observations and multiple data streams. We urge caution in interpreting future soil carbon responses derived from existing decomposition models because both conceptual and parameter uncertainties are substantial.","author":[{"dropping-particle":"","family":"He","given":"Yujie","non-dropping-particle":"","parse-names":false,"suffix":""},{"dropping-particle":"","family":"Yang","given":"Jinyan","non-dropping-particle":"","parse-names":false,"suffix":""},{"dropping-particle":"","family":"Zhuang","given":"Qianlai","non-dropping-particle":"","parse-names":false,"suffix":""},{"dropping-particle":"","family":"McGuire","given":"Anthony D.","non-dropping-particle":"","parse-names":false,"suffix":""},{"dropping-particle":"","family":"Zhu","given":"Qing","non-dropping-particle":"","parse-names":false,"suffix":""},{"dropping-particle":"","family":"Liu","given":"Yaling","non-dropping-particle":"","parse-names":false,"suffix":""},{"dropping-particle":"","family":"Teskey","given":"Robert O.","non-dropping-particle":"","parse-names":false,"suffix":""}],"container-title":"Journal of Geophysical Research: Biogeosciences","id":"ITEM-1","issue":"9","issued":{"date-parts":[["2014","9","1"]]},"page":"1892-1905","publisher":"Wiley-Blackwell","title":"Uncertainty in the fate of soil organic carbon: A comparison of three conceptually different decomposition models at a larch plantation","type":"article-journal","volume":"119"},"uris":["http://www.mendeley.com/documents/?uuid=960bb263-9c10-3faf-a611-b2cfcdd4244d"]},{"id":"ITEM-2","itemData":{"DOI":"10.1016/J.ENVSOFT.2011.10.010","ISSN":"1364-8152","abstract":"Redox processes, including degradation of organic contaminants, are often controlled by microorganisms residing in natural porous media like soils or aquifers. These environments are characterized by heterogeneities at various scales which influence the transport of chemical species and the spatial distribution of microorganisms. As a result, the accessibility of the chemical species by the resident microbial populations may be limited, altering the efficiency of the biodegradation process. Hence, the biodegradation rate of contaminants at large scales does not only depend on the degradation capacity of the indigenous microbial population but also on the heterogeneities of the hosting media at smaller scales. It is thus important to establish a link between effective reaction rates and various structural features of porous media which can be directly observed or measured. This link is urgently needed because explicit resolution of heterogeneities within large-scale reactive transport models is still limited by the available computational capacities. The present study introduces a reactive transport modeling approach to determine the influence of pore-scale heterogeneities on biogeochemical processes in porous media. For this purpose, a pore network model, which simulates flow and advective–diffusive transport of chemical species in heterogeneous pore networks is developed and coupled to the Biogeochemical Reaction Network Simulator (BRNS). The resulting coupled model (PNBRNS) is able to simulate the reactive transport of solutes in heterogeneous pore assemblies. The PNBRNS model is applied for the simulation of a test case of bioavailability and effective biodegradation rate of a dissolved contaminant in different pore networks, built using a discrete set of geostatistically derived pore-size or biomass distributions. Results show that the heterogeneity of the pore-size distribution has a significant impact on bioavailability while the heterogeneity of the biomass distribution only leads to minor effects. The model also includes intra-pore bioavailability restrictions using diffusion-limited biodegradation kinetics. The results indicate that intra-pore limitations lead to extra constrains on the biodegradation of contaminants, even in the presence of larger-scale structural heterogeneities.","author":[{"dropping-particle":"","family":"Gharasoo","given":"Mehdi","non-dropping-particle":"","parse-names":false,"suffix":""},{"dropping-particle":"","family":"Centler","given":"Florian","non-dropping-particle":"","parse-names":false,"suffix":""},{"dropping-particle":"","family":"Regnier","given":"Pierre","non-dropping-particle":"","parse-names":false,"suffix":""},{"dropping-particle":"","family":"Harms","given":"Hauke","non-dropping-particle":"","parse-names":false,"suffix":""},{"dropping-particle":"","family":"Thullner","given":"Martin","non-dropping-particle":"","parse-names":false,"suffix":""}],"container-title":"Environmental Modelling &amp; Software","id":"ITEM-2","issued":{"date-parts":[["2012","4","1"]]},"page":"102-114","publisher":"Elsevier","title":"A reactive transport modeling approach to simulate biogeochemical processes in pore structures with pore-scale heterogeneities","type":"article-journal","volume":"30"},"uris":["http://www.mendeley.com/documents/?uuid=5a3681ce-1bc8-3c0e-8d2e-e98e0b1167bc"]}],"mendeley":{"formattedCitation":"(Mehdi Gharasoo, Centler, Regnier, Harms, &amp; Thullner, 2012; He et al., 2014)","plainTextFormattedCitation":"(Mehdi Gharasoo, Centler, Regnier, Harms, &amp; Thullner, 2012; He et al., 2014)","previouslyFormattedCitation":"(Mehdi Gharasoo, Centler, Regnier, Harms, &amp; Thullner, 2012; He et al., 2014)"},"properties":{"noteIndex":0},"schema":"https://github.com/citation-style-language/schema/raw/master/csl-citation.json"}</w:instrText>
      </w:r>
      <w:r w:rsidR="00C6448D">
        <w:rPr>
          <w:sz w:val="22"/>
          <w:szCs w:val="22"/>
        </w:rPr>
        <w:fldChar w:fldCharType="separate"/>
      </w:r>
      <w:r w:rsidR="00C6448D" w:rsidRPr="00C6448D">
        <w:rPr>
          <w:noProof/>
          <w:sz w:val="22"/>
          <w:szCs w:val="22"/>
        </w:rPr>
        <w:t>(Mehdi Gharasoo, Centler, Regnier, Harms, &amp; Thullner, 2012; He et al., 2014)</w:t>
      </w:r>
      <w:r w:rsidR="00C6448D">
        <w:rPr>
          <w:sz w:val="22"/>
          <w:szCs w:val="22"/>
        </w:rPr>
        <w:fldChar w:fldCharType="end"/>
      </w:r>
      <w:r w:rsidRPr="00BE5BB4">
        <w:rPr>
          <w:sz w:val="22"/>
          <w:szCs w:val="22"/>
        </w:rPr>
        <w:t xml:space="preserve"> or the methodological bias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quantification. In our study, Monod and MEND models were able to explain roughly 90% of variability </w:t>
      </w:r>
      <w:proofErr w:type="gramStart"/>
      <w:r w:rsidRPr="00BE5BB4">
        <w:rPr>
          <w:sz w:val="22"/>
          <w:szCs w:val="22"/>
        </w:rPr>
        <w:t xml:space="preserve">in </w:t>
      </w:r>
      <w:proofErr w:type="gramEnd"/>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but almost no variability in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measured by two proxy parameters, DNA and cellular proteins. In line with </w:t>
      </w:r>
      <w:r w:rsidR="00C6448D">
        <w:rPr>
          <w:sz w:val="22"/>
          <w:szCs w:val="22"/>
        </w:rPr>
        <w:fldChar w:fldCharType="begin" w:fldLock="1"/>
      </w:r>
      <w:r w:rsidR="00C6448D">
        <w:rPr>
          <w:sz w:val="22"/>
          <w:szCs w:val="22"/>
        </w:rPr>
        <w:instrText>ADDIN CSL_CITATION {"citationItems":[{"id":"ITEM-1","itemData":{"DOI":"10.1002/(SICI)1097-0061(20000330)16:5&lt;423::AID-YEA541&gt;3.0.CO;2-I","ISBN":"0749-503X (Print)\\r0749-503X (Linking)","ISSN":"0749503X","PMID":"10705371","abstract":"A mechanistic model is presented that describes the respiro-fermentative physiology of yeast. The model assumes the presence of multiple types of glucose carriers and multiple assimilation pathways. Respiro-fermentative physiology is explained by the mechanistic response of the different types of carriers and assimilation pathways on the substrate concentration. At low substrate concentrations, glucose is taken up mainly via a high affinity carrier with a low maximum uptake rate. At high substrate concentrations, this carrier becomes saturated and the main pathway for glucose uptake is via a low affinity carrier with a high maximum uptake rate. The price to pay for the high uptake rate is a lowered assimilation efficiency, resulting in a low biomass yield. Product formation occurs via the pathway with the high uptake rate. The model explains the link between substrate concentration and product formation generally observed in the literature on yeast and bacteria. Model parameter values are estimated by fitting data from the literature. The model distinguishes itself from other models in that it does not rely on the presence of switches, such as the 'critical dilution rate', or on the assumption that the respiratory capacity reaches its maximum during respiro-fermentative metabolism. The present theory is not designed exclusively for the phenomenon of respiro-fermentative physiology: it describes the degradation of substances by heterotrophic micro-organisms in general.","author":[{"dropping-particle":"","family":"Hanegraaf","given":"P. P.F.","non-dropping-particle":"","parse-names":false,"suffix":""},{"dropping-particle":"","family":"Stouthamer","given":"A. H.","non-dropping-particle":"","parse-names":false,"suffix":""},{"dropping-particle":"","family":"Kooijman","given":"S. A.L.M.","non-dropping-particle":"","parse-names":false,"suffix":""}],"container-title":"Yeast","id":"ITEM-1","issue":"5","issued":{"date-parts":[["2000","3","30"]]},"page":"423-437","publisher":"Wiley-Blackwell","title":"A mathematical model for yeast respiro-fermentative physiology","type":"article-journal","volume":"16"},"uris":["http://www.mendeley.com/documents/?uuid=88d9a91e-d4f0-3770-b6b5-488761e405b1"]},{"id":"ITEM-2","itemData":{"DOI":"10.1006/jtbi.2001.2369","ISBN":"00225193","abstract":"The biomass composition of microorganisms depends on the growth conditions. This study explores whether a two-component model can explain how the elemental and macromolecular composition of the biomass of bacteria varies with the specific growth rate. The model describes the rates at which microorganisms assimilate substrates into reserves and utilize reserves for maintenance and growth. Crucial model assumptions are that biomass consists of reserves and structure and that each of these components has an invariant composition. The composition of biomass can vary when the ratio between reserves and structure varies. Literature data on the macromolecular composition of Escherichia coli, cultivated on various substrates, show that the protein, RNA and DNA content of biomass follow a distinctive trend when plotted as a function of the dry-weight-specific growth rate. This observation leads to the proposition that the macromolecular composition of E. coli depends directly on the growth rate, and only indirectly on the carbon- and energy-source used as substrate. We show that the variation of the macromolecular composition of E. coli over its entire range of growth rates can be described with invariant macromolecular compositions of the reserve and structural components of biomass. The model is also applied to our data on a succinate-limited continuous culture of Paracoccus denitrificans. (C) 2001 Academic Press.","author":[{"dropping-particle":"","family":"Hanegraaf","given":"P P F","non-dropping-particle":"","parse-names":false,"suffix":""},{"dropping-particle":"","family":"Muller","given":"E B","non-dropping-particle":"","parse-names":false,"suffix":""}],"container-title":"Journal of Theoretical Biology","id":"ITEM-2","issue":"2","issued":{"date-parts":[["2001"]]},"language":"English","note":"From Duplicate 2 (The dynamics of the macromolecular composition of biomass - Hanegraaf, P P F; Muller, E B)\n\nISI Document Delivery No.: 473UX\nTimes Cited: 13\nCited Reference Count: 30\nAcademic press ltd\nLondon","page":"237-251","title":"The Dynamics of the Macromolecular Composition of Biomass","type":"article-journal","volume":"212"},"uris":["http://www.mendeley.com/documents/?uuid=91e636c3-1034-471e-b17f-0e296ab71295"]}],"mendeley":{"formattedCitation":"(Hanegraaf &amp; Muller, 2001; Hanegraaf et al., 2000)","manualFormatting":"Hanegraaf &amp; Muller (2001) and  Hanegraaf et al. (2000)","plainTextFormattedCitation":"(Hanegraaf &amp; Muller, 2001; Hanegraaf et al., 2000)","previouslyFormattedCitation":"(Hanegraaf &amp; Muller, 2001; Hanegraaf et al., 2000)"},"properties":{"noteIndex":0},"schema":"https://github.com/citation-style-language/schema/raw/master/csl-citation.json"}</w:instrText>
      </w:r>
      <w:r w:rsidR="00C6448D">
        <w:rPr>
          <w:sz w:val="22"/>
          <w:szCs w:val="22"/>
        </w:rPr>
        <w:fldChar w:fldCharType="separate"/>
      </w:r>
      <w:r w:rsidR="00C6448D" w:rsidRPr="00C6448D">
        <w:rPr>
          <w:noProof/>
          <w:sz w:val="22"/>
          <w:szCs w:val="22"/>
        </w:rPr>
        <w:t>Hanegraaf &amp; Muller</w:t>
      </w:r>
      <w:r w:rsidR="00C6448D">
        <w:rPr>
          <w:noProof/>
          <w:sz w:val="22"/>
          <w:szCs w:val="22"/>
        </w:rPr>
        <w:t xml:space="preserve"> (</w:t>
      </w:r>
      <w:r w:rsidR="00C6448D" w:rsidRPr="00C6448D">
        <w:rPr>
          <w:noProof/>
          <w:sz w:val="22"/>
          <w:szCs w:val="22"/>
        </w:rPr>
        <w:t>2001</w:t>
      </w:r>
      <w:r w:rsidR="00C6448D">
        <w:rPr>
          <w:noProof/>
          <w:sz w:val="22"/>
          <w:szCs w:val="22"/>
        </w:rPr>
        <w:t>) and  Hanegraaf et al.</w:t>
      </w:r>
      <w:r w:rsidR="00C6448D" w:rsidRPr="00C6448D">
        <w:rPr>
          <w:noProof/>
          <w:sz w:val="22"/>
          <w:szCs w:val="22"/>
        </w:rPr>
        <w:t xml:space="preserve"> </w:t>
      </w:r>
      <w:r w:rsidR="00C6448D">
        <w:rPr>
          <w:noProof/>
          <w:sz w:val="22"/>
          <w:szCs w:val="22"/>
        </w:rPr>
        <w:t>(</w:t>
      </w:r>
      <w:r w:rsidR="00C6448D" w:rsidRPr="00C6448D">
        <w:rPr>
          <w:noProof/>
          <w:sz w:val="22"/>
          <w:szCs w:val="22"/>
        </w:rPr>
        <w:t>2000)</w:t>
      </w:r>
      <w:r w:rsidR="00C6448D">
        <w:rPr>
          <w:sz w:val="22"/>
          <w:szCs w:val="22"/>
        </w:rPr>
        <w:fldChar w:fldCharType="end"/>
      </w:r>
      <w:r w:rsidRPr="00BE5BB4">
        <w:rPr>
          <w:sz w:val="22"/>
          <w:szCs w:val="22"/>
        </w:rPr>
        <w:t xml:space="preserve">, our modelling exercises suggest that the composition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is not constant (Fig. 4) and thus,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cannot be ambigously substituted by and measured as specific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 as it is normally done. When do so, the microbial-explicit models are implicitely required to simulate 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dynamic as well as the dynamic of the measrued constituent within the cell (Tab. 1). In contrast, the DB model do it </w:t>
      </w:r>
      <w:r w:rsidR="002D756D" w:rsidRPr="00BE5BB4">
        <w:rPr>
          <w:sz w:val="22"/>
          <w:szCs w:val="22"/>
        </w:rPr>
        <w:t>explicitly</w:t>
      </w:r>
      <w:r w:rsidRPr="00BE5BB4">
        <w:rPr>
          <w:sz w:val="22"/>
          <w:szCs w:val="22"/>
        </w:rPr>
        <w:t xml:space="preserve"> and therefore, it simulates </w:t>
      </w:r>
      <w:proofErr w:type="gramStart"/>
      <w:r w:rsidRPr="00BE5BB4">
        <w:rPr>
          <w:sz w:val="22"/>
          <w:szCs w:val="22"/>
        </w:rPr>
        <w:t xml:space="preserve">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w:t>
      </w:r>
      <w:proofErr w:type="gramEnd"/>
      <w:r w:rsidRPr="00BE5BB4">
        <w:rPr>
          <w:sz w:val="22"/>
          <w:szCs w:val="22"/>
        </w:rPr>
        <w:t xml:space="preserv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dynamic along with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H</m:t>
            </m:r>
          </m:sub>
        </m:sSub>
      </m:oMath>
      <w:r w:rsidRPr="00BE5BB4">
        <w:rPr>
          <w:sz w:val="22"/>
          <w:szCs w:val="22"/>
        </w:rPr>
        <w:t xml:space="preserve"> with higher accuracy. As shown previously, two abstract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pools (i.e. Reserves and Structures) provide a sufficient flexibility to explain the changing composition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in respect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along the gradient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concentration (Fig. 5; </w:t>
      </w:r>
      <w:r w:rsidR="00C6448D">
        <w:rPr>
          <w:sz w:val="22"/>
          <w:szCs w:val="22"/>
        </w:rPr>
        <w:fldChar w:fldCharType="begin" w:fldLock="1"/>
      </w:r>
      <w:r w:rsidR="00C6448D">
        <w:rPr>
          <w:sz w:val="22"/>
          <w:szCs w:val="22"/>
        </w:rPr>
        <w:instrText>ADDIN CSL_CITATION {"citationItems":[{"id":"ITEM-1","itemData":{"DOI":"10.1002/(SICI)1097-0061(20000330)16:5&lt;423::AID-YEA541&gt;3.0.CO;2-I","ISBN":"0749-503X (Print)\\r0749-503X (Linking)","ISSN":"0749503X","PMID":"10705371","abstract":"A mechanistic model is presented that describes the respiro-fermentative physiology of yeast. The model assumes the presence of multiple types of glucose carriers and multiple assimilation pathways. Respiro-fermentative physiology is explained by the mechanistic response of the different types of carriers and assimilation pathways on the substrate concentration. At low substrate concentrations, glucose is taken up mainly via a high affinity carrier with a low maximum uptake rate. At high substrate concentrations, this carrier becomes saturated and the main pathway for glucose uptake is via a low affinity carrier with a high maximum uptake rate. The price to pay for the high uptake rate is a lowered assimilation efficiency, resulting in a low biomass yield. Product formation occurs via the pathway with the high uptake rate. The model explains the link between substrate concentration and product formation generally observed in the literature on yeast and bacteria. Model parameter values are estimated by fitting data from the literature. The model distinguishes itself from other models in that it does not rely on the presence of switches, such as the 'critical dilution rate', or on the assumption that the respiratory capacity reaches its maximum during respiro-fermentative metabolism. The present theory is not designed exclusively for the phenomenon of respiro-fermentative physiology: it describes the degradation of substances by heterotrophic micro-organisms in general.","author":[{"dropping-particle":"","family":"Hanegraaf","given":"P. P.F.","non-dropping-particle":"","parse-names":false,"suffix":""},{"dropping-particle":"","family":"Stouthamer","given":"A. H.","non-dropping-particle":"","parse-names":false,"suffix":""},{"dropping-particle":"","family":"Kooijman","given":"S. A.L.M.","non-dropping-particle":"","parse-names":false,"suffix":""}],"container-title":"Yeast","id":"ITEM-1","issue":"5","issued":{"date-parts":[["2000","3","30"]]},"page":"423-437","publisher":"Wiley-Blackwell","title":"A mathematical model for yeast respiro-fermentative physiology","type":"article-journal","volume":"16"},"uris":["http://www.mendeley.com/documents/?uuid=88d9a91e-d4f0-3770-b6b5-488761e405b1"]},{"id":"ITEM-2","itemData":{"DOI":"10.1006/jtbi.2001.2369","ISBN":"00225193","abstract":"The biomass composition of microorganisms depends on the growth conditions. This study explores whether a two-component model can explain how the elemental and macromolecular composition of the biomass of bacteria varies with the specific growth rate. The model describes the rates at which microorganisms assimilate substrates into reserves and utilize reserves for maintenance and growth. Crucial model assumptions are that biomass consists of reserves and structure and that each of these components has an invariant composition. The composition of biomass can vary when the ratio between reserves and structure varies. Literature data on the macromolecular composition of Escherichia coli, cultivated on various substrates, show that the protein, RNA and DNA content of biomass follow a distinctive trend when plotted as a function of the dry-weight-specific growth rate. This observation leads to the proposition that the macromolecular composition of E. coli depends directly on the growth rate, and only indirectly on the carbon- and energy-source used as substrate. We show that the variation of the macromolecular composition of E. coli over its entire range of growth rates can be described with invariant macromolecular compositions of the reserve and structural components of biomass. The model is also applied to our data on a succinate-limited continuous culture of Paracoccus denitrificans. (C) 2001 Academic Press.","author":[{"dropping-particle":"","family":"Hanegraaf","given":"P P F","non-dropping-particle":"","parse-names":false,"suffix":""},{"dropping-particle":"","family":"Muller","given":"E B","non-dropping-particle":"","parse-names":false,"suffix":""}],"container-title":"Journal of Theoretical Biology","id":"ITEM-2","issue":"2","issued":{"date-parts":[["2001"]]},"language":"English","note":"From Duplicate 2 (The dynamics of the macromolecular composition of biomass - Hanegraaf, P P F; Muller, E B)\n\nISI Document Delivery No.: 473UX\nTimes Cited: 13\nCited Reference Count: 30\nAcademic press ltd\nLondon","page":"237-251","title":"The Dynamics of the Macromolecular Composition of Biomass","type":"article-journal","volume":"212"},"uris":["http://www.mendeley.com/documents/?uuid=91e636c3-1034-471e-b17f-0e296ab71295"]}],"mendeley":{"formattedCitation":"(Hanegraaf &amp; Muller, 2001; Hanegraaf et al., 2000)","manualFormatting":"Hanegraaf &amp; Muller, 2001; Hanegraaf et al. 2000","plainTextFormattedCitation":"(Hanegraaf &amp; Muller, 2001; Hanegraaf et al., 2000)","previouslyFormattedCitation":"(Hanegraaf &amp; Muller, 2001; Hanegraaf et al., 2000)"},"properties":{"noteIndex":0},"schema":"https://github.com/citation-style-language/schema/raw/master/csl-citation.json"}</w:instrText>
      </w:r>
      <w:r w:rsidR="00C6448D">
        <w:rPr>
          <w:sz w:val="22"/>
          <w:szCs w:val="22"/>
        </w:rPr>
        <w:fldChar w:fldCharType="separate"/>
      </w:r>
      <w:r w:rsidR="00C6448D" w:rsidRPr="00C6448D">
        <w:rPr>
          <w:noProof/>
          <w:sz w:val="22"/>
          <w:szCs w:val="22"/>
        </w:rPr>
        <w:t>Hanegraaf &amp; Muller</w:t>
      </w:r>
      <w:r w:rsidR="00C6448D">
        <w:rPr>
          <w:noProof/>
          <w:sz w:val="22"/>
          <w:szCs w:val="22"/>
        </w:rPr>
        <w:t xml:space="preserve">, </w:t>
      </w:r>
      <w:r w:rsidR="00C6448D" w:rsidRPr="00C6448D">
        <w:rPr>
          <w:noProof/>
          <w:sz w:val="22"/>
          <w:szCs w:val="22"/>
        </w:rPr>
        <w:t>2001</w:t>
      </w:r>
      <w:r w:rsidR="00C6448D">
        <w:rPr>
          <w:noProof/>
          <w:sz w:val="22"/>
          <w:szCs w:val="22"/>
        </w:rPr>
        <w:t>; Hanegraaf et al.</w:t>
      </w:r>
      <w:r w:rsidR="00C6448D" w:rsidRPr="00C6448D">
        <w:rPr>
          <w:noProof/>
          <w:sz w:val="22"/>
          <w:szCs w:val="22"/>
        </w:rPr>
        <w:t xml:space="preserve"> 2000</w:t>
      </w:r>
      <w:r w:rsidR="00C6448D">
        <w:rPr>
          <w:sz w:val="22"/>
          <w:szCs w:val="22"/>
        </w:rPr>
        <w:fldChar w:fldCharType="end"/>
      </w:r>
      <w:r w:rsidRPr="00BE5BB4">
        <w:rPr>
          <w:sz w:val="22"/>
          <w:szCs w:val="22"/>
        </w:rPr>
        <w:t xml:space="preserve">). </w:t>
      </w:r>
    </w:p>
    <w:p w:rsidR="00424F1C" w:rsidRPr="00BE5BB4" w:rsidRDefault="00BE5BB4" w:rsidP="00BE5BB4">
      <w:pPr>
        <w:spacing w:before="0" w:line="480" w:lineRule="auto"/>
        <w:rPr>
          <w:sz w:val="22"/>
          <w:szCs w:val="22"/>
        </w:rPr>
      </w:pPr>
      <w:r w:rsidRPr="00BE5BB4">
        <w:rPr>
          <w:sz w:val="22"/>
          <w:szCs w:val="22"/>
        </w:rPr>
        <w:t xml:space="preserve">In one case, Monod model outperformed DB model in goodness of simulation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when AIC metric was used to compare the models. When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BE5BB4">
        <w:rPr>
          <w:sz w:val="22"/>
          <w:szCs w:val="22"/>
        </w:rPr>
        <w:t xml:space="preserve"> metric was used instead, DB model performed better. The difference here is given by the different number of parameters both models have. The </w:t>
      </w:r>
      <w:r w:rsidRPr="00BE5BB4">
        <w:rPr>
          <w:sz w:val="22"/>
          <w:szCs w:val="22"/>
        </w:rPr>
        <w:lastRenderedPageBreak/>
        <w:t xml:space="preserve">amount of explained variability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by Monod model was significantly higher as compared to second measured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 -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The reason is that </w:t>
      </w:r>
      <w:proofErr w:type="gramStart"/>
      <w:r w:rsidRPr="00BE5BB4">
        <w:rPr>
          <w:sz w:val="22"/>
          <w:szCs w:val="22"/>
        </w:rPr>
        <w:t xml:space="preserve">unlike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proportion between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is relatively stable over time (Fig. 4). Moreover, DNA is present only in S pool (</w:t>
      </w:r>
      <w:proofErr w:type="spellStart"/>
      <w:r w:rsidR="00C6448D" w:rsidRPr="00C6448D">
        <w:rPr>
          <w:noProof/>
          <w:sz w:val="22"/>
          <w:szCs w:val="22"/>
        </w:rPr>
        <w:t>Hanegraaf</w:t>
      </w:r>
      <w:proofErr w:type="spellEnd"/>
      <w:r w:rsidR="00C6448D" w:rsidRPr="00C6448D">
        <w:rPr>
          <w:noProof/>
          <w:sz w:val="22"/>
          <w:szCs w:val="22"/>
        </w:rPr>
        <w:t xml:space="preserve"> &amp; Muller</w:t>
      </w:r>
      <w:r w:rsidR="00C6448D">
        <w:rPr>
          <w:noProof/>
          <w:sz w:val="22"/>
          <w:szCs w:val="22"/>
        </w:rPr>
        <w:t xml:space="preserve">, </w:t>
      </w:r>
      <w:r w:rsidR="00C6448D" w:rsidRPr="00C6448D">
        <w:rPr>
          <w:noProof/>
          <w:sz w:val="22"/>
          <w:szCs w:val="22"/>
        </w:rPr>
        <w:t>2001</w:t>
      </w:r>
      <w:r w:rsidRPr="00BE5BB4">
        <w:rPr>
          <w:sz w:val="22"/>
          <w:szCs w:val="22"/>
        </w:rPr>
        <w:t xml:space="preserve">) and as such its concentration is related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consumption and maintnance respiration, which dominates the respiratory flux when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concentration is low. Cellular proteins, on the other hand, make a dominant part of R pool (Tab. 2). R pool controls the growth respiration, which dominates the respiratory flux only during the brief period of time when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concentration is high. Its proportion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changes in time dramatically (Fig. 4) and as a result, neither Monod nor MEND model were able to simulate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dynamic accurately (Tab. 1). Thus, different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have different dynamic within the cell and different relationship to cellular processes depending on their abundance in R and/or S pool (Fig. 5). According to it, they can </w:t>
      </w:r>
      <w:r w:rsidR="00C6448D" w:rsidRPr="00BE5BB4">
        <w:rPr>
          <w:sz w:val="22"/>
          <w:szCs w:val="22"/>
        </w:rPr>
        <w:t>fulfill</w:t>
      </w:r>
      <w:r w:rsidRPr="00BE5BB4">
        <w:rPr>
          <w:sz w:val="22"/>
          <w:szCs w:val="22"/>
        </w:rPr>
        <w:t xml:space="preserve"> the function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in Monod and MEND model with different efficiency. Important consequence of this fact is that the Monod and MEND model calibration against different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becuase of their different functions, yields different sets of parameters (Fig. 3).</w:t>
      </w:r>
    </w:p>
    <w:p w:rsidR="00424F1C" w:rsidRPr="00BE5BB4" w:rsidRDefault="00BE5BB4" w:rsidP="00BE5BB4">
      <w:pPr>
        <w:pStyle w:val="Heading3"/>
        <w:spacing w:before="0" w:line="480" w:lineRule="auto"/>
        <w:rPr>
          <w:rFonts w:asciiTheme="minorHAnsi" w:hAnsiTheme="minorHAnsi"/>
          <w:sz w:val="22"/>
          <w:szCs w:val="22"/>
        </w:rPr>
      </w:pPr>
      <w:bookmarkStart w:id="21" w:name="effect-of-c_mb-constituents-on-monod-and"/>
      <w:r w:rsidRPr="00BE5BB4">
        <w:rPr>
          <w:rFonts w:asciiTheme="minorHAnsi" w:hAnsiTheme="minorHAnsi"/>
          <w:sz w:val="22"/>
          <w:szCs w:val="22"/>
        </w:rPr>
        <w:t xml:space="preserve">Effect of </w:t>
      </w:r>
      <m:oMath>
        <m:sSub>
          <m:sSubPr>
            <m:ctrlPr>
              <w:rPr>
                <w:rFonts w:ascii="Cambria Math" w:hAnsi="Cambria Math"/>
                <w:sz w:val="22"/>
                <w:szCs w:val="22"/>
              </w:rPr>
            </m:ctrlPr>
          </m:sSubPr>
          <m:e>
            <m:r>
              <m:rPr>
                <m:sty m:val="bi"/>
              </m:rPr>
              <w:rPr>
                <w:rFonts w:ascii="Cambria Math" w:hAnsi="Cambria Math"/>
                <w:sz w:val="22"/>
                <w:szCs w:val="22"/>
              </w:rPr>
              <m:t>C</m:t>
            </m:r>
          </m:e>
          <m:sub>
            <m:r>
              <m:rPr>
                <m:sty m:val="bi"/>
              </m:rPr>
              <w:rPr>
                <w:rFonts w:ascii="Cambria Math" w:hAnsi="Cambria Math"/>
                <w:sz w:val="22"/>
                <w:szCs w:val="22"/>
              </w:rPr>
              <m:t>MB</m:t>
            </m:r>
          </m:sub>
        </m:sSub>
      </m:oMath>
      <w:r w:rsidRPr="00BE5BB4">
        <w:rPr>
          <w:rFonts w:asciiTheme="minorHAnsi" w:hAnsiTheme="minorHAnsi"/>
          <w:sz w:val="22"/>
          <w:szCs w:val="22"/>
        </w:rPr>
        <w:t xml:space="preserve"> constituents on Monod and MEND model parameters</w:t>
      </w:r>
    </w:p>
    <w:bookmarkEnd w:id="21"/>
    <w:p w:rsidR="00424F1C" w:rsidRPr="00BE5BB4" w:rsidRDefault="00BE5BB4" w:rsidP="00BE5BB4">
      <w:pPr>
        <w:spacing w:before="0" w:line="480" w:lineRule="auto"/>
        <w:rPr>
          <w:sz w:val="22"/>
          <w:szCs w:val="22"/>
        </w:rPr>
      </w:pPr>
      <w:r w:rsidRPr="00BE5BB4">
        <w:rPr>
          <w:sz w:val="22"/>
          <w:szCs w:val="22"/>
        </w:rPr>
        <w:t xml:space="preserve">The effect of experimental treatment is usually complex, i.e. more than one model parameter is typically affected </w:t>
      </w:r>
      <w:r w:rsidR="00C6448D">
        <w:rPr>
          <w:sz w:val="22"/>
          <w:szCs w:val="22"/>
        </w:rPr>
        <w:fldChar w:fldCharType="begin" w:fldLock="1"/>
      </w:r>
      <w:r w:rsidR="00C6448D">
        <w:rPr>
          <w:sz w:val="22"/>
          <w:szCs w:val="22"/>
        </w:rPr>
        <w:instrText>ADDIN CSL_CITATION {"citationItems":[{"id":"ITEM-1","itemData":{"DOI":"10.1038/ismej.2014.120","ISBN":"1751-7362","ISSN":"1751-7370","PMID":"25012899","abstract":"Climate feedbacks from soils can result from environmental change followed by response of plant and microbial communities, and/or associated changes in nutrient cycling. Explicit consideration of microbial life-history traits and functions may be necessary to predict climate feedbacks owing to changes in the physiology and community composition of microbes and their associated effect on carbon cycling. Here we developed the microbial enzyme-mediated decomposition (MEND) model by incorporating microbial dormancy and the ability to track multiple isotopes of carbon. We tested two versions of MEND, that is, MEND with dormancy (MEND) and MEND without dormancy (MEND_wod), against long-term (270 days) carbon decomposition data from laboratory incubations of four soils with isotopically labeled substrates. MEND_wod adequately fitted multiple observations (total C-CO2 and C-14-CO2 respiration, and dissolved organic carbon), but at the cost of significantly underestimating the total microbial biomass. MEND improved estimates of microbial biomass by 20-71% over MEND_wod. We also quantified uncertainties in parameters and model simulations using the Critical Objective Function Index method, which is based on a global stochastic optimization algorithm, as well as model complexity and observational data availability. Together our model extrapolations of the incubation study show that long-term soil incubations with experimental data for multiple carbon pools are conducive to estimate both decomposition and microbial parameters. These efforts should provide essential support to future field-and global-scale simulations, and enable more confident predictions of feedbacks between environmental change and carbon cycling.","author":[{"dropping-particle":"","family":"Wang","given":"Gangsheng S","non-dropping-particle":"","parse-names":false,"suffix":""},{"dropping-particle":"","family":"Jagadamma","given":"Sindhu","non-dropping-particle":"","parse-names":false,"suffix":""},{"dropping-particle":"","family":"Mayes","given":"Melanie A","non-dropping-particle":"","parse-names":false,"suffix":""},{"dropping-particle":"","family":"Schadt","given":"Christopher W","non-dropping-particle":"","parse-names":false,"suffix":""},{"dropping-particle":"","family":"Steinweg","given":"J Megan","non-dropping-particle":"","parse-names":false,"suffix":""},{"dropping-particle":"","family":"Gu","given":"Lianhong H","non-dropping-particle":"","parse-names":false,"suffix":""},{"dropping-particle":"","family":"Post","given":"Wilfred M","non-dropping-particle":"","parse-names":false,"suffix":""}],"container-title":"Isme Journal","id":"ITEM-1","issue":"1","issued":{"date-parts":[["2015","1"]]},"language":"English","note":"From Duplicate 1 (Microbial dormancy improves development and experimental validation of ecosystem model - Wang, G S; Jagadamma, S; Mayes, M A; Schadt, C W; Steinweg, J M; Gu, L H; Post, W M)\n\nISI Document Delivery No.: AZ4SK\nTimes Cited: 1\nCited Reference Count: 71\nWang, Gangsheng Jagadamma, Sindhu Mayes, Melanie A. Schadt, Christopher W. Steinweg, J. Megan Gu, Lianhong Post, Wilfred M.\nLaboratory Directed Research and Development Program of the Oak Ridge National Laboratory (ORNL); US Department of Energy (DOE) Biological and Environmental Research (BER) program; US DOE [DE-AC05-00OR22725]\nThis research was funded by the Laboratory Directed Research and Development Program of the Oak Ridge National Laboratory (ORNL) and by the US Department of Energy (DOE) Biological and Environmental Research (BER) program. ORNL is managed by UT-Battelle, LLC, for the US DOE under contract DE-AC05-00OR22725. The authors appreciate the insightful reviews of Dr Paul Hanson on earlier drafts of the manuscript. We also thank the two anonymous reviewers for their constructive comments.\nNature publishing group\nLondon","page":"226-37","publisher":"International Society for Microbial Ecology","title":"Microbial dormancy improves development and experimental validation of ecosystem model","title-short":"ISME J","type":"article-journal","volume":"9"},"uris":["http://www.mendeley.com/documents/?uuid=367754e9-b3e2-4495-b57b-99fd4a041a74"]}],"mendeley":{"formattedCitation":"(G. S. Wang et al., 2015)","plainTextFormattedCitation":"(G. S. Wang et al., 2015)","previouslyFormattedCitation":"(G. S. Wang et al., 2015)"},"properties":{"noteIndex":0},"schema":"https://github.com/citation-style-language/schema/raw/master/csl-citation.json"}</w:instrText>
      </w:r>
      <w:r w:rsidR="00C6448D">
        <w:rPr>
          <w:sz w:val="22"/>
          <w:szCs w:val="22"/>
        </w:rPr>
        <w:fldChar w:fldCharType="separate"/>
      </w:r>
      <w:r w:rsidR="00C6448D" w:rsidRPr="00C6448D">
        <w:rPr>
          <w:noProof/>
          <w:sz w:val="22"/>
          <w:szCs w:val="22"/>
        </w:rPr>
        <w:t>(G. S. Wang et al., 2015)</w:t>
      </w:r>
      <w:r w:rsidR="00C6448D">
        <w:rPr>
          <w:sz w:val="22"/>
          <w:szCs w:val="22"/>
        </w:rPr>
        <w:fldChar w:fldCharType="end"/>
      </w:r>
      <w:r w:rsidRPr="00BE5BB4">
        <w:rPr>
          <w:sz w:val="22"/>
          <w:szCs w:val="22"/>
        </w:rPr>
        <w:t xml:space="preserve">. Nevertheless, to identify this effect </w:t>
      </w:r>
      <w:r w:rsidR="00C6448D" w:rsidRPr="00BE5BB4">
        <w:rPr>
          <w:sz w:val="22"/>
          <w:szCs w:val="22"/>
        </w:rPr>
        <w:t>unambiguously</w:t>
      </w:r>
      <w:r w:rsidRPr="00BE5BB4">
        <w:rPr>
          <w:sz w:val="22"/>
          <w:szCs w:val="22"/>
        </w:rPr>
        <w:t xml:space="preserve"> is problematic </w:t>
      </w:r>
      <w:r w:rsidR="00C6448D" w:rsidRPr="00BE5BB4">
        <w:rPr>
          <w:sz w:val="22"/>
          <w:szCs w:val="22"/>
        </w:rPr>
        <w:t>because</w:t>
      </w:r>
      <w:r w:rsidRPr="00BE5BB4">
        <w:rPr>
          <w:sz w:val="22"/>
          <w:szCs w:val="22"/>
        </w:rPr>
        <w:t xml:space="preserve"> several combinations of model parameters can give equally good correspondence between simulations and observations </w:t>
      </w:r>
      <w:r w:rsidR="00C6448D">
        <w:rPr>
          <w:sz w:val="22"/>
          <w:szCs w:val="22"/>
        </w:rPr>
        <w:fldChar w:fldCharType="begin" w:fldLock="1"/>
      </w:r>
      <w:r w:rsidR="00C6448D">
        <w:rPr>
          <w:sz w:val="22"/>
          <w:szCs w:val="22"/>
        </w:rPr>
        <w:instrText>ADDIN CSL_CITATION {"citationItems":[{"id":"ITEM-1","itemData":{"DOI":"10.1016/j.soilbio.2015.08.012","ISSN":"00380717","author":[{"dropping-particle":"","family":"Sierra","given":"Carlos A.","non-dropping-particle":"","parse-names":false,"suffix":""},{"dropping-particle":"","family":"Malghani","given":"Saadatullah","non-dropping-particle":"","parse-names":false,"suffix":""},{"dropping-particle":"","family":"Müller","given":"Markus","non-dropping-particle":"","parse-names":false,"suffix":""}],"container-title":"Soil Biology and Biochemistry","id":"ITEM-1","issued":{"date-parts":[["2015","11"]]},"page":"197-203","title":"Model structure and parameter identification of soil organic matter models","type":"article-journal","volume":"90"},"uris":["http://www.mendeley.com/documents/?uuid=f31db1e5-3f3f-394a-8243-669263e884a5"]}],"mendeley":{"formattedCitation":"(Sierra, Malghani, &amp; Müller, 2015)","plainTextFormattedCitation":"(Sierra, Malghani, &amp; Müller, 2015)","previouslyFormattedCitation":"(Sierra, Malghani, &amp; Müller, 2015)"},"properties":{"noteIndex":0},"schema":"https://github.com/citation-style-language/schema/raw/master/csl-citation.json"}</w:instrText>
      </w:r>
      <w:r w:rsidR="00C6448D">
        <w:rPr>
          <w:sz w:val="22"/>
          <w:szCs w:val="22"/>
        </w:rPr>
        <w:fldChar w:fldCharType="separate"/>
      </w:r>
      <w:r w:rsidR="00C6448D" w:rsidRPr="00C6448D">
        <w:rPr>
          <w:noProof/>
          <w:sz w:val="22"/>
          <w:szCs w:val="22"/>
        </w:rPr>
        <w:t>(Sierra, Malghani, &amp; Müller, 2015)</w:t>
      </w:r>
      <w:r w:rsidR="00C6448D">
        <w:rPr>
          <w:sz w:val="22"/>
          <w:szCs w:val="22"/>
        </w:rPr>
        <w:fldChar w:fldCharType="end"/>
      </w:r>
      <w:r w:rsidRPr="00BE5BB4">
        <w:rPr>
          <w:sz w:val="22"/>
          <w:szCs w:val="22"/>
        </w:rPr>
        <w:t xml:space="preserve">. For that reason, the calibration of microbial-explicit models is advised to be constrained by several variables </w:t>
      </w:r>
      <w:r w:rsidR="00C6448D">
        <w:rPr>
          <w:sz w:val="22"/>
          <w:szCs w:val="22"/>
        </w:rPr>
        <w:fldChar w:fldCharType="begin" w:fldLock="1"/>
      </w:r>
      <w:r w:rsidR="00C6448D">
        <w:rPr>
          <w:sz w:val="22"/>
          <w:szCs w:val="22"/>
        </w:rPr>
        <w:instrText>ADDIN CSL_CITATION {"citationItems":[{"id":"ITEM-1","itemData":{"DOI":"10.1016/j.soilbio.2015.08.012","ISSN":"00380717","author":[{"dropping-particle":"","family":"Sierra","given":"Carlos A.","non-dropping-particle":"","parse-names":false,"suffix":""},{"dropping-particle":"","family":"Malghani","given":"Saadatullah","non-dropping-particle":"","parse-names":false,"suffix":""},{"dropping-particle":"","family":"Müller","given":"Markus","non-dropping-particle":"","parse-names":false,"suffix":""}],"container-title":"Soil Biology and Biochemistry","id":"ITEM-1","issued":{"date-parts":[["2015","11"]]},"page":"197-203","title":"Model structure and parameter identification of soil organic matter models","type":"article-journal","volume":"90"},"uris":["http://www.mendeley.com/documents/?uuid=f31db1e5-3f3f-394a-8243-669263e884a5"]}],"mendeley":{"formattedCitation":"(Sierra et al., 2015)","plainTextFormattedCitation":"(Sierra et al., 2015)","previouslyFormattedCitation":"(Sierra et al., 2015)"},"properties":{"noteIndex":0},"schema":"https://github.com/citation-style-language/schema/raw/master/csl-citation.json"}</w:instrText>
      </w:r>
      <w:r w:rsidR="00C6448D">
        <w:rPr>
          <w:sz w:val="22"/>
          <w:szCs w:val="22"/>
        </w:rPr>
        <w:fldChar w:fldCharType="separate"/>
      </w:r>
      <w:r w:rsidR="00C6448D" w:rsidRPr="00C6448D">
        <w:rPr>
          <w:noProof/>
          <w:sz w:val="22"/>
          <w:szCs w:val="22"/>
        </w:rPr>
        <w:t>(Sierra et al., 2015)</w:t>
      </w:r>
      <w:r w:rsidR="00C6448D">
        <w:rPr>
          <w:sz w:val="22"/>
          <w:szCs w:val="22"/>
        </w:rPr>
        <w:fldChar w:fldCharType="end"/>
      </w:r>
      <w:r w:rsidRPr="00BE5BB4">
        <w:rPr>
          <w:sz w:val="22"/>
          <w:szCs w:val="22"/>
        </w:rPr>
        <w:t xml:space="preserve">. However, when different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are used as a proxy </w:t>
      </w:r>
      <w:proofErr w:type="gramStart"/>
      <w:r w:rsidRPr="00BE5BB4">
        <w:rPr>
          <w:sz w:val="22"/>
          <w:szCs w:val="22"/>
        </w:rPr>
        <w:t xml:space="preserve">for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the unambigeous identification of the effect of experimental treatment on model parameters is problematic too. Our results show that the effect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on model parameters is larger than the effect of experimental treatment itself (Fig. 3) and different </w:t>
      </w:r>
      <w:proofErr w:type="spellStart"/>
      <w:r w:rsidRPr="00BE5BB4">
        <w:rPr>
          <w:sz w:val="22"/>
          <w:szCs w:val="22"/>
        </w:rPr>
        <w:t>conclussions</w:t>
      </w:r>
      <w:proofErr w:type="spellEnd"/>
      <w:r w:rsidRPr="00BE5BB4">
        <w:rPr>
          <w:sz w:val="22"/>
          <w:szCs w:val="22"/>
        </w:rPr>
        <w:t xml:space="preserve"> could be reached (Fig. 3). In existing studies, different proxy parameters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are used to calibrate microbial-</w:t>
      </w:r>
      <w:r w:rsidRPr="00BE5BB4">
        <w:rPr>
          <w:sz w:val="22"/>
          <w:szCs w:val="22"/>
        </w:rPr>
        <w:lastRenderedPageBreak/>
        <w:t xml:space="preserve">explicit models. For example, the MEND model was originally calibrated against 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measured as a chloroform labile microbial carbon</w:t>
      </w:r>
      <w:r w:rsidR="00C6448D">
        <w:rPr>
          <w:sz w:val="22"/>
          <w:szCs w:val="22"/>
        </w:rPr>
        <w:t xml:space="preserve"> </w:t>
      </w:r>
      <w:r w:rsidR="00C6448D">
        <w:rPr>
          <w:sz w:val="22"/>
          <w:szCs w:val="22"/>
        </w:rPr>
        <w:fldChar w:fldCharType="begin" w:fldLock="1"/>
      </w:r>
      <w:r w:rsidR="00C6448D">
        <w:rPr>
          <w:sz w:val="22"/>
          <w:szCs w:val="22"/>
        </w:rPr>
        <w:instrText>ADDIN CSL_CITATION {"citationItems":[{"id":"ITEM-1","itemData":{"DOI":"10.1890/12-0681.1","ISSN":"1051-0761","author":[{"dropping-particle":"","family":"Wang","given":"Gangsheng","non-dropping-particle":"","parse-names":false,"suffix":""},{"dropping-particle":"","family":"Post","given":"Wilfred M.","non-dropping-particle":"","parse-names":false,"suffix":""},{"dropping-particle":"","family":"Mayes","given":"Melanie A.","non-dropping-particle":"","parse-names":false,"suffix":""}],"container-title":"Ecological Applications","id":"ITEM-1","issue":"1","issued":{"date-parts":[["2013","1"]]},"page":"255-272","title":"Development of microbial-enzyme-mediated decomposition model parameters through steady-state and dynamic analyses","type":"article-journal","volume":"23"},"uris":["http://www.mendeley.com/documents/?uuid=89dd4f11-8e05-46ef-8e5f-5fadf7ab0fcb"]}],"mendeley":{"formattedCitation":"(G. Wang et al., 2013)","plainTextFormattedCitation":"(G. Wang et al., 2013)","previouslyFormattedCitation":"(G. Wang et al., 2013)"},"properties":{"noteIndex":0},"schema":"https://github.com/citation-style-language/schema/raw/master/csl-citation.json"}</w:instrText>
      </w:r>
      <w:r w:rsidR="00C6448D">
        <w:rPr>
          <w:sz w:val="22"/>
          <w:szCs w:val="22"/>
        </w:rPr>
        <w:fldChar w:fldCharType="separate"/>
      </w:r>
      <w:r w:rsidR="00C6448D" w:rsidRPr="00C6448D">
        <w:rPr>
          <w:noProof/>
          <w:sz w:val="22"/>
          <w:szCs w:val="22"/>
        </w:rPr>
        <w:t>(G. Wang et al., 2013)</w:t>
      </w:r>
      <w:r w:rsidR="00C6448D">
        <w:rPr>
          <w:sz w:val="22"/>
          <w:szCs w:val="22"/>
        </w:rPr>
        <w:fldChar w:fldCharType="end"/>
      </w:r>
      <w:r w:rsidRPr="00BE5BB4">
        <w:rPr>
          <w:sz w:val="22"/>
          <w:szCs w:val="22"/>
        </w:rPr>
        <w:t xml:space="preserve">. Its adapted version - </w:t>
      </w:r>
      <w:proofErr w:type="spellStart"/>
      <w:r w:rsidRPr="00BE5BB4">
        <w:rPr>
          <w:sz w:val="22"/>
          <w:szCs w:val="22"/>
        </w:rPr>
        <w:t>MEND_wod</w:t>
      </w:r>
      <w:proofErr w:type="spellEnd"/>
      <w:r w:rsidRPr="00BE5BB4">
        <w:rPr>
          <w:sz w:val="22"/>
          <w:szCs w:val="22"/>
        </w:rPr>
        <w:t xml:space="preserve">, that implements microbial dormancy was, however, </w:t>
      </w:r>
      <w:r w:rsidR="00C6448D">
        <w:rPr>
          <w:sz w:val="22"/>
          <w:szCs w:val="22"/>
        </w:rPr>
        <w:t xml:space="preserve">was </w:t>
      </w:r>
      <w:r w:rsidRPr="00BE5BB4">
        <w:rPr>
          <w:sz w:val="22"/>
          <w:szCs w:val="22"/>
        </w:rPr>
        <w:t xml:space="preserve">calibrated against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measured as DNA </w:t>
      </w:r>
      <w:r w:rsidR="00C6448D">
        <w:rPr>
          <w:sz w:val="22"/>
          <w:szCs w:val="22"/>
        </w:rPr>
        <w:fldChar w:fldCharType="begin" w:fldLock="1"/>
      </w:r>
      <w:r w:rsidR="00C6448D">
        <w:rPr>
          <w:sz w:val="22"/>
          <w:szCs w:val="22"/>
        </w:rPr>
        <w:instrText>ADDIN CSL_CITATION {"citationItems":[{"id":"ITEM-1","itemData":{"DOI":"10.1038/ismej.2014.120","ISBN":"1751-7362","ISSN":"1751-7370","PMID":"25012899","abstract":"Climate feedbacks from soils can result from environmental change followed by response of plant and microbial communities, and/or associated changes in nutrient cycling. Explicit consideration of microbial life-history traits and functions may be necessary to predict climate feedbacks owing to changes in the physiology and community composition of microbes and their associated effect on carbon cycling. Here we developed the microbial enzyme-mediated decomposition (MEND) model by incorporating microbial dormancy and the ability to track multiple isotopes of carbon. We tested two versions of MEND, that is, MEND with dormancy (MEND) and MEND without dormancy (MEND_wod), against long-term (270 days) carbon decomposition data from laboratory incubations of four soils with isotopically labeled substrates. MEND_wod adequately fitted multiple observations (total C-CO2 and C-14-CO2 respiration, and dissolved organic carbon), but at the cost of significantly underestimating the total microbial biomass. MEND improved estimates of microbial biomass by 20-71% over MEND_wod. We also quantified uncertainties in parameters and model simulations using the Critical Objective Function Index method, which is based on a global stochastic optimization algorithm, as well as model complexity and observational data availability. Together our model extrapolations of the incubation study show that long-term soil incubations with experimental data for multiple carbon pools are conducive to estimate both decomposition and microbial parameters. These efforts should provide essential support to future field-and global-scale simulations, and enable more confident predictions of feedbacks between environmental change and carbon cycling.","author":[{"dropping-particle":"","family":"Wang","given":"Gangsheng S","non-dropping-particle":"","parse-names":false,"suffix":""},{"dropping-particle":"","family":"Jagadamma","given":"Sindhu","non-dropping-particle":"","parse-names":false,"suffix":""},{"dropping-particle":"","family":"Mayes","given":"Melanie A","non-dropping-particle":"","parse-names":false,"suffix":""},{"dropping-particle":"","family":"Schadt","given":"Christopher W","non-dropping-particle":"","parse-names":false,"suffix":""},{"dropping-particle":"","family":"Steinweg","given":"J Megan","non-dropping-particle":"","parse-names":false,"suffix":""},{"dropping-particle":"","family":"Gu","given":"Lianhong H","non-dropping-particle":"","parse-names":false,"suffix":""},{"dropping-particle":"","family":"Post","given":"Wilfred M","non-dropping-particle":"","parse-names":false,"suffix":""}],"container-title":"Isme Journal","id":"ITEM-1","issue":"1","issued":{"date-parts":[["2015","1"]]},"language":"English","note":"From Duplicate 1 (Microbial dormancy improves development and experimental validation of ecosystem model - Wang, G S; Jagadamma, S; Mayes, M A; Schadt, C W; Steinweg, J M; Gu, L H; Post, W M)\n\nISI Document Delivery No.: AZ4SK\nTimes Cited: 1\nCited Reference Count: 71\nWang, Gangsheng Jagadamma, Sindhu Mayes, Melanie A. Schadt, Christopher W. Steinweg, J. Megan Gu, Lianhong Post, Wilfred M.\nLaboratory Directed Research and Development Program of the Oak Ridge National Laboratory (ORNL); US Department of Energy (DOE) Biological and Environmental Research (BER) program; US DOE [DE-AC05-00OR22725]\nThis research was funded by the Laboratory Directed Research and Development Program of the Oak Ridge National Laboratory (ORNL) and by the US Department of Energy (DOE) Biological and Environmental Research (BER) program. ORNL is managed by UT-Battelle, LLC, for the US DOE under contract DE-AC05-00OR22725. The authors appreciate the insightful reviews of Dr Paul Hanson on earlier drafts of the manuscript. We also thank the two anonymous reviewers for their constructive comments.\nNature publishing group\nLondon","page":"226-37","publisher":"International Society for Microbial Ecology","title":"Microbial dormancy improves development and experimental validation of ecosystem model","title-short":"ISME J","type":"article-journal","volume":"9"},"uris":["http://www.mendeley.com/documents/?uuid=367754e9-b3e2-4495-b57b-99fd4a041a74"]},{"id":"ITEM-2","itemData":{"DOI":"10.5194/bg-11-4665-2014","ISSN":"1726-4189","abstract":"&lt;p&gt;&lt;p&gt;&lt;strong&gt;Abstract.&lt;/strong&gt; The rate and extent of decomposition of soil organic carbon (SOC) is dependent, among other factors, on substrate chemistry and microbial dynamics. Our objectives were to understand the influence of substrate chemistry on microbial decomposition of carbon (C), and to use model fitting to quantify differences in pool sizes and mineralization rates. We conducted an incubation experiment for 270 days using four uniformly labeled &lt;sup&gt;14&lt;/sup&gt;C substrates (glucose, starch, cinnamic acid and stearic acid) on four different soils (a temperate Mollisol, a tropical Ultisol, a sub-arctic Andisol, and an arctic Gelisol). The &lt;sup&gt;14&lt;/sup&gt;C labeling enabled us to separate CO&lt;sub&gt;2&lt;/sub&gt; respired from added substrates and from native SOC. Microbial gene copy numbers were quantified at days 4, 30 and 270 using quantitative polymerase chain reaction (qPCR). Substrate C respiration was always higher for glucose than other substrates. Soils with cinnamic and stearic acid lost more native SOC than glucose- and starch-amended soils. Cinnamic and stearic acid amendments also exhibited higher fungal gene copy numbers at the end of incubation compared to unamended soils. We found that 270 days were sufficient to model the decomposition of simple substrates (glucose and starch) with three pools, but were insufficient for more complex substrates (cinnamic and stearic acid) and native SOC. This study reveals that substrate quality exerts considerable control on the microbial decomposition of newly added and native SOC, and demonstrates the need for multi-year incubation experiments to constrain decomposition parameters for the most recalcitrant fractions of SOC and complex substrates.&lt;/p&gt;&lt;/p&gt;","author":[{"dropping-particle":"","family":"Jagadamma","given":"S.","non-dropping-particle":"","parse-names":false,"suffix":""},{"dropping-particle":"","family":"Mayes","given":"M. A.","non-dropping-particle":"","parse-names":false,"suffix":""},{"dropping-particle":"","family":"Steinweg","given":"J. M.","non-dropping-particle":"","parse-names":false,"suffix":""},{"dropping-particle":"","family":"Schaeffer","given":"S. M.","non-dropping-particle":"","parse-names":false,"suffix":""}],"container-title":"Biogeosciences","id":"ITEM-2","issue":"17","issued":{"date-parts":[["2014","9","3"]]},"page":"4665-4678","title":"Substrate quality alters the microbial mineralization of added substrate and soil organic carbon","type":"article-journal","volume":"11"},"uris":["http://www.mendeley.com/documents/?uuid=a301301c-66d3-3fbb-b774-17724362ff8c"]}],"mendeley":{"formattedCitation":"(Jagadamma, Mayes, Steinweg, &amp; Schaeffer, 2014; G. S. Wang et al., 2015)","plainTextFormattedCitation":"(Jagadamma, Mayes, Steinweg, &amp; Schaeffer, 2014; G. S. Wang et al., 2015)","previouslyFormattedCitation":"(Jagadamma, Mayes, Steinweg, &amp; Schaeffer, 2014; G. S. Wang et al., 2015)"},"properties":{"noteIndex":0},"schema":"https://github.com/citation-style-language/schema/raw/master/csl-citation.json"}</w:instrText>
      </w:r>
      <w:r w:rsidR="00C6448D">
        <w:rPr>
          <w:sz w:val="22"/>
          <w:szCs w:val="22"/>
        </w:rPr>
        <w:fldChar w:fldCharType="separate"/>
      </w:r>
      <w:r w:rsidR="00C6448D" w:rsidRPr="00C6448D">
        <w:rPr>
          <w:noProof/>
          <w:sz w:val="22"/>
          <w:szCs w:val="22"/>
        </w:rPr>
        <w:t>(Jagadamma, Mayes, Steinweg, &amp; Schaeffer, 2014; G. S. Wang et al., 2015)</w:t>
      </w:r>
      <w:r w:rsidR="00C6448D">
        <w:rPr>
          <w:sz w:val="22"/>
          <w:szCs w:val="22"/>
        </w:rPr>
        <w:fldChar w:fldCharType="end"/>
      </w:r>
      <w:r w:rsidRPr="00BE5BB4">
        <w:rPr>
          <w:sz w:val="22"/>
          <w:szCs w:val="22"/>
        </w:rPr>
        <w:t>.</w:t>
      </w:r>
    </w:p>
    <w:p w:rsidR="00424F1C" w:rsidRPr="00BE5BB4" w:rsidRDefault="00BE5BB4" w:rsidP="00BE5BB4">
      <w:pPr>
        <w:pStyle w:val="Heading3"/>
        <w:spacing w:before="0" w:line="480" w:lineRule="auto"/>
        <w:rPr>
          <w:rFonts w:asciiTheme="minorHAnsi" w:hAnsiTheme="minorHAnsi"/>
          <w:sz w:val="22"/>
          <w:szCs w:val="22"/>
        </w:rPr>
      </w:pPr>
      <w:bookmarkStart w:id="22" w:name="effect-of-experimental-treatments-on-db-"/>
      <w:r w:rsidRPr="00BE5BB4">
        <w:rPr>
          <w:rFonts w:asciiTheme="minorHAnsi" w:hAnsiTheme="minorHAnsi"/>
          <w:sz w:val="22"/>
          <w:szCs w:val="22"/>
        </w:rPr>
        <w:t>Effect of experimental treatments on DB models parameters</w:t>
      </w:r>
    </w:p>
    <w:bookmarkEnd w:id="22"/>
    <w:p w:rsidR="00630AF4" w:rsidRDefault="00BE5BB4" w:rsidP="00BE5BB4">
      <w:pPr>
        <w:spacing w:before="0" w:line="480" w:lineRule="auto"/>
        <w:rPr>
          <w:sz w:val="22"/>
          <w:szCs w:val="22"/>
        </w:rPr>
      </w:pPr>
      <w:r w:rsidRPr="00BE5BB4">
        <w:rPr>
          <w:sz w:val="22"/>
          <w:szCs w:val="22"/>
        </w:rPr>
        <w:t xml:space="preserve">In contrast to Monod and MEND, DB model calibration yields one unique set of parameters </w:t>
      </w:r>
      <w:r w:rsidR="00C6448D" w:rsidRPr="00BE5BB4">
        <w:rPr>
          <w:sz w:val="22"/>
          <w:szCs w:val="22"/>
        </w:rPr>
        <w:t>because</w:t>
      </w:r>
      <w:r w:rsidRPr="00BE5BB4">
        <w:rPr>
          <w:sz w:val="22"/>
          <w:szCs w:val="22"/>
        </w:rPr>
        <w:t xml:space="preserve"> both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are used to constrain the model calibration. Moreover, DNA represents the variable closely related to S whereas cellular proteins are mainly related to R (Hanegreaf2001). Thus, these two biomass constituents provide robust base for identification of the effects of experimental treatments on DB model parameters. </w:t>
      </w:r>
    </w:p>
    <w:p w:rsidR="00630AF4" w:rsidRDefault="00BE5BB4" w:rsidP="00BE5BB4">
      <w:pPr>
        <w:spacing w:before="0" w:line="480" w:lineRule="auto"/>
        <w:rPr>
          <w:sz w:val="22"/>
          <w:szCs w:val="22"/>
        </w:rPr>
      </w:pPr>
      <w:r w:rsidRPr="00BE5BB4">
        <w:rPr>
          <w:sz w:val="22"/>
          <w:szCs w:val="22"/>
        </w:rPr>
        <w:t xml:space="preserve">There was no significant effect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quality on DB model parameters. Cellobiose uptake, in contrast to glucose uptake, requires to break </w:t>
      </w:r>
      <w:proofErr w:type="spellStart"/>
      <w:r w:rsidRPr="00BE5BB4">
        <w:rPr>
          <w:sz w:val="22"/>
          <w:szCs w:val="22"/>
        </w:rPr>
        <w:t>cellobiose</w:t>
      </w:r>
      <w:proofErr w:type="spellEnd"/>
      <w:r w:rsidRPr="00BE5BB4">
        <w:rPr>
          <w:sz w:val="22"/>
          <w:szCs w:val="22"/>
        </w:rPr>
        <w:t xml:space="preserve"> into two molecules of glucose by </w:t>
      </w:r>
      <m:oMath>
        <m:r>
          <w:rPr>
            <w:rFonts w:ascii="Cambria Math" w:hAnsi="Cambria Math"/>
            <w:sz w:val="22"/>
            <w:szCs w:val="22"/>
          </w:rPr>
          <m:t>β</m:t>
        </m:r>
      </m:oMath>
      <w:r w:rsidRPr="00BE5BB4">
        <w:rPr>
          <w:sz w:val="22"/>
          <w:szCs w:val="22"/>
        </w:rPr>
        <w:t xml:space="preserve">-glucosidase enzyme first. Our data suggest that this enzymatic reaction is not the limiting step of the whole process. </w:t>
      </w:r>
      <m:oMath>
        <m:r>
          <w:rPr>
            <w:rFonts w:ascii="Cambria Math" w:hAnsi="Cambria Math"/>
            <w:sz w:val="22"/>
            <w:szCs w:val="22"/>
          </w:rPr>
          <m:t>β</m:t>
        </m:r>
      </m:oMath>
      <w:r w:rsidRPr="00BE5BB4">
        <w:rPr>
          <w:sz w:val="22"/>
          <w:szCs w:val="22"/>
        </w:rPr>
        <w:t xml:space="preserve">-glucosidases are presumably located on the cell surface </w:t>
      </w:r>
      <w:r w:rsidR="00C6448D">
        <w:rPr>
          <w:sz w:val="22"/>
          <w:szCs w:val="22"/>
        </w:rPr>
        <w:fldChar w:fldCharType="begin" w:fldLock="1"/>
      </w:r>
      <w:r w:rsidR="00701206">
        <w:rPr>
          <w:sz w:val="22"/>
          <w:szCs w:val="22"/>
        </w:rPr>
        <w:instrText>ADDIN CSL_CITATION {"citationItems":[{"id":"ITEM-1","itemData":{"DOI":"10.1016/J.SOILBIO.2012.11.009","ISSN":"0038-0717","abstract":"This review focuses on some important and challenging aspects of soil extracellular enzyme research. We report on recent discoveries, identify key research needs and highlight the many opportunities offered by interactions with other microbial enzymologists. The biggest challenges are to understand how the chemical, physical and biological properties of soil affect enzyme production, diffusion, substrate turnover and the proportion of the product that is made available to the producer cells. Thus, the factors that regulate the synthesis and secretion of extracellular enzymes and their distribution after they are externalized are important topics, not only for soil enzymologists, but also in the broader context of microbial ecology. In addition, there are many uncertainties about the ways in which microbes and their extracellular enzymes overcome the generally destructive, inhibitory and competitive properties of the soil matrix, and the various strategies they adopt for effective substrate detection and utilization. The complexity of extracellular enzyme activities in depolymerising macromolecular organics is exemplified by lignocellulose degradation and how the many enzymes involved respond to structural diversity and changing nutrient availabilities. The impacts of climate change on microbes and their extracellular enzymes, although of profound importance, are not well understood but we suggest how they may be predicted, assessed and managed. We describe recent advances that allow for the manipulation of extracellular enzyme activities to facilitate bioremediation, carbon sequestration and plant growth promotion. We also contribute to the ongoing debate as to how to assay enzyme activities in soil and what the measurements tell us, in the context of both traditional methods and the newer techniques that are being developed and adopted. Finally, we offer our collective vision of the future of extracellular enzyme research: one that will depend on imaginative thinking as well as technological advances, and be built upon synergies between diverse disciplines.","author":[{"dropping-particle":"","family":"Burns","given":"Richard G.","non-dropping-particle":"","parse-names":false,"suffix":""},{"dropping-particle":"","family":"DeForest","given":"Jared L.","non-dropping-particle":"","parse-names":false,"suffix":""},{"dropping-particle":"","family":"Marxsen","given":"Jürgen","non-dropping-particle":"","parse-names":false,"suffix":""},{"dropping-particle":"","family":"Sinsabaugh","given":"Robert L.","non-dropping-particle":"","parse-names":false,"suffix":""},{"dropping-particle":"","family":"Stromberger","given":"Mary E.","non-dropping-particle":"","parse-names":false,"suffix":""},{"dropping-particle":"","family":"Wallenstein","given":"Matthew D.","non-dropping-particle":"","parse-names":false,"suffix":""},{"dropping-particle":"","family":"Weintraub","given":"Michael N.","non-dropping-particle":"","parse-names":false,"suffix":""},{"dropping-particle":"","family":"Zoppini","given":"Annamaria","non-dropping-particle":"","parse-names":false,"suffix":""}],"container-title":"Soil Biology and Biochemistry","id":"ITEM-1","issued":{"date-parts":[["2013","3","1"]]},"page":"216-234","publisher":"Pergamon","title":"Soil enzymes in a changing environment: Current knowledge and future directions","type":"article-journal","volume":"58"},"uris":["http://www.mendeley.com/documents/?uuid=b4ae504c-3dde-357a-9e77-de88b3244dd7"]}],"mendeley":{"formattedCitation":"(Burns et al., 2013)","plainTextFormattedCitation":"(Burns et al., 2013)","previouslyFormattedCitation":"(Burns et al., 2013)"},"properties":{"noteIndex":0},"schema":"https://github.com/citation-style-language/schema/raw/master/csl-citation.json"}</w:instrText>
      </w:r>
      <w:r w:rsidR="00C6448D">
        <w:rPr>
          <w:sz w:val="22"/>
          <w:szCs w:val="22"/>
        </w:rPr>
        <w:fldChar w:fldCharType="separate"/>
      </w:r>
      <w:r w:rsidR="00C6448D" w:rsidRPr="00C6448D">
        <w:rPr>
          <w:noProof/>
          <w:sz w:val="22"/>
          <w:szCs w:val="22"/>
        </w:rPr>
        <w:t>(Burns et al., 2013)</w:t>
      </w:r>
      <w:r w:rsidR="00C6448D">
        <w:rPr>
          <w:sz w:val="22"/>
          <w:szCs w:val="22"/>
        </w:rPr>
        <w:fldChar w:fldCharType="end"/>
      </w:r>
      <w:r w:rsidRPr="00BE5BB4">
        <w:rPr>
          <w:sz w:val="22"/>
          <w:szCs w:val="22"/>
        </w:rPr>
        <w:t xml:space="preserve"> and their reaction kinetic is fast </w:t>
      </w:r>
      <w:r w:rsidR="00701206">
        <w:rPr>
          <w:sz w:val="22"/>
          <w:szCs w:val="22"/>
        </w:rPr>
        <w:fldChar w:fldCharType="begin" w:fldLock="1"/>
      </w:r>
      <w:r w:rsidR="00701206">
        <w:rPr>
          <w:sz w:val="22"/>
          <w:szCs w:val="22"/>
        </w:rPr>
        <w:instrText>ADDIN CSL_CITATION {"citationItems":[{"id":"ITEM-1","itemData":{"DOI":"10.1111/j.1365-2486.2011.02615.x","ISBN":"13541013","abstract":"Decomposition of soil organic matter (SOM) is mediated by microbial extracellular hydrolytic enzymes (EHEs). Thus, given the large amount of carbon (C) stored as SOM, it is imperative to understand how microbial EHEs will respond to global change (and warming in particular) to better predict the links between SOM and the global C cycle. Here, we measured the MichaelisMenten kinetics [maximal rate of velocity (Vmax) and half-saturation constant (Km)] of five hydrolytic enzymes involved in SOM degradation (cellobiohydrolase, beta-glucosidase, beta-xylosidase, a-glucosidase, and N-acetyl-beta-d-glucosaminidase) in five sites spanning a boreal forest to a tropical rainforest. We tested the specific hypothesis that enzymes from higher latitudes would show greater temperature sensitivities than those from lower latitudes. We then used our data to parameterize a mathematical model to test the relative roles of Vmax and Km temperature sensitivities in SOM decomposition. We found that both Vmax and Km were temperature sensitive, with Q10 values ranging from 1.53 to 2.27 for Vmax and 0.90 to 1.57 for Km. The Q10 values for the Km of the cellulose-degrading enzyme beta-glucosidase showed a significant (P = 0.004) negative relationship with mean annual temperature, indicating that enzymes from cooler climates can indeed be more sensitive to temperature. Our model showed that Km temperature sensitivity can offset SOM losses due to Vmax temperature sensitivity, but the offset depends on the size of the SOM pool and the magnitude of Vmax. Overall, our results suggest that there is a local adaptation of microbial EHE kinetics to temperature and that this should be taken into account when making predictions about the responses of C cycling to global change.","author":[{"dropping-particle":"","family":"German","given":"Donovan P","non-dropping-particle":"","parse-names":false,"suffix":""},{"dropping-particle":"","family":"Marcelo","given":"Kathleen R B","non-dropping-particle":"","parse-names":false,"suffix":""},{"dropping-particle":"","family":"Stone","given":"Madeleine M","non-dropping-particle":"","parse-names":false,"suffix":""},{"dropping-particle":"","family":"Allison","given":"Steven D","non-dropping-particle":"","parse-names":false,"suffix":""}],"container-title":"Global Change Biology","id":"ITEM-1","issue":"4","issued":{"date-parts":[["2012"]]},"note":"From Duplicate 3 (The Michaelis-Menten kinetics of soil extracellular enzymes in response to temperature: a cross-latitudinal study - German, D P; Marcelo, K R B; Stone, M M; Allison, S D)\n\nGerman, Donovan P. Marcelo, Kathleen R. B. Stone, Madeleine M. Allison, Steven D.","page":"1468-1479","title":"The Michaelis-Menten kinetics of soil extracellular enzymes in response to temperature: a cross-latitudinal study","type":"article-journal","volume":"18"},"uris":["http://www.mendeley.com/documents/?uuid=3afa815c-21bd-45c8-b4e8-fc6cb1ff3cea"]}],"mendeley":{"formattedCitation":"(German, Marcelo, Stone, &amp; Allison, 2012)","plainTextFormattedCitation":"(German, Marcelo, Stone, &amp; Allison, 2012)","previouslyFormattedCitation":"(German, Marcelo, Stone, &amp; Allison, 2012)"},"properties":{"noteIndex":0},"schema":"https://github.com/citation-style-language/schema/raw/master/csl-citation.json"}</w:instrText>
      </w:r>
      <w:r w:rsidR="00701206">
        <w:rPr>
          <w:sz w:val="22"/>
          <w:szCs w:val="22"/>
        </w:rPr>
        <w:fldChar w:fldCharType="separate"/>
      </w:r>
      <w:r w:rsidR="00701206" w:rsidRPr="00701206">
        <w:rPr>
          <w:noProof/>
          <w:sz w:val="22"/>
          <w:szCs w:val="22"/>
        </w:rPr>
        <w:t>(German, Marcelo, Stone, &amp; Allison, 2012)</w:t>
      </w:r>
      <w:r w:rsidR="00701206">
        <w:rPr>
          <w:sz w:val="22"/>
          <w:szCs w:val="22"/>
        </w:rPr>
        <w:fldChar w:fldCharType="end"/>
      </w:r>
      <w:r w:rsidRPr="00BE5BB4">
        <w:rPr>
          <w:sz w:val="22"/>
          <w:szCs w:val="22"/>
        </w:rPr>
        <w:t xml:space="preserve">. Therefore, no effect of the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quality or combination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quality and structural complexity was found (Tab. 1). </w:t>
      </w:r>
    </w:p>
    <w:p w:rsidR="00630AF4" w:rsidRDefault="00BE5BB4" w:rsidP="00BE5BB4">
      <w:pPr>
        <w:spacing w:before="0" w:line="480" w:lineRule="auto"/>
        <w:rPr>
          <w:sz w:val="22"/>
          <w:szCs w:val="22"/>
        </w:rPr>
      </w:pPr>
      <w:r w:rsidRPr="00BE5BB4">
        <w:rPr>
          <w:sz w:val="22"/>
          <w:szCs w:val="22"/>
        </w:rPr>
        <w:t xml:space="preserve">Structural complexity itself, however, affected model parameters </w:t>
      </w:r>
      <w:r w:rsidR="00701206" w:rsidRPr="00BE5BB4">
        <w:rPr>
          <w:sz w:val="22"/>
          <w:szCs w:val="22"/>
        </w:rPr>
        <w:t>significantly</w:t>
      </w:r>
      <w:r w:rsidRPr="00BE5BB4">
        <w:rPr>
          <w:sz w:val="22"/>
          <w:szCs w:val="22"/>
        </w:rPr>
        <w:t xml:space="preserve">. As can be expected,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was higher in BROTH treatments as compared to GLASS and WOOL treatments. It implies that the structural complexity of the environment significantly decrease the </w:t>
      </w:r>
      <w:proofErr w:type="spellStart"/>
      <w:r w:rsidRPr="00BE5BB4">
        <w:rPr>
          <w:sz w:val="22"/>
          <w:szCs w:val="22"/>
        </w:rPr>
        <w:t>difussion</w:t>
      </w:r>
      <w:proofErr w:type="spellEnd"/>
      <w:r w:rsidRPr="00BE5BB4">
        <w:rPr>
          <w:sz w:val="22"/>
          <w:szCs w:val="22"/>
        </w:rPr>
        <w:t xml:space="preserve"> of substrate towards microbial cells as previously suggested by </w:t>
      </w:r>
      <w:r w:rsidR="00701206">
        <w:rPr>
          <w:sz w:val="22"/>
          <w:szCs w:val="22"/>
        </w:rPr>
        <w:fldChar w:fldCharType="begin" w:fldLock="1"/>
      </w:r>
      <w:r w:rsidR="00701206">
        <w:rPr>
          <w:sz w:val="22"/>
          <w:szCs w:val="22"/>
        </w:rPr>
        <w:instrText>ADDIN CSL_CITATION {"citationItems":[{"id":"ITEM-1","itemData":{"DOI":"10.1016/J.SOILBIO.2015.10.020","ISSN":"0038-0717","abstract":"Large rainfall events following drought cause pulses of CO2 flux that are higher than models predict. This phenomenon, named the “Birch effect” after its discoverer, has been observed for decades, and will influence carbon-climate feedbacks as drying–rewetting (DRW) cycles become more common under intensified climates. Yet, the many interacting factors that determine how soil DRW cycles affect C balance have been difficult to separate empirically. Here we use a spatially explicit biogeochemical–microbial model to examine the mechanisms underlying CO2 dynamics under DRW. We independently model physiological activity and diffusion based on how they vary with (constant) moisture levels in nature, and subject the model to DRW to test the importance of different mechanisms in models with one or two microbial functional groups (cheaters and producers). Our model reproduces respiration patterns similar to empirical observations of the Birch effect when we include mechanisms that link water content to microbial growth and to diffusion rate, whereas inclusion of either mechanism alone produces significantly lower pulses upon rewetting. Diffusion limitation under drought increases substrate availability under rewetting, a process mediated by biogeochemical hotspots and continued enzyme activity under drought. At the same time, high microbial growth under rewetting is needed to replenish enzyme pools and to sustain the biomass required to generate respiration pulses under repeated DRW. Inclusion of cheaters in the model dampens the size of the rewetting pulse and the cumulative amount of CO2 release, as cheaters outcompete producers and reduce overall biomass. Our results provide several novel hypotheses regarding the microbial, biogeochemical, and spatial processes that mediate the Birch effect, which will contribute to a better mechanistic understanding of this important deviation from model predictions.","author":[{"dropping-particle":"","family":"Evans","given":"Sarah","non-dropping-particle":"","parse-names":false,"suffix":""},{"dropping-particle":"","family":"Dieckmann","given":"Ulf","non-dropping-particle":"","parse-names":false,"suffix":""},{"dropping-particle":"","family":"Franklin","given":"Oskar","non-dropping-particle":"","parse-names":false,"suffix":""},{"dropping-particle":"","family":"Kaiser","given":"Christina","non-dropping-particle":"","parse-names":false,"suffix":""}],"container-title":"Soil Biology and Biochemistry","id":"ITEM-1","issued":{"date-parts":[["2016","2","1"]]},"page":"28-37","publisher":"Pergamon","title":"Synergistic effects of diffusion and microbial physiology reproduce the Birch effect in a micro-scale model","type":"article-journal","volume":"93"},"uris":["http://www.mendeley.com/documents/?uuid=7b5fef13-f6bf-31f0-869a-c234a1678acd"]}],"mendeley":{"formattedCitation":"(Evans, Dieckmann, Franklin, &amp; Kaiser, 2016)","manualFormatting":"Evans, Dieckmann, Franklin, &amp; Kaiser (2016)","plainTextFormattedCitation":"(Evans, Dieckmann, Franklin, &amp; Kaiser, 2016)","previouslyFormattedCitation":"(Evans, Dieckmann, Franklin, &amp; Kaiser, 2016)"},"properties":{"noteIndex":0},"schema":"https://github.com/citation-style-language/schema/raw/master/csl-citation.json"}</w:instrText>
      </w:r>
      <w:r w:rsidR="00701206">
        <w:rPr>
          <w:sz w:val="22"/>
          <w:szCs w:val="22"/>
        </w:rPr>
        <w:fldChar w:fldCharType="separate"/>
      </w:r>
      <w:r w:rsidR="00701206" w:rsidRPr="00701206">
        <w:rPr>
          <w:noProof/>
          <w:sz w:val="22"/>
          <w:szCs w:val="22"/>
        </w:rPr>
        <w:t xml:space="preserve">Evans, Dieckmann, Franklin, &amp; Kaiser </w:t>
      </w:r>
      <w:r w:rsidR="00701206">
        <w:rPr>
          <w:noProof/>
          <w:sz w:val="22"/>
          <w:szCs w:val="22"/>
        </w:rPr>
        <w:t>(</w:t>
      </w:r>
      <w:r w:rsidR="00701206" w:rsidRPr="00701206">
        <w:rPr>
          <w:noProof/>
          <w:sz w:val="22"/>
          <w:szCs w:val="22"/>
        </w:rPr>
        <w:t>2016)</w:t>
      </w:r>
      <w:r w:rsidR="00701206">
        <w:rPr>
          <w:sz w:val="22"/>
          <w:szCs w:val="22"/>
        </w:rPr>
        <w:fldChar w:fldCharType="end"/>
      </w:r>
      <w:r w:rsidRPr="00BE5BB4">
        <w:rPr>
          <w:sz w:val="22"/>
          <w:szCs w:val="22"/>
        </w:rPr>
        <w:t xml:space="preserve">. Nevertheless,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estimated for GLASS and WOOL treatments were the same (Tab. 1) suggesting that the texture or porosity of the structured environment doesn't affect substrate diffusion significantly at least under water saturated conditions. Under lower water content of the porous </w:t>
      </w:r>
      <w:r w:rsidRPr="00BE5BB4">
        <w:rPr>
          <w:sz w:val="22"/>
          <w:szCs w:val="22"/>
        </w:rPr>
        <w:lastRenderedPageBreak/>
        <w:t>material, the material porosity is likely to affect diffusion of substrate to microbes significantly</w:t>
      </w:r>
      <w:r w:rsidR="00701206">
        <w:rPr>
          <w:sz w:val="22"/>
          <w:szCs w:val="22"/>
        </w:rPr>
        <w:t xml:space="preserve"> </w:t>
      </w:r>
      <w:r w:rsidR="00701206">
        <w:rPr>
          <w:sz w:val="22"/>
          <w:szCs w:val="22"/>
        </w:rPr>
        <w:fldChar w:fldCharType="begin" w:fldLock="1"/>
      </w:r>
      <w:r w:rsidR="00701206">
        <w:rPr>
          <w:sz w:val="22"/>
          <w:szCs w:val="22"/>
        </w:rPr>
        <w:instrText>ADDIN CSL_CITATION {"citationItems":[{"id":"ITEM-1","itemData":{"DOI":"10.1002/2014JG002701","ISBN":"2169-8961","ISSN":"21698961","abstract":"Conventional Q10 soil organic matter decomposition models and more complex microbial models are available for making projections of future soil carbon dynamics. However, it is unclear (1) how well the conceptually different approaches can simulate observed decomposition and (2) to what extent the trajectories of long-term simulations differ when using the different approaches. In this study, we compared three structurally different soil carbon (C) decomposition models (one Q10 and two microbial models of different complexity), each with a one- and two-horizon version. The models were calibrated and validated using 4 years of measurements of heterotrophic soil CO2 efflux from trenched plots in a Dahurian larch (Larix gmelinii Rupr.) plantation. All models reproduced the observed heterotrophic component of soil CO2 efflux, but the trajectories of soil carbon dynamics differed substantially in 100 year simulations with and without warming and increased litterfall input, with microbial models that produced better agreement with observed changes in soil organic C in long-term warming experiments. Our results also suggest that both constant and varying carbon use efficiency are plausible when modeling future decomposition dynamics and that the use of a short-term (e.g., a few years) period of measurement is insufficient to adequately constrain model parameters that represent long-term responses of microbial thermal adaption. These results highlight the need to reframe the representation of decomposition models and to constrain parameters with long-term observations and multiple data streams. We urge caution in interpreting future soil carbon responses derived from existing decomposition models because both conceptual and parameter uncertainties are substantial.","author":[{"dropping-particle":"","family":"He","given":"Yujie","non-dropping-particle":"","parse-names":false,"suffix":""},{"dropping-particle":"","family":"Yang","given":"Jinyan","non-dropping-particle":"","parse-names":false,"suffix":""},{"dropping-particle":"","family":"Zhuang","given":"Qianlai","non-dropping-particle":"","parse-names":false,"suffix":""},{"dropping-particle":"","family":"McGuire","given":"Anthony D.","non-dropping-particle":"","parse-names":false,"suffix":""},{"dropping-particle":"","family":"Zhu","given":"Qing","non-dropping-particle":"","parse-names":false,"suffix":""},{"dropping-particle":"","family":"Liu","given":"Yaling","non-dropping-particle":"","parse-names":false,"suffix":""},{"dropping-particle":"","family":"Teskey","given":"Robert O.","non-dropping-particle":"","parse-names":false,"suffix":""}],"container-title":"Journal of Geophysical Research: Biogeosciences","id":"ITEM-1","issue":"9","issued":{"date-parts":[["2014","9","1"]]},"page":"1892-1905","publisher":"Wiley-Blackwell","title":"Uncertainty in the fate of soil organic carbon: A comparison of three conceptually different decomposition models at a larch plantation","type":"article-journal","volume":"119"},"uris":["http://www.mendeley.com/documents/?uuid=960bb263-9c10-3faf-a611-b2cfcdd4244d"]},{"id":"ITEM-2","itemData":{"DOI":"10.1016/J.SOILBIO.2015.10.020","ISSN":"0038-0717","abstract":"Large rainfall events following drought cause pulses of CO2 flux that are higher than models predict. This phenomenon, named the “Birch effect” after its discoverer, has been observed for decades, and will influence carbon-climate feedbacks as drying–rewetting (DRW) cycles become more common under intensified climates. Yet, the many interacting factors that determine how soil DRW cycles affect C balance have been difficult to separate empirically. Here we use a spatially explicit biogeochemical–microbial model to examine the mechanisms underlying CO2 dynamics under DRW. We independently model physiological activity and diffusion based on how they vary with (constant) moisture levels in nature, and subject the model to DRW to test the importance of different mechanisms in models with one or two microbial functional groups (cheaters and producers). Our model reproduces respiration patterns similar to empirical observations of the Birch effect when we include mechanisms that link water content to microbial growth and to diffusion rate, whereas inclusion of either mechanism alone produces significantly lower pulses upon rewetting. Diffusion limitation under drought increases substrate availability under rewetting, a process mediated by biogeochemical hotspots and continued enzyme activity under drought. At the same time, high microbial growth under rewetting is needed to replenish enzyme pools and to sustain the biomass required to generate respiration pulses under repeated DRW. Inclusion of cheaters in the model dampens the size of the rewetting pulse and the cumulative amount of CO2 release, as cheaters outcompete producers and reduce overall biomass. Our results provide several novel hypotheses regarding the microbial, biogeochemical, and spatial processes that mediate the Birch effect, which will contribute to a better mechanistic understanding of this important deviation from model predictions.","author":[{"dropping-particle":"","family":"Evans","given":"Sarah","non-dropping-particle":"","parse-names":false,"suffix":""},{"dropping-particle":"","family":"Dieckmann","given":"Ulf","non-dropping-particle":"","parse-names":false,"suffix":""},{"dropping-particle":"","family":"Franklin","given":"Oskar","non-dropping-particle":"","parse-names":false,"suffix":""},{"dropping-particle":"","family":"Kaiser","given":"Christina","non-dropping-particle":"","parse-names":false,"suffix":""}],"container-title":"Soil Biology and Biochemistry","id":"ITEM-2","issued":{"date-parts":[["2016","2","1"]]},"page":"28-37","publisher":"Pergamon","title":"Synergistic effects of diffusion and microbial physiology reproduce the Birch effect in a micro-scale model","type":"article-journal","volume":"93"},"uris":["http://www.mendeley.com/documents/?uuid=7b5fef13-f6bf-31f0-869a-c234a1678acd"]},{"id":"ITEM-3","itemData":{"DOI":"10.1016/j.soilbio.2014.02.008","abstract":"Soil microbes face highly variable moisture conditions that force them to develop adaptations to tolerate or avoid drought. Drought conditions also limit the supply of vital substrates by inhibiting diffusion in dry conditions. How these biological and physical factors affect carbon (C) cycling in soils is addressed here by means of a novel process-based model. The model accounts for different microbial response strategies, including different modes of osmoregulation, drought avoidance through dormancy, and extra-cellular enzyme production. Diffusion limitations induced by low moisture levels for both extracellular enzymes and solutes are also described and coupled to the biological responses. Alternative microbial life-history strategies, each encoded in a set of model parameters, are considered and their effects on C cycling assessed both in the long term (steady state ahalysis) and in the short term (transient analysis during soil drying and rewetting). Drought resistance achieved by active osmoregulation requiring large C investment is not useful in soils where growth in dry conditions is limited by C supply. In contrast, dormancy followed by rapid reactivation upon rewetting seems to be a better strategy in such conditions. Synthesizing more enzymes may also be advantageous because it causes larger accumulation of depolymerized products during dry periods that can be used upon rewetting. Based on key model parameters, a spectrum of life-history strategies thus emerges, providing a possible classification of microbial responses to drought. (C) 2014 Elsevier Ltd. All rights reserved.","author":[{"dropping-particle":"","family":"Manzoni","given":"S","non-dropping-particle":"","parse-names":false,"suffix":""},{"dropping-particle":"","family":"Schaeffer","given":"S M","non-dropping-particle":"","parse-names":false,"suffix":""},{"dropping-particle":"","family":"Katul","given":"G","non-dropping-particle":"","parse-names":false,"suffix":""},{"dropping-particle":"","family":"Porporato","given":"A","non-dropping-particle":"","parse-names":false,"suffix":""},{"dropping-particle":"","family":"Schimel","given":"J P","non-dropping-particle":"","parse-names":false,"suffix":""}],"container-title":"Soil Biology &amp; Biochemistry","id":"ITEM-3","issued":{"date-parts":[["2014"]]},"note":"Times Cited: 15\nManzoni, S. Schaeffer, S. M. Katul, G. Porporato, A. Schimel, J. P.","page":"69-83","title":"A theoretical analysis of microbial eco-physiological and diffusion limitations to carbon cycling in drying soils","type":"article-journal","volume":"73"},"uris":["http://www.mendeley.com/documents/?uuid=35a11b43-0784-4ea5-8838-c75afcfb55e0"]}],"mendeley":{"formattedCitation":"(Evans et al., 2016; He et al., 2014; Manzoni et al., 2014)","plainTextFormattedCitation":"(Evans et al., 2016; He et al., 2014; Manzoni et al., 2014)","previouslyFormattedCitation":"(Evans et al., 2016; He et al., 2014; Manzoni et al., 2014)"},"properties":{"noteIndex":0},"schema":"https://github.com/citation-style-language/schema/raw/master/csl-citation.json"}</w:instrText>
      </w:r>
      <w:r w:rsidR="00701206">
        <w:rPr>
          <w:sz w:val="22"/>
          <w:szCs w:val="22"/>
        </w:rPr>
        <w:fldChar w:fldCharType="separate"/>
      </w:r>
      <w:r w:rsidR="00701206" w:rsidRPr="00701206">
        <w:rPr>
          <w:noProof/>
          <w:sz w:val="22"/>
          <w:szCs w:val="22"/>
        </w:rPr>
        <w:t>(Evans et al., 2016; He et al., 2014; Manzoni et al., 2014)</w:t>
      </w:r>
      <w:r w:rsidR="00701206">
        <w:rPr>
          <w:sz w:val="22"/>
          <w:szCs w:val="22"/>
        </w:rPr>
        <w:fldChar w:fldCharType="end"/>
      </w:r>
      <w:r w:rsidRPr="00BE5BB4">
        <w:rPr>
          <w:sz w:val="22"/>
          <w:szCs w:val="22"/>
        </w:rPr>
        <w:t xml:space="preserve">. </w:t>
      </w:r>
    </w:p>
    <w:p w:rsidR="00630AF4" w:rsidRDefault="00BE5BB4" w:rsidP="00BE5BB4">
      <w:pPr>
        <w:spacing w:before="0" w:line="480" w:lineRule="auto"/>
        <w:rPr>
          <w:sz w:val="22"/>
          <w:szCs w:val="22"/>
        </w:rPr>
      </w:pPr>
      <w:r w:rsidRPr="00BE5BB4">
        <w:rPr>
          <w:sz w:val="22"/>
          <w:szCs w:val="22"/>
        </w:rPr>
        <w:t xml:space="preserve">Our analysis further showed decrease of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parameter in order BROTH &gt; GLASS &gt; WOOL. We believe that this decrease is consequence of decreasing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Pr="00BE5BB4">
        <w:rPr>
          <w:sz w:val="22"/>
          <w:szCs w:val="22"/>
        </w:rPr>
        <w:t xml:space="preserve"> parameter whose distribution strongly correlates with the distribution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parameter (data not shown). The decrease of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Pr="00BE5BB4">
        <w:rPr>
          <w:sz w:val="22"/>
          <w:szCs w:val="22"/>
        </w:rPr>
        <w:t xml:space="preserve"> implies increase of microbial affinity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in structurally more complex environment. However, opposite trend could be expected. Microbial cells attach to surfaces and create microbial biofilms. As a result, smaller surface of microbial biomass is exposed to liquid phase and thus, affinity of microbial community to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S</m:t>
            </m:r>
          </m:sub>
        </m:sSub>
      </m:oMath>
      <w:r w:rsidRPr="00BE5BB4">
        <w:rPr>
          <w:sz w:val="22"/>
          <w:szCs w:val="22"/>
        </w:rPr>
        <w:t xml:space="preserve"> is expected to decrease, which is in direct contrast to observed pattern. </w:t>
      </w:r>
    </w:p>
    <w:p w:rsidR="00424F1C" w:rsidRPr="00BE5BB4" w:rsidRDefault="006A4DF4" w:rsidP="00BE5BB4">
      <w:pPr>
        <w:spacing w:before="0" w:line="480" w:lineRule="auto"/>
        <w:rPr>
          <w:sz w:val="22"/>
          <w:szCs w:val="22"/>
        </w:rPr>
      </w:pPr>
      <w:r w:rsidRPr="00BE5BB4">
        <w:rPr>
          <w:sz w:val="22"/>
          <w:szCs w:val="22"/>
        </w:rPr>
        <w:t>Surprisingly</w:t>
      </w:r>
      <w:r w:rsidR="00BE5BB4" w:rsidRPr="00BE5BB4">
        <w:rPr>
          <w:sz w:val="22"/>
          <w:szCs w:val="22"/>
        </w:rPr>
        <w:t xml:space="preserve">, the same decrease in order BROTH &gt; GLASS &gt; WOOL was also observed for estimated abundance of cellular proteins in R pool (Tab. 2). In contrast to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M</m:t>
            </m:r>
          </m:sub>
        </m:sSub>
      </m:oMath>
      <w:r w:rsidR="00BE5BB4" w:rsidRPr="00BE5BB4">
        <w:rPr>
          <w:sz w:val="22"/>
          <w:szCs w:val="22"/>
        </w:rPr>
        <w:t xml:space="preserve"> parameter, this estimate was not affected </w:t>
      </w:r>
      <w:proofErr w:type="gramStart"/>
      <w:r w:rsidR="00BE5BB4" w:rsidRPr="00BE5BB4">
        <w:rPr>
          <w:sz w:val="22"/>
          <w:szCs w:val="22"/>
        </w:rPr>
        <w:t xml:space="preserve">by </w:t>
      </w:r>
      <w:proofErr w:type="gramEnd"/>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MAX</m:t>
            </m:r>
          </m:sub>
        </m:sSub>
      </m:oMath>
      <w:r w:rsidR="00BE5BB4" w:rsidRPr="00BE5BB4">
        <w:rPr>
          <w:sz w:val="22"/>
          <w:szCs w:val="22"/>
        </w:rPr>
        <w:t xml:space="preserve">. In BROTH treatments, R pool was entirely composed of cellular proteins. In GLASS and WOOL treatments, cellular proteins made 59 and 29% of R pool respectively. Without additional analyses, any </w:t>
      </w:r>
      <w:r w:rsidR="00701206" w:rsidRPr="00BE5BB4">
        <w:rPr>
          <w:sz w:val="22"/>
          <w:szCs w:val="22"/>
        </w:rPr>
        <w:t>unambiguous</w:t>
      </w:r>
      <w:r w:rsidR="00BE5BB4" w:rsidRPr="00BE5BB4">
        <w:rPr>
          <w:sz w:val="22"/>
          <w:szCs w:val="22"/>
        </w:rPr>
        <w:t xml:space="preserve"> explanation of this pattern cannot be provided. It can be argued that the observed pattern is caused by the difference in microbial community composition that selected during incubation. As reported by Hanegraaf2001, different microbial species have different abundance of cellular proteins in R pool and thus, the change of microbial community composition can affect the estimated abundance of cellular proteins in R pool. However, the microbial community composition did not change with the structural complexity (data not shown). Therefore, we speculate that the observed difference is caused by the attachment of microbial cells and creation of biofilm, which tend to affect physiology and proteins expression of microbial community </w:t>
      </w:r>
      <w:r w:rsidR="00701206">
        <w:rPr>
          <w:sz w:val="22"/>
          <w:szCs w:val="22"/>
        </w:rPr>
        <w:fldChar w:fldCharType="begin" w:fldLock="1"/>
      </w:r>
      <w:r w:rsidR="00701206">
        <w:rPr>
          <w:sz w:val="22"/>
          <w:szCs w:val="22"/>
        </w:rPr>
        <w:instrText>ADDIN CSL_CITATION {"citationItems":[{"id":"ITEM-1","itemData":{"DOI":"10.1128/jb.184.4.1140-1154.2002","ISSN":"0021-9193","PMID":"3013835","abstract":"Two distinctly different organelles of locomotion are produced by Vibrio parahaemolyticus. The polar flagellum is responsible for motility in a liquid environment (swimming), and the lateral flagella enable the bacteria to move over surfaces (swarming). Synthesis of lateral flagella occurs when V. parahaemolyticus is grown on agar media but not when it is grown in liquid media. We used lux (luminescence gene) fusions to conveniently and sensitively analyze the factors which influence transcription of lateral flagella genes (laf). Transposon mini-Mu lux was used to mutagenize V. parahaemolyticus and to generate laf::lux transcriptional fusions. Mutants with insertions of mini-Mu lux in laf genes were defective in the swarming phenotype and produced light when the bacteria were propagated on agar media, but not when cells were grown in liquid media. Thus, surface-dependent expression of lateral flagella synthesis is controlled by regulation of transcription. Such fusion strains were also used to further define the environmental conditions which induce laf gene expression. Cultivation on media solidified by gelling agents other than agar also induced light production in fusion strains, as did growth on a variety of hydrophilic membrane filters suspended over liquid media. Growth at an air-surface interface was not necessary for expression since embedding the fusion strains in agar was also effective. Furthermore, induction of laf gene transcription could also be accomplished by increasing the viscosity of the liquid medium by the addition of a high-molecular-weight polymer such as polyvinylpyrrolidone. Increase in luminescence of the fusion strains was detected within 30 min of initiation of the inducing circumstance, and reversal of induction, e.g., by dilution of the viscous medium, resulted in a rapid decline in the rate of increase in luminescence. Conditions that induced luminescence in the fusion strains also induced the synthesis of lateral flagella in wild-type V. parahaemolyticus. The growth environment of the genes, and it appears that the signal that triggers laf expression is physical rather than chemical in nature. Possibilities for a sensing mechanism are discussed.","author":[{"dropping-particle":"","family":"Belas","given":"R","non-dropping-particle":"","parse-names":false,"suffix":""},{"dropping-particle":"","family":"Simon","given":"M","non-dropping-particle":"","parse-names":false,"suffix":""},{"dropping-particle":"","family":"Silverman","given":"M","non-dropping-particle":"","parse-names":false,"suffix":""},{"dropping-particle":"","family":"Costerton","given":"J. William","non-dropping-particle":"","parse-names":false,"suffix":""},{"dropping-particle":"","family":"Davies","given":"David G.","non-dropping-particle":"","parse-names":false,"suffix":""}],"container-title":"Journal of bacteriology","id":"ITEM-1","issue":"1","issued":{"date-parts":[["1986","7","15"]]},"page":"210-8","publisher":"American Society for Microbiology Journals","title":"Regulation of lateral flagella gene transcription in Vibrio parahaemolyticus.","type":"article-journal","volume":"167"},"uris":["http://www.mendeley.com/documents/?uuid=eaaaa961-19fa-30a1-867d-609c18843391"]},{"id":"ITEM-2","itemData":{"DOI":"10.1021/es3047069","ISSN":"0013-936X","author":[{"dropping-particle":"","family":"Mauter","given":"Meagan","non-dropping-particle":"","parse-names":false,"suffix":""},{"dropping-particle":"","family":"Fait","given":"Aaron","non-dropping-particle":"","parse-names":false,"suffix":""},{"dropping-particle":"","family":"Elimelech","given":"Menachem","non-dropping-particle":"","parse-names":false,"suffix":""},{"dropping-particle":"","family":"Herzberg","given":"Moshe","non-dropping-particle":"","parse-names":false,"suffix":""}],"container-title":"Environmental Science &amp; Technology","id":"ITEM-2","issue":"12","issued":{"date-parts":[["2013","6","18"]]},"page":"6223-6230","title":"Surface Cell Density Effects on Escherichia coli Gene Expression during Cell Attachment","type":"article-journal","volume":"47"},"uris":["http://www.mendeley.com/documents/?uuid=4b5fc8be-5b23-3e60-808b-9c54c229ec3c"]},{"id":"ITEM-3","itemData":{"DOI":"10.1038/ncomms5462","ISSN":"2041-1723","author":[{"dropping-particle":"","family":"Chua","given":"Song Lin","non-dropping-particle":"","parse-names":false,"suffix":""},{"dropping-particle":"","family":"Liu","given":"Yang","non-dropping-particle":"","parse-names":false,"suffix":""},{"dropping-particle":"","family":"Yam","given":"Joey Kuok Hoong","non-dropping-particle":"","parse-names":false,"suffix":""},{"dropping-particle":"","family":"Chen","given":"Yicai","non-dropping-particle":"","parse-names":false,"suffix":""},{"dropping-particle":"","family":"Vejborg","given":"Rebecca Munk","non-dropping-particle":"","parse-names":false,"suffix":""},{"dropping-particle":"","family":"Tan","given":"Bryan Giin Chyuan","non-dropping-particle":"","parse-names":false,"suffix":""},{"dropping-particle":"","family":"Kjelleberg","given":"Staffan","non-dropping-particle":"","parse-names":false,"suffix":""},{"dropping-particle":"","family":"Tolker-Nielsen","given":"Tim","non-dropping-particle":"","parse-names":false,"suffix":""},{"dropping-particle":"","family":"Givskov","given":"Michael","non-dropping-particle":"","parse-names":false,"suffix":""},{"dropping-particle":"","family":"Yang","given":"Liang","non-dropping-particle":"","parse-names":false,"suffix":""}],"container-title":"Nature Communications","id":"ITEM-3","issue":"1","issued":{"date-parts":[["2014","12","21"]]},"page":"4462","title":"Dispersed cells represent a distinct stage in the transition from bacterial biofilm to planktonic lifestyles","type":"article-journal","volume":"5"},"uris":["http://www.mendeley.com/documents/?uuid=639ef48b-6316-3a81-b433-8a359e55eea8"]},{"id":"ITEM-4","itemData":{"DOI":"10.1111/j.1574-6968.2001.tb10937.x","ISSN":"03781097","author":[{"dropping-particle":"","family":"Svensäter","given":"G","non-dropping-particle":"","parse-names":false,"suffix":""},{"dropping-particle":"","family":"Welin","given":"J","non-dropping-particle":"","parse-names":false,"suffix":""},{"dropping-particle":"","family":"Wilkins","given":"J.C.","non-dropping-particle":"","parse-names":false,"suffix":""},{"dropping-particle":"","family":"Beighton","given":"D","non-dropping-particle":"","parse-names":false,"suffix":""},{"dropping-particle":"","family":"Hamilton","given":"I.R.","non-dropping-particle":"","parse-names":false,"suffix":""}],"container-title":"FEMS Microbiology Letters","id":"ITEM-4","issue":"1","issued":{"date-parts":[["2001","11"]]},"page":"139-146","title":"Protein expression by planktonic and biofilm cells of Streptococcus mutans","type":"article-journal","volume":"205"},"uris":["http://www.mendeley.com/documents/?uuid=0e1904d9-ade9-39ab-bddf-78219d3138d5"]}],"mendeley":{"formattedCitation":"(Belas, Simon, Silverman, Costerton, &amp; Davies, 1986; Chua et al., 2014; Mauter, Fait, Elimelech, &amp; Herzberg, 2013; Svensäter, Welin, Wilkins, Beighton, &amp; Hamilton, 2001)","manualFormatting":"(e.g. Belas, Simon, Silverman, Costerton, &amp; Davies, 1986; Chua et al., 2014; Mauter, Fait, Elimelech, &amp; Herzberg, 2013; SvensÃ¤ter, Welin, Wilkins, Beighton, &amp; Hamilton, 2001)","plainTextFormattedCitation":"(Belas, Simon, Silverman, Costerton, &amp; Davies, 1986; Chua et al., 2014; Mauter, Fait, Elimelech, &amp; Herzberg, 2013; Svensäter, Welin, Wilkins, Beighton, &amp; Hamilton, 2001)","previouslyFormattedCitation":"(Belas, Simon, Silverman, Costerton, &amp; Davies, 1986; Chua et al., 2014; Mauter, Fait, Elimelech, &amp; Herzberg, 2013; Svensäter, Welin, Wilkins, Beighton, &amp; Hamilton, 2001)"},"properties":{"noteIndex":0},"schema":"https://github.com/citation-style-language/schema/raw/master/csl-citation.json"}</w:instrText>
      </w:r>
      <w:r w:rsidR="00701206">
        <w:rPr>
          <w:sz w:val="22"/>
          <w:szCs w:val="22"/>
        </w:rPr>
        <w:fldChar w:fldCharType="separate"/>
      </w:r>
      <w:r w:rsidR="00701206" w:rsidRPr="00701206">
        <w:rPr>
          <w:noProof/>
          <w:sz w:val="22"/>
          <w:szCs w:val="22"/>
        </w:rPr>
        <w:t>(</w:t>
      </w:r>
      <w:r w:rsidR="00701206">
        <w:rPr>
          <w:noProof/>
          <w:sz w:val="22"/>
          <w:szCs w:val="22"/>
        </w:rPr>
        <w:t xml:space="preserve">e.g. </w:t>
      </w:r>
      <w:r w:rsidR="00701206" w:rsidRPr="00701206">
        <w:rPr>
          <w:noProof/>
          <w:sz w:val="22"/>
          <w:szCs w:val="22"/>
        </w:rPr>
        <w:t>Belas, Simon, Silverman, Costerton, &amp; Davies, 1986; Chua et al., 2014; Mauter, Fait, Elimelech, &amp; Herzberg, 2013; SvensÃ¤ter, Welin, Wilkins, Beighton, &amp; Hamilton, 2001)</w:t>
      </w:r>
      <w:r w:rsidR="00701206">
        <w:rPr>
          <w:sz w:val="22"/>
          <w:szCs w:val="22"/>
        </w:rPr>
        <w:fldChar w:fldCharType="end"/>
      </w:r>
      <w:r w:rsidR="00BE5BB4" w:rsidRPr="00BE5BB4">
        <w:rPr>
          <w:sz w:val="22"/>
          <w:szCs w:val="22"/>
        </w:rPr>
        <w:t xml:space="preserve">. Estimation of other model parameters was associated with substantial uncertainty and therefore, the effect of </w:t>
      </w:r>
      <w:r w:rsidR="00BE5BB4" w:rsidRPr="00BE5BB4">
        <w:rPr>
          <w:sz w:val="22"/>
          <w:szCs w:val="22"/>
        </w:rPr>
        <w:lastRenderedPageBreak/>
        <w:t xml:space="preserve">structural complexity treatment cannot be identified. </w:t>
      </w:r>
      <w:proofErr w:type="gramStart"/>
      <w:r w:rsidR="00BE5BB4" w:rsidRPr="00BE5BB4">
        <w:rPr>
          <w:sz w:val="22"/>
          <w:szCs w:val="22"/>
        </w:rPr>
        <w:t xml:space="preserve">Except </w:t>
      </w:r>
      <w:proofErr w:type="gramEnd"/>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oMath>
      <w:r w:rsidR="00BE5BB4" w:rsidRPr="00BE5BB4">
        <w:rPr>
          <w:sz w:val="22"/>
          <w:szCs w:val="22"/>
        </w:rPr>
        <w:t xml:space="preserve">, however, the model parameters couldn't be fixed across treattments without decreasing the correspondence between model simulations and observations.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oMath>
      <w:r w:rsidR="00BE5BB4" w:rsidRPr="00BE5BB4">
        <w:rPr>
          <w:sz w:val="22"/>
          <w:szCs w:val="22"/>
        </w:rPr>
        <w:t xml:space="preserve"> represents the efficiency of biomass production, which largely depends on substrate quality </w:t>
      </w:r>
      <w:r w:rsidR="00701206">
        <w:rPr>
          <w:sz w:val="22"/>
          <w:szCs w:val="22"/>
        </w:rPr>
        <w:fldChar w:fldCharType="begin" w:fldLock="1"/>
      </w:r>
      <w:r w:rsidR="00701206">
        <w:rPr>
          <w:sz w:val="22"/>
          <w:szCs w:val="22"/>
        </w:rPr>
        <w:instrText>ADDIN CSL_CITATION {"citationItems":[{"id":"ITEM-1","itemData":{"DOI":"10.1007/BF02578899","ISSN":"0003-6072","author":[{"dropping-particle":"","family":"Stouthamer","given":"A. H.","non-dropping-particle":"","parse-names":false,"suffix":""}],"container-title":"Antonie van Leeuwenhoek","id":"ITEM-1","issue":"1","issued":{"date-parts":[["1973","12"]]},"page":"545-565","publisher":"Kluwer Academic Publishers","title":"A theoretical study on the amount of ATP required for synthesis of microbial cell material","type":"article-journal","volume":"39"},"uris":["http://www.mendeley.com/documents/?uuid=198bbc4b-fe17-391b-8d63-301f7772b669"]}],"mendeley":{"formattedCitation":"(Stouthamer, 1973)","manualFormatting":"(e.g. Stouthamer, 1973)","plainTextFormattedCitation":"(Stouthamer, 1973)","previouslyFormattedCitation":"(Stouthamer, 1973)"},"properties":{"noteIndex":0},"schema":"https://github.com/citation-style-language/schema/raw/master/csl-citation.json"}</w:instrText>
      </w:r>
      <w:r w:rsidR="00701206">
        <w:rPr>
          <w:sz w:val="22"/>
          <w:szCs w:val="22"/>
        </w:rPr>
        <w:fldChar w:fldCharType="separate"/>
      </w:r>
      <w:r w:rsidR="00701206" w:rsidRPr="00701206">
        <w:rPr>
          <w:noProof/>
          <w:sz w:val="22"/>
          <w:szCs w:val="22"/>
        </w:rPr>
        <w:t>(</w:t>
      </w:r>
      <w:r w:rsidR="00701206">
        <w:rPr>
          <w:noProof/>
          <w:sz w:val="22"/>
          <w:szCs w:val="22"/>
        </w:rPr>
        <w:t xml:space="preserve">e.g. </w:t>
      </w:r>
      <w:r w:rsidR="00701206" w:rsidRPr="00701206">
        <w:rPr>
          <w:noProof/>
          <w:sz w:val="22"/>
          <w:szCs w:val="22"/>
        </w:rPr>
        <w:t>Stouthamer, 1973)</w:t>
      </w:r>
      <w:r w:rsidR="00701206">
        <w:rPr>
          <w:sz w:val="22"/>
          <w:szCs w:val="22"/>
        </w:rPr>
        <w:fldChar w:fldCharType="end"/>
      </w:r>
      <w:r w:rsidR="00BE5BB4" w:rsidRPr="00BE5BB4">
        <w:rPr>
          <w:sz w:val="22"/>
          <w:szCs w:val="22"/>
        </w:rPr>
        <w:t xml:space="preserve">. Since the metabolized substrate is in fact glucose molecule in all treatments, the invariable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S</m:t>
            </m:r>
          </m:sub>
        </m:sSub>
      </m:oMath>
      <w:r w:rsidR="00BE5BB4" w:rsidRPr="00BE5BB4">
        <w:rPr>
          <w:sz w:val="22"/>
          <w:szCs w:val="22"/>
        </w:rPr>
        <w:t xml:space="preserve"> is reasonable expectation. The estimated value 0.6 corresponds well with the theoretical attainable maximum </w:t>
      </w:r>
      <w:r w:rsidR="002D756D">
        <w:rPr>
          <w:sz w:val="22"/>
          <w:szCs w:val="22"/>
        </w:rPr>
        <w:fldChar w:fldCharType="begin" w:fldLock="1"/>
      </w:r>
      <w:r w:rsidR="002D756D">
        <w:rPr>
          <w:sz w:val="22"/>
          <w:szCs w:val="22"/>
        </w:rPr>
        <w:instrText>ADDIN CSL_CITATION {"citationItems":[{"id":"ITEM-1","itemData":{"DOI":"10.1111/ele.12113","ISBN":"1461023X","abstract":"Carbon use efficiency (CUE) is a fundamental parameter for ecological models based on the physiology of microorganisms. CUE determines energy and material flows to higher trophic levels, conversion of plant-produced carbon into microbial products and rates of ecosystem carbon storage. Thermodynamic calculations support a maximum CUE value of similar to 0.60 (CUE max). Kinetic and stoichiometric constraints on microbial growth suggest that CUE in multi-resource limited natural systems should approach similar to 0.3 (CUE max/2). However, the mean CUE values reported for aquatic and terrestrial ecosystems differ by twofold (similar to 0.26 vs. similar to 0.55) because the methods used to estimate CUE in aquatic and terrestrial systems generally differ and soil estimates are less likely to capture the full maintenance costs of community metabolism given the difficulty of measurements in water-limited environments. Moreover, many simulation models lack adequate representation of energy spilling pathways and stoichiometric constraints on metabolism, which can also lead to overestimates of CUE. We recommend that broad-scale models use a CUE value of 0.30, unless there is evidence for lower values as a result of pervasive nutrient limitations. Ecosystem models operating at finer scales should consider resource composition, stoichiometric constraints and biomass composition, as well as environmental drivers, to predict the CUE of microbial communities.","author":[{"dropping-particle":"","family":"Sinsabaugh","given":"Robert L","non-dropping-particle":"","parse-names":false,"suffix":""},{"dropping-particle":"","family":"Manzoni","given":"Stefano","non-dropping-particle":"","parse-names":false,"suffix":""},{"dropping-particle":"","family":"Moorhead","given":"Daryl L","non-dropping-particle":"","parse-names":false,"suffix":""},{"dropping-particle":"","family":"Richter","given":"Andreas","non-dropping-particle":"","parse-names":false,"suffix":""},{"dropping-particle":"","family":"Elser","given":"James","non-dropping-particle":"","parse-names":false,"suffix":""}],"container-title":"Ecology Letters","id":"ITEM-1","issue":"7","issued":{"date-parts":[["2013"]]},"note":"From Duplicate 2 (Carbon use efficiency of microbial communities: stoichiometry, methodology and modelling - Sinsabaugh, R L; Manzoni, S; Moorhead, D L; Richter, A)\n\nTimes Cited: 29\nSinsabaugh, Robert L. Manzoni, Stefano Moorhead, Daryl L. Richter, Andreas","page":"930-939","title":"Carbon use efficiency of microbial communities: stoichiometry, methodology and modelling","type":"article-journal","volume":"16"},"uris":["http://www.mendeley.com/documents/?uuid=ed9bf731-6454-49ef-b409-5056707bd25f"]},{"id":"ITEM-2","itemData":{"DOI":"10.1002/bit.260221202","ISSN":"0006-3592","author":[{"dropping-particle":"","family":"Roels","given":"J. A.","non-dropping-particle":"","parse-names":false,"suffix":""}],"container-title":"Biotechnology and Bioengineering","id":"ITEM-2","issue":"12","issued":{"date-parts":[["1980","12"]]},"page":"2457-2514","publisher":"JOHN WILEY &amp; SONS INC, 605 THIRD AVE, NEW YORK, NY 10158-0012","title":"Application of macroscopic principles to microbial metabolism","type":"article-journal","volume":"22"},"uris":["http://www.mendeley.com/documents/?uuid=ef00caea-2294-4f3d-a9e6-0800cf684b16"]}],"mendeley":{"formattedCitation":"(Roels, 1980; Sinsabaugh, Manzoni, Moorhead, Richter, &amp; Elser, 2013)","plainTextFormattedCitation":"(Roels, 1980; Sinsabaugh, Manzoni, Moorhead, Richter, &amp; Elser, 2013)","previouslyFormattedCitation":"(Roels, 1980; Sinsabaugh, Manzoni, Moorhead, Richter, &amp; Elser, 2013)"},"properties":{"noteIndex":0},"schema":"https://github.com/citation-style-language/schema/raw/master/csl-citation.json"}</w:instrText>
      </w:r>
      <w:r w:rsidR="002D756D">
        <w:rPr>
          <w:sz w:val="22"/>
          <w:szCs w:val="22"/>
        </w:rPr>
        <w:fldChar w:fldCharType="separate"/>
      </w:r>
      <w:r w:rsidR="002D756D" w:rsidRPr="002D756D">
        <w:rPr>
          <w:noProof/>
          <w:sz w:val="22"/>
          <w:szCs w:val="22"/>
        </w:rPr>
        <w:t>(Roels, 1980; Sinsabaugh, Manzoni, Moorhead, Richter, &amp; Elser, 2013)</w:t>
      </w:r>
      <w:r w:rsidR="002D756D">
        <w:rPr>
          <w:sz w:val="22"/>
          <w:szCs w:val="22"/>
        </w:rPr>
        <w:fldChar w:fldCharType="end"/>
      </w:r>
      <w:r w:rsidR="00BE5BB4" w:rsidRPr="00BE5BB4">
        <w:rPr>
          <w:sz w:val="22"/>
          <w:szCs w:val="22"/>
        </w:rPr>
        <w:t>.</w:t>
      </w:r>
    </w:p>
    <w:p w:rsidR="00424F1C" w:rsidRPr="00BE5BB4" w:rsidRDefault="00BE5BB4" w:rsidP="00BE5BB4">
      <w:pPr>
        <w:pStyle w:val="Heading3"/>
        <w:spacing w:before="0" w:line="480" w:lineRule="auto"/>
        <w:rPr>
          <w:rFonts w:asciiTheme="minorHAnsi" w:hAnsiTheme="minorHAnsi"/>
          <w:sz w:val="22"/>
          <w:szCs w:val="22"/>
        </w:rPr>
      </w:pPr>
      <w:bookmarkStart w:id="23" w:name="residual-variability"/>
      <w:r w:rsidRPr="00BE5BB4">
        <w:rPr>
          <w:rFonts w:asciiTheme="minorHAnsi" w:hAnsiTheme="minorHAnsi"/>
          <w:sz w:val="22"/>
          <w:szCs w:val="22"/>
        </w:rPr>
        <w:t>Residual variability</w:t>
      </w:r>
    </w:p>
    <w:bookmarkEnd w:id="23"/>
    <w:p w:rsidR="00630AF4" w:rsidRDefault="00BE5BB4" w:rsidP="00BE5BB4">
      <w:pPr>
        <w:spacing w:before="0" w:line="480" w:lineRule="auto"/>
        <w:rPr>
          <w:sz w:val="22"/>
          <w:szCs w:val="22"/>
        </w:rPr>
      </w:pPr>
      <w:r w:rsidRPr="00BE5BB4">
        <w:rPr>
          <w:sz w:val="22"/>
          <w:szCs w:val="22"/>
        </w:rPr>
        <w:t xml:space="preserve">Even though DB model simulated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with greater accuracy than Monod and MEND model, substantial part of the variability remained unexplained. When DB model parameters were estimated for each experimental treatment separately, the amount of explained variability increased for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BE5BB4">
        <w:rPr>
          <w:sz w:val="22"/>
          <w:szCs w:val="22"/>
        </w:rPr>
        <w:t xml:space="preserve"> (to 75%) but remained 30% </w:t>
      </w:r>
      <w:proofErr w:type="gramStart"/>
      <w:r w:rsidRPr="00BE5BB4">
        <w:rPr>
          <w:sz w:val="22"/>
          <w:szCs w:val="22"/>
        </w:rPr>
        <w:t xml:space="preserve">for </w:t>
      </w:r>
      <w:proofErr w:type="gramEnd"/>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BE5BB4">
        <w:rPr>
          <w:sz w:val="22"/>
          <w:szCs w:val="22"/>
        </w:rPr>
        <w:t xml:space="preserve">. The unexplained variability can be associated with methodological issues or DB model assumption: </w:t>
      </w:r>
    </w:p>
    <w:p w:rsidR="00630AF4" w:rsidRPr="00630AF4" w:rsidRDefault="00BE5BB4" w:rsidP="00630AF4">
      <w:pPr>
        <w:pStyle w:val="ListParagraph"/>
        <w:numPr>
          <w:ilvl w:val="0"/>
          <w:numId w:val="3"/>
        </w:numPr>
        <w:spacing w:before="0" w:line="480" w:lineRule="auto"/>
        <w:rPr>
          <w:sz w:val="22"/>
          <w:szCs w:val="22"/>
        </w:rPr>
      </w:pPr>
      <w:r w:rsidRPr="00630AF4">
        <w:rPr>
          <w:sz w:val="22"/>
          <w:szCs w:val="22"/>
        </w:rPr>
        <w:t xml:space="preserve">Especially DNA quantification is problematic. UV spectrophotometry can overestimate DNA concentration when UV </w:t>
      </w:r>
      <w:r w:rsidR="006A4DF4" w:rsidRPr="00630AF4">
        <w:rPr>
          <w:sz w:val="22"/>
          <w:szCs w:val="22"/>
        </w:rPr>
        <w:t>absorbing</w:t>
      </w:r>
      <w:r w:rsidRPr="00630AF4">
        <w:rPr>
          <w:sz w:val="22"/>
          <w:szCs w:val="22"/>
        </w:rPr>
        <w:t xml:space="preserve"> compounds such as RNA, proteins, nucleotides etc. are present in the solution </w:t>
      </w:r>
      <w:r w:rsidR="002D756D" w:rsidRPr="00630AF4">
        <w:rPr>
          <w:sz w:val="22"/>
          <w:szCs w:val="22"/>
        </w:rPr>
        <w:fldChar w:fldCharType="begin" w:fldLock="1"/>
      </w:r>
      <w:r w:rsidR="002D756D" w:rsidRPr="00630AF4">
        <w:rPr>
          <w:sz w:val="22"/>
          <w:szCs w:val="22"/>
        </w:rPr>
        <w:instrText>ADDIN CSL_CITATION {"citationItems":[{"id":"ITEM-1","itemData":{"ISSN":"1362-4962","PMID":"12655027","abstract":"DNA quantification of soils and sediments is useful for the investigation of microbial communities and for the acquisition of their genomes that are exploited for the production of natural products. However, in such samples DNA quantification is impaired by humic acids (HA). Due to its lack of specificity and sensitivity, UV spectrophotometry cannot be applied. Consequently, fluorimetric assays applying Hoechst (H) 33258 or PicoGreen (PG) are used. Here, we investigated the SYBR Green I (SG) assay, which was also affected by HA, but was found to be 25- and 1.7-fold more sensitive compared to the H 33258 and PG assays, respectively. Spectrophotometric, fluorimetric and quenching studies as well as gel mobility shift assays suggested that the effect of HA on the SG assay was based on an inner filter effect, collisional quenching and binding of SG to HA. As to the latter finding, the standard 6250-fold dilution of the SG reagent was optimised to a 2000-fold dilution. Although the sensitivity of the optimised SG assay was reduced by a factor of 1.3, the interfering effect of HA could be reduced up to 22-fold. A significant reduction of HA interferences by lowering the pH of the assay was not observed. Finally, the performance of the modified SG assay and the corresponding evaluation methods were verified by the determination of DNA recoveries and concentrations of standards and environmental samples in comparison to the PG assay.","author":[{"dropping-particle":"","family":"Zipper","given":"Hubert","non-dropping-particle":"","parse-names":false,"suffix":""},{"dropping-particle":"","family":"Buta","given":"Christiane","non-dropping-particle":"","parse-names":false,"suffix":""},{"dropping-particle":"","family":"Lämmle","given":"Katrin","non-dropping-particle":"","parse-names":false,"suffix":""},{"dropping-particle":"","family":"Brunner","given":"Herwig","non-dropping-particle":"","parse-names":false,"suffix":""},{"dropping-particle":"","family":"Bernhagen","given":"Jürgen","non-dropping-particle":"","parse-names":false,"suffix":""},{"dropping-particle":"","family":"Vitzthum","given":"Frank","non-dropping-particle":"","parse-names":false,"suffix":""}],"container-title":"Nucleic acids research","id":"ITEM-1","issue":"7","issued":{"date-parts":[["2003","4","1"]]},"page":"e39","title":"Mechanisms underlying the impact of humic acids on DNA quantification by SYBR Green I and consequences for the analysis of soils and aquatic sediments.","type":"article-journal","volume":"31"},"uris":["http://www.mendeley.com/documents/?uuid=dfe570e7-f1f0-3778-9f06-46fc276ba00c"]}],"mendeley":{"formattedCitation":"(Zipper et al., 2003)","plainTextFormattedCitation":"(Zipper et al., 2003)","previouslyFormattedCitation":"(Zipper et al., 2003)"},"properties":{"noteIndex":0},"schema":"https://github.com/citation-style-language/schema/raw/master/csl-citation.json"}</w:instrText>
      </w:r>
      <w:r w:rsidR="002D756D" w:rsidRPr="00630AF4">
        <w:rPr>
          <w:sz w:val="22"/>
          <w:szCs w:val="22"/>
        </w:rPr>
        <w:fldChar w:fldCharType="separate"/>
      </w:r>
      <w:r w:rsidR="002D756D" w:rsidRPr="00630AF4">
        <w:rPr>
          <w:noProof/>
          <w:sz w:val="22"/>
          <w:szCs w:val="22"/>
        </w:rPr>
        <w:t>(Zipper et al., 2003)</w:t>
      </w:r>
      <w:r w:rsidR="002D756D" w:rsidRPr="00630AF4">
        <w:rPr>
          <w:sz w:val="22"/>
          <w:szCs w:val="22"/>
        </w:rPr>
        <w:fldChar w:fldCharType="end"/>
      </w:r>
      <w:r w:rsidRPr="00630AF4">
        <w:rPr>
          <w:sz w:val="22"/>
          <w:szCs w:val="22"/>
        </w:rPr>
        <w:t xml:space="preserve">. An alternative approach offers fluorescence method based on selective reaction of </w:t>
      </w:r>
      <w:proofErr w:type="spellStart"/>
      <w:r w:rsidRPr="00630AF4">
        <w:rPr>
          <w:sz w:val="22"/>
          <w:szCs w:val="22"/>
        </w:rPr>
        <w:t>SYBRGreen</w:t>
      </w:r>
      <w:proofErr w:type="spellEnd"/>
      <w:r w:rsidRPr="00630AF4">
        <w:rPr>
          <w:sz w:val="22"/>
          <w:szCs w:val="22"/>
        </w:rPr>
        <w:t xml:space="preserve"> with DNA, which is calibrated against standard curve of known amounts of Escherichia Coli DNA </w:t>
      </w:r>
      <w:r w:rsidR="002D756D" w:rsidRPr="00630AF4">
        <w:rPr>
          <w:sz w:val="22"/>
          <w:szCs w:val="22"/>
        </w:rPr>
        <w:fldChar w:fldCharType="begin" w:fldLock="1"/>
      </w:r>
      <w:r w:rsidR="002D756D" w:rsidRPr="00630AF4">
        <w:rPr>
          <w:sz w:val="22"/>
          <w:szCs w:val="22"/>
        </w:rPr>
        <w:instrText>ADDIN CSL_CITATION {"citationItems":[{"id":"ITEM-1","itemData":{"DOI":"10.1038/nature04983","ISBN":"1476-4687 (Electronic)","ISSN":"14764687","PMID":"16915287","abstract":"Ammonia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author":[{"dropping-particle":"","family":"Leininger","given":"S.","non-dropping-particle":"","parse-names":false,"suffix":""},{"dropping-particle":"","family":"Urich","given":"T.","non-dropping-particle":"","parse-names":false,"suffix":""},{"dropping-particle":"","family":"Schloter","given":"M.","non-dropping-particle":"","parse-names":false,"suffix":""},{"dropping-particle":"","family":"Schwark","given":"L.","non-dropping-particle":"","parse-names":false,"suffix":""},{"dropping-particle":"","family":"Qi","given":"J.","non-dropping-particle":"","parse-names":false,"suffix":""},{"dropping-particle":"","family":"Nicol","given":"G. W.","non-dropping-particle":"","parse-names":false,"suffix":""},{"dropping-particle":"","family":"Prosser","given":"J. I.","non-dropping-particle":"","parse-names":false,"suffix":""},{"dropping-particle":"","family":"Schuster","given":"S. C.","non-dropping-particle":"","parse-names":false,"suffix":""},{"dropping-particle":"","family":"Schleper","given":"C.","non-dropping-particle":"","parse-names":false,"suffix":""}],"container-title":"Nature","id":"ITEM-1","issue":"7104","issued":{"date-parts":[["2006","8","17"]]},"page":"806-809","publisher":"Nature Publishing Group","title":"Archaea predominate among ammonia-oxidizing prokaryotes in soils","type":"article-journal","volume":"442"},"uris":["http://www.mendeley.com/documents/?uuid=0f27f95e-ff08-3b29-b54c-3de30d0a8129"]}],"mendeley":{"formattedCitation":"(Leininger et al., 2006)","plainTextFormattedCitation":"(Leininger et al., 2006)","previouslyFormattedCitation":"(Leininger et al., 2006)"},"properties":{"noteIndex":0},"schema":"https://github.com/citation-style-language/schema/raw/master/csl-citation.json"}</w:instrText>
      </w:r>
      <w:r w:rsidR="002D756D" w:rsidRPr="00630AF4">
        <w:rPr>
          <w:sz w:val="22"/>
          <w:szCs w:val="22"/>
        </w:rPr>
        <w:fldChar w:fldCharType="separate"/>
      </w:r>
      <w:r w:rsidR="002D756D" w:rsidRPr="00630AF4">
        <w:rPr>
          <w:noProof/>
          <w:sz w:val="22"/>
          <w:szCs w:val="22"/>
        </w:rPr>
        <w:t>(Leininger et al., 2006)</w:t>
      </w:r>
      <w:r w:rsidR="002D756D" w:rsidRPr="00630AF4">
        <w:rPr>
          <w:sz w:val="22"/>
          <w:szCs w:val="22"/>
        </w:rPr>
        <w:fldChar w:fldCharType="end"/>
      </w:r>
      <w:r w:rsidRPr="00630AF4">
        <w:rPr>
          <w:sz w:val="22"/>
          <w:szCs w:val="22"/>
        </w:rPr>
        <w:t xml:space="preserve">. </w:t>
      </w:r>
    </w:p>
    <w:p w:rsidR="00630AF4" w:rsidRPr="00630AF4" w:rsidRDefault="00BE5BB4" w:rsidP="00630AF4">
      <w:pPr>
        <w:pStyle w:val="ListParagraph"/>
        <w:numPr>
          <w:ilvl w:val="0"/>
          <w:numId w:val="3"/>
        </w:numPr>
        <w:spacing w:before="0" w:line="480" w:lineRule="auto"/>
        <w:rPr>
          <w:sz w:val="22"/>
          <w:szCs w:val="22"/>
        </w:rPr>
      </w:pPr>
      <w:r w:rsidRPr="00630AF4">
        <w:rPr>
          <w:sz w:val="22"/>
          <w:szCs w:val="22"/>
        </w:rPr>
        <w:t xml:space="preserve">DNA and proteins are measured as a macromolecular concentration, which have to </w:t>
      </w:r>
      <w:r w:rsidR="002D756D" w:rsidRPr="00630AF4">
        <w:rPr>
          <w:sz w:val="22"/>
          <w:szCs w:val="22"/>
        </w:rPr>
        <w:t xml:space="preserve">be </w:t>
      </w:r>
      <w:r w:rsidRPr="00630AF4">
        <w:rPr>
          <w:sz w:val="22"/>
          <w:szCs w:val="22"/>
        </w:rPr>
        <w:t xml:space="preserve">converted to organic C. Here we used the conversion factors reported </w:t>
      </w:r>
      <w:r w:rsidR="002D756D" w:rsidRPr="00630AF4">
        <w:rPr>
          <w:sz w:val="22"/>
          <w:szCs w:val="22"/>
        </w:rPr>
        <w:t xml:space="preserve">in </w:t>
      </w:r>
      <w:r w:rsidR="002D756D" w:rsidRPr="00630AF4">
        <w:rPr>
          <w:sz w:val="22"/>
          <w:szCs w:val="22"/>
        </w:rPr>
        <w:fldChar w:fldCharType="begin" w:fldLock="1"/>
      </w:r>
      <w:r w:rsidR="002D756D" w:rsidRPr="00630AF4">
        <w:rPr>
          <w:sz w:val="22"/>
          <w:szCs w:val="22"/>
        </w:rPr>
        <w:instrText>ADDIN CSL_CITATION {"citationItems":[{"id":"ITEM-1","itemData":{"ISBN":"0012-9658","abstract":"Whereas it is acknowledged that the C:N:P stoichiometry of consumers and their resources affects both the structure and the function of food webs, and eventually influences broad-scale processes such as global carbon cycles, the mechanistic basis for the variation in stoichiometry has not yet been fully explored. Empirical evidence shows that the specific growth rate is positively related to RNA concentration both between and within taxa in both unicellular and multicellular organisms. Since RNA is rich in P and constitutes a substantial part of the, total P in organisms, a high growth rate is also connected with a high P content. We argue that the reason for this pattern is that the growth of all biota is closely linked with their protein synthesis rate, and thus with the concentration of ribosomal RNA. Dynamic energy budget theory supports the positive relationship between RNA and specific growth rate in microorganisms, whereas the predictions concerning multicellulars only partially agrees with the observed pattern. In a simple model of consumer growth, we explore the consequences of various allocation patterns of RNA; protein, carbohydrates/lipids, and other biochemical constituents on organism potential growth rate and C:N:P stoichiometry. According to the model the percentage of N, and especially percentage of P per dry mass increases with increasing specific growth rate. Furthermore, the model suggests that macromolecule allocation patterns and thus N:P stoichiometry are allowed to differ substantially at low growth rates whereas the stoichiometry at high growth rates is much more constricted at low N:R The model fits empirical data reasonably well, but it is also acknowledged that complex life cycles and associated physiological constraints may result in other patterns. We also use a similar approach of modeling organism growth from basic biochemical principles to illustrate fundamental connections among biochemical allocation and C:N stoichiometry in autotroph production, which is based on allocation patterns between carbohydrates and rubisco. Similar to the RNA-protein model, macromolecular composition and C:N ratios are more constrained at high than at low growth rates. The models and the empirical data together suggest that organism growth is tightly linked with the organisms' biochemical and elemental composition. The stoichiometry of growth impinges on nutrient cycles and carbon fluxes at the ecosystem level. Thus, focus on the biological …","author":[{"dropping-particle":"","family":"Vrede","given":"T","non-dropping-particle":"","parse-names":false,"suffix":""},{"dropping-particle":"","family":"Dobberfuhl","given":"D R","non-dropping-particle":"","parse-names":false,"suffix":""},{"dropping-particle":"","family":"Kooijman","given":"Salm","non-dropping-particle":"","parse-names":false,"suffix":""},{"dropping-particle":"","family":"Elser","given":"J J","non-dropping-particle":"","parse-names":false,"suffix":""}],"container-title":"Ecology","id":"ITEM-1","issue":"5","issued":{"date-parts":[["2004"]]},"language":"English","note":"ISI Document Delivery No.: 821BC\nTimes Cited: 44\nCited Reference Count: 82\nEcological soc amer\nWashington","page":"1217-1229","title":"Fundamental connections among organism C : N : P stoichiometry, macromolecular composition, and growth","type":"article-journal","volume":"85"},"uris":["http://www.mendeley.com/documents/?uuid=b37b29b9-f4f8-4c12-a7e1-8ba6e49b8877"]}],"mendeley":{"formattedCitation":"(Vrede et al., 2004)","manualFormatting":"Vrede et al. (2004)","plainTextFormattedCitation":"(Vrede et al., 2004)","previouslyFormattedCitation":"(Vrede et al., 2004)"},"properties":{"noteIndex":0},"schema":"https://github.com/citation-style-language/schema/raw/master/csl-citation.json"}</w:instrText>
      </w:r>
      <w:r w:rsidR="002D756D" w:rsidRPr="00630AF4">
        <w:rPr>
          <w:sz w:val="22"/>
          <w:szCs w:val="22"/>
        </w:rPr>
        <w:fldChar w:fldCharType="separate"/>
      </w:r>
      <w:r w:rsidR="002D756D" w:rsidRPr="00630AF4">
        <w:rPr>
          <w:noProof/>
          <w:sz w:val="22"/>
          <w:szCs w:val="22"/>
        </w:rPr>
        <w:t>Vrede et al. (2004)</w:t>
      </w:r>
      <w:r w:rsidR="002D756D" w:rsidRPr="00630AF4">
        <w:rPr>
          <w:sz w:val="22"/>
          <w:szCs w:val="22"/>
        </w:rPr>
        <w:fldChar w:fldCharType="end"/>
      </w:r>
      <w:r w:rsidRPr="00630AF4">
        <w:rPr>
          <w:sz w:val="22"/>
          <w:szCs w:val="22"/>
        </w:rPr>
        <w:t xml:space="preserve"> but the C content of DNA and proteins can change among microbial species and through time. </w:t>
      </w:r>
    </w:p>
    <w:p w:rsidR="00424F1C" w:rsidRPr="00630AF4" w:rsidRDefault="00BE5BB4" w:rsidP="00630AF4">
      <w:pPr>
        <w:pStyle w:val="ListParagraph"/>
        <w:numPr>
          <w:ilvl w:val="0"/>
          <w:numId w:val="3"/>
        </w:numPr>
        <w:spacing w:before="0" w:line="480" w:lineRule="auto"/>
        <w:rPr>
          <w:sz w:val="22"/>
          <w:szCs w:val="22"/>
        </w:rPr>
      </w:pPr>
      <w:r w:rsidRPr="00630AF4">
        <w:rPr>
          <w:sz w:val="22"/>
          <w:szCs w:val="22"/>
        </w:rPr>
        <w:t xml:space="preserve">DB model assumes invariant composition of R and S pool. If the composition is not invariant (i.e. cellular proteins become more abundant in S pool in time), the model fails to predict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630AF4">
        <w:rPr>
          <w:sz w:val="22"/>
          <w:szCs w:val="22"/>
        </w:rPr>
        <w:t xml:space="preserve"> and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DNA</m:t>
            </m:r>
          </m:sub>
        </m:sSub>
      </m:oMath>
      <w:r w:rsidRPr="00630AF4">
        <w:rPr>
          <w:sz w:val="22"/>
          <w:szCs w:val="22"/>
        </w:rPr>
        <w:t xml:space="preserve"> dynamic. For example, we observed unpredicted increase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Proteins</m:t>
            </m:r>
          </m:sub>
        </m:sSub>
      </m:oMath>
      <w:r w:rsidRPr="00630AF4">
        <w:rPr>
          <w:sz w:val="22"/>
          <w:szCs w:val="22"/>
        </w:rPr>
        <w:t xml:space="preserve"> at the end of the incubation in BROTH treatments, which might suggest the change of macromolecular distribution in R and S pools (Fig. 2).</w:t>
      </w:r>
    </w:p>
    <w:p w:rsidR="00424F1C" w:rsidRPr="00BE5BB4" w:rsidRDefault="00BE5BB4" w:rsidP="00BE5BB4">
      <w:pPr>
        <w:pStyle w:val="Heading3"/>
        <w:spacing w:before="0" w:line="480" w:lineRule="auto"/>
        <w:rPr>
          <w:rFonts w:asciiTheme="minorHAnsi" w:hAnsiTheme="minorHAnsi"/>
          <w:sz w:val="22"/>
          <w:szCs w:val="22"/>
        </w:rPr>
      </w:pPr>
      <w:bookmarkStart w:id="24" w:name="variable-c_mb-composition-in-microbial-e"/>
      <w:r w:rsidRPr="00BE5BB4">
        <w:rPr>
          <w:rFonts w:asciiTheme="minorHAnsi" w:hAnsiTheme="minorHAnsi"/>
          <w:sz w:val="22"/>
          <w:szCs w:val="22"/>
        </w:rPr>
        <w:t xml:space="preserve">Variable </w:t>
      </w:r>
      <m:oMath>
        <m:sSub>
          <m:sSubPr>
            <m:ctrlPr>
              <w:rPr>
                <w:rFonts w:ascii="Cambria Math" w:hAnsi="Cambria Math"/>
                <w:sz w:val="22"/>
                <w:szCs w:val="22"/>
              </w:rPr>
            </m:ctrlPr>
          </m:sSubPr>
          <m:e>
            <m:r>
              <m:rPr>
                <m:sty m:val="bi"/>
              </m:rPr>
              <w:rPr>
                <w:rFonts w:ascii="Cambria Math" w:hAnsi="Cambria Math"/>
                <w:sz w:val="22"/>
                <w:szCs w:val="22"/>
              </w:rPr>
              <m:t>C</m:t>
            </m:r>
          </m:e>
          <m:sub>
            <m:r>
              <m:rPr>
                <m:sty m:val="bi"/>
              </m:rPr>
              <w:rPr>
                <w:rFonts w:ascii="Cambria Math" w:hAnsi="Cambria Math"/>
                <w:sz w:val="22"/>
                <w:szCs w:val="22"/>
              </w:rPr>
              <m:t>MB</m:t>
            </m:r>
          </m:sub>
        </m:sSub>
      </m:oMath>
      <w:r w:rsidRPr="00BE5BB4">
        <w:rPr>
          <w:rFonts w:asciiTheme="minorHAnsi" w:hAnsiTheme="minorHAnsi"/>
          <w:sz w:val="22"/>
          <w:szCs w:val="22"/>
        </w:rPr>
        <w:t xml:space="preserve"> composition in microbial explicit models</w:t>
      </w:r>
    </w:p>
    <w:bookmarkEnd w:id="24"/>
    <w:p w:rsidR="00424F1C" w:rsidRPr="00BE5BB4" w:rsidRDefault="00BE5BB4" w:rsidP="00BE5BB4">
      <w:pPr>
        <w:spacing w:before="0" w:line="480" w:lineRule="auto"/>
        <w:rPr>
          <w:sz w:val="22"/>
          <w:szCs w:val="22"/>
        </w:rPr>
      </w:pPr>
      <w:r w:rsidRPr="00BE5BB4">
        <w:rPr>
          <w:sz w:val="22"/>
          <w:szCs w:val="22"/>
        </w:rPr>
        <w:t xml:space="preserve">There are unavoidable physical </w:t>
      </w:r>
      <w:r w:rsidR="002D756D" w:rsidRPr="00BE5BB4">
        <w:rPr>
          <w:sz w:val="22"/>
          <w:szCs w:val="22"/>
        </w:rPr>
        <w:t>barriers</w:t>
      </w:r>
      <w:r w:rsidRPr="00BE5BB4">
        <w:rPr>
          <w:sz w:val="22"/>
          <w:szCs w:val="22"/>
        </w:rPr>
        <w:t xml:space="preserve"> that do not allow to measure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in soil quantitatively so all available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estimates based on quantification of various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are associated with an error of </w:t>
      </w:r>
      <w:r w:rsidR="002D756D" w:rsidRPr="00BE5BB4">
        <w:rPr>
          <w:sz w:val="22"/>
          <w:szCs w:val="22"/>
        </w:rPr>
        <w:t>unknown</w:t>
      </w:r>
      <w:r w:rsidRPr="00BE5BB4">
        <w:rPr>
          <w:sz w:val="22"/>
          <w:szCs w:val="22"/>
        </w:rPr>
        <w:t xml:space="preserve"> magnitude </w:t>
      </w:r>
      <w:r w:rsidR="002D756D">
        <w:rPr>
          <w:sz w:val="22"/>
          <w:szCs w:val="22"/>
        </w:rPr>
        <w:fldChar w:fldCharType="begin" w:fldLock="1"/>
      </w:r>
      <w:r w:rsidR="002D756D">
        <w:rPr>
          <w:sz w:val="22"/>
          <w:szCs w:val="22"/>
        </w:rPr>
        <w:instrText>ADDIN CSL_CITATION {"citationItems":[{"id":"ITEM-1","itemData":{"DOI":"10.1007/s10533-007-9132-0","ISBN":"0168-2563","abstract":"Well-constrained carbon:nitrogen:phosphorus (C:N:P) ratios in planktonic biomass, and their importance in advancing our understanding of biological processes and nutrient cycling in marine ecosystems, has motivated ecologists to search for similar patterns in terrestrial ecosystems. Recent analyses indicate the existence of \"Redfield-like\" ratios in plants, and such data may provide insight into the nature of nutrient limitation in terrestrial ecosystems. We searched for analogous patterns in the soil and the soil microbial biomass by conducting a review of the literature. Although soil is characterized by high biological diversity, structural complexity and spatial heterogeneity, we found remarkably consistent C:N:P ratios in both total soil pools and the soil microbial biomass. Our analysis indicates that, similar to marine phytoplankton, element concentrations of individual phylogenetic groups within the soil microbial community may vary, but on average, atomic C:N:P ratios in both the soil (186:13:1) and the soil microbial biomass (60:7:1) are well-constrained at the global scale. We did see significant variation in soil and microbial element ratios between vegetation types (i.e., forest versus grassland), but in most cases, the similarities in soil and microbial element ratios among sites and across large scales were more apparent than the differences. Consistent microbial biomass element ratios, combined with data linking specific patterns of microbial element stoichiometry with direct evidence of microbial nutrient limitation, suggest that measuring the proportions of C, N and P in the microbial biomass may represent another useful tool for assessing nutrient limitation of ecosystem processes in terrestrial ecosystems.","author":[{"dropping-particle":"","family":"Cleveland","given":"C C","non-dropping-particle":"","parse-names":false,"suffix":""},{"dropping-particle":"","family":"Liptzin","given":"D","non-dropping-particle":"","parse-names":false,"suffix":""}],"container-title":"Biogeochemistry","id":"ITEM-1","issue":"3","issued":{"date-parts":[["2007"]]},"note":"Cleveland, Cory C. Liptzin, Daniel","page":"235-252","title":"C : N : P stoichiometry in soil: is there a \"Redfield ratio\" for the microbial biomass?","type":"article-journal","volume":"85"},"uris":["http://www.mendeley.com/documents/?uuid=2b0503f6-0c4f-4337-80aa-d30e6a670955"]}],"mendeley":{"formattedCitation":"(Cleveland &amp; Liptzin, 2007)","plainTextFormattedCitation":"(Cleveland &amp; Liptzin, 2007)","previouslyFormattedCitation":"(Cleveland &amp; Liptzin, 2007)"},"properties":{"noteIndex":0},"schema":"https://github.com/citation-style-language/schema/raw/master/csl-citation.json"}</w:instrText>
      </w:r>
      <w:r w:rsidR="002D756D">
        <w:rPr>
          <w:sz w:val="22"/>
          <w:szCs w:val="22"/>
        </w:rPr>
        <w:fldChar w:fldCharType="separate"/>
      </w:r>
      <w:r w:rsidR="002D756D" w:rsidRPr="002D756D">
        <w:rPr>
          <w:noProof/>
          <w:sz w:val="22"/>
          <w:szCs w:val="22"/>
        </w:rPr>
        <w:t>(Cleveland &amp; Liptzin, 2007)</w:t>
      </w:r>
      <w:r w:rsidR="002D756D">
        <w:rPr>
          <w:sz w:val="22"/>
          <w:szCs w:val="22"/>
        </w:rPr>
        <w:fldChar w:fldCharType="end"/>
      </w:r>
      <w:r w:rsidRPr="00BE5BB4">
        <w:rPr>
          <w:sz w:val="22"/>
          <w:szCs w:val="22"/>
        </w:rPr>
        <w:t xml:space="preserve">. Although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represents important variable, which microbial-explicit models needs to constrain possible combinations of parameter values in order to make reasonable projections </w:t>
      </w:r>
      <w:r w:rsidR="002D756D">
        <w:rPr>
          <w:sz w:val="22"/>
          <w:szCs w:val="22"/>
        </w:rPr>
        <w:fldChar w:fldCharType="begin" w:fldLock="1"/>
      </w:r>
      <w:r w:rsidR="002D756D">
        <w:rPr>
          <w:sz w:val="22"/>
          <w:szCs w:val="22"/>
        </w:rPr>
        <w:instrText>ADDIN CSL_CITATION {"citationItems":[{"id":"ITEM-1","itemData":{"DOI":"10.1016/j.soilbio.2015.08.012","ISSN":"00380717","author":[{"dropping-particle":"","family":"Sierra","given":"Carlos A.","non-dropping-particle":"","parse-names":false,"suffix":""},{"dropping-particle":"","family":"Malghani","given":"Saadatullah","non-dropping-particle":"","parse-names":false,"suffix":""},{"dropping-particle":"","family":"Müller","given":"Markus","non-dropping-particle":"","parse-names":false,"suffix":""}],"container-title":"Soil Biology and Biochemistry","id":"ITEM-1","issued":{"date-parts":[["2015","11"]]},"page":"197-203","title":"Model structure and parameter identification of soil organic matter models","type":"article-journal","volume":"90"},"uris":["http://www.mendeley.com/documents/?uuid=f31db1e5-3f3f-394a-8243-669263e884a5"]}],"mendeley":{"formattedCitation":"(Sierra et al., 2015)","plainTextFormattedCitation":"(Sierra et al., 2015)","previouslyFormattedCitation":"(Sierra et al., 2015)"},"properties":{"noteIndex":0},"schema":"https://github.com/citation-style-language/schema/raw/master/csl-citation.json"}</w:instrText>
      </w:r>
      <w:r w:rsidR="002D756D">
        <w:rPr>
          <w:sz w:val="22"/>
          <w:szCs w:val="22"/>
        </w:rPr>
        <w:fldChar w:fldCharType="separate"/>
      </w:r>
      <w:r w:rsidR="002D756D" w:rsidRPr="002D756D">
        <w:rPr>
          <w:noProof/>
          <w:sz w:val="22"/>
          <w:szCs w:val="22"/>
        </w:rPr>
        <w:t>(Sierra et al., 2015)</w:t>
      </w:r>
      <w:r w:rsidR="002D756D">
        <w:rPr>
          <w:sz w:val="22"/>
          <w:szCs w:val="22"/>
        </w:rPr>
        <w:fldChar w:fldCharType="end"/>
      </w:r>
      <w:r w:rsidRPr="00BE5BB4">
        <w:rPr>
          <w:sz w:val="22"/>
          <w:szCs w:val="22"/>
        </w:rPr>
        <w:t xml:space="preserve">. Our modelling exercise suggest that the discrepancy between models' requirements and the physical limitations of available methods can be efficiently circumvented by defining two pools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allowing to explain variable composition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The microbial-explicit model with two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pools can be calibrated against any or all possible constituents of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that can be measured quantitatively. Ideally, at least two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MB</m:t>
            </m:r>
          </m:sub>
        </m:sSub>
      </m:oMath>
      <w:r w:rsidRPr="00BE5BB4">
        <w:rPr>
          <w:sz w:val="22"/>
          <w:szCs w:val="22"/>
        </w:rPr>
        <w:t xml:space="preserve"> constituents should be measured at the same time in designated experiments.</w:t>
      </w:r>
    </w:p>
    <w:p w:rsidR="00424F1C" w:rsidRPr="00BE5BB4" w:rsidRDefault="00BE5BB4" w:rsidP="00BE5BB4">
      <w:pPr>
        <w:pStyle w:val="Heading2"/>
        <w:spacing w:before="0" w:line="480" w:lineRule="auto"/>
        <w:rPr>
          <w:rFonts w:asciiTheme="minorHAnsi" w:hAnsiTheme="minorHAnsi"/>
          <w:sz w:val="22"/>
          <w:szCs w:val="22"/>
        </w:rPr>
      </w:pPr>
      <w:bookmarkStart w:id="25" w:name="acknowledgment"/>
      <w:r w:rsidRPr="00BE5BB4">
        <w:rPr>
          <w:rFonts w:asciiTheme="minorHAnsi" w:hAnsiTheme="minorHAnsi"/>
          <w:sz w:val="22"/>
          <w:szCs w:val="22"/>
        </w:rPr>
        <w:t>Acknowledgment</w:t>
      </w:r>
    </w:p>
    <w:bookmarkEnd w:id="25"/>
    <w:p w:rsidR="00424F1C" w:rsidRPr="00BE5BB4" w:rsidRDefault="00BE5BB4" w:rsidP="00BE5BB4">
      <w:pPr>
        <w:spacing w:before="0" w:line="480" w:lineRule="auto"/>
        <w:rPr>
          <w:sz w:val="22"/>
          <w:szCs w:val="22"/>
        </w:rPr>
      </w:pPr>
      <w:r w:rsidRPr="00BE5BB4">
        <w:rPr>
          <w:sz w:val="22"/>
          <w:szCs w:val="22"/>
        </w:rPr>
        <w:t>The project was supported by the TES program of the U.S. Department of Energy (DOE) Office of Science, Biological and Environmental Research (BER) for partial support at Pacific Northwest National Laboratory (PNNL). PNNL is operated by Battelle for DOE.</w:t>
      </w:r>
    </w:p>
    <w:p w:rsidR="002D756D" w:rsidRDefault="002D756D">
      <w:pPr>
        <w:spacing w:before="0" w:after="200"/>
        <w:rPr>
          <w:rFonts w:eastAsiaTheme="majorEastAsia" w:cstheme="majorBidi"/>
          <w:b/>
          <w:bCs/>
          <w:color w:val="4F81BD" w:themeColor="accent1"/>
          <w:sz w:val="22"/>
          <w:szCs w:val="22"/>
        </w:rPr>
      </w:pPr>
      <w:bookmarkStart w:id="26" w:name="tables"/>
      <w:r>
        <w:rPr>
          <w:sz w:val="22"/>
          <w:szCs w:val="22"/>
        </w:rPr>
        <w:br w:type="page"/>
      </w:r>
    </w:p>
    <w:p w:rsidR="00424F1C" w:rsidRPr="00BE5BB4" w:rsidRDefault="00BE5BB4" w:rsidP="00BE5BB4">
      <w:pPr>
        <w:pStyle w:val="Heading2"/>
        <w:spacing w:before="0" w:line="480" w:lineRule="auto"/>
        <w:rPr>
          <w:rFonts w:asciiTheme="minorHAnsi" w:hAnsiTheme="minorHAnsi"/>
          <w:sz w:val="22"/>
          <w:szCs w:val="22"/>
        </w:rPr>
      </w:pPr>
      <w:r w:rsidRPr="00BE5BB4">
        <w:rPr>
          <w:rFonts w:asciiTheme="minorHAnsi" w:hAnsiTheme="minorHAnsi"/>
          <w:sz w:val="22"/>
          <w:szCs w:val="22"/>
        </w:rPr>
        <w:lastRenderedPageBreak/>
        <w:t>Tables</w:t>
      </w:r>
    </w:p>
    <w:p w:rsidR="00BE5BB4" w:rsidRPr="00BE5BB4" w:rsidRDefault="00BE5BB4" w:rsidP="00BE5BB4">
      <w:pPr>
        <w:spacing w:before="0" w:line="480" w:lineRule="auto"/>
        <w:rPr>
          <w:rFonts w:cs="Arial"/>
          <w:b/>
          <w:sz w:val="22"/>
          <w:szCs w:val="22"/>
        </w:rPr>
      </w:pPr>
      <w:r w:rsidRPr="00BE5BB4">
        <w:rPr>
          <w:rFonts w:cs="Arial"/>
          <w:b/>
          <w:sz w:val="22"/>
          <w:szCs w:val="22"/>
        </w:rPr>
        <w:t xml:space="preserve">Tab. 1: </w:t>
      </w:r>
      <w:r w:rsidRPr="00BE5BB4">
        <w:rPr>
          <w:rFonts w:cs="Arial"/>
          <w:sz w:val="22"/>
          <w:szCs w:val="22"/>
        </w:rPr>
        <w:t>Goodness of correspondence between the observed respiration rate (R</w:t>
      </w:r>
      <w:r w:rsidRPr="00BE5BB4">
        <w:rPr>
          <w:rFonts w:cs="Arial"/>
          <w:sz w:val="22"/>
          <w:szCs w:val="22"/>
          <w:vertAlign w:val="subscript"/>
        </w:rPr>
        <w:t>H</w:t>
      </w:r>
      <w:r w:rsidRPr="00BE5BB4">
        <w:rPr>
          <w:rFonts w:cs="Arial"/>
          <w:sz w:val="22"/>
          <w:szCs w:val="22"/>
        </w:rPr>
        <w:t>), DNA concentration (per organic carbon basis, C</w:t>
      </w:r>
      <w:r w:rsidRPr="00BE5BB4">
        <w:rPr>
          <w:rFonts w:cs="Arial"/>
          <w:sz w:val="22"/>
          <w:szCs w:val="22"/>
          <w:vertAlign w:val="subscript"/>
        </w:rPr>
        <w:t>DNA</w:t>
      </w:r>
      <w:r w:rsidRPr="00BE5BB4">
        <w:rPr>
          <w:rFonts w:cs="Arial"/>
          <w:sz w:val="22"/>
          <w:szCs w:val="22"/>
        </w:rPr>
        <w:t>)</w:t>
      </w:r>
      <w:r w:rsidRPr="00BE5BB4">
        <w:rPr>
          <w:rFonts w:cs="Arial"/>
          <w:b/>
          <w:sz w:val="22"/>
          <w:szCs w:val="22"/>
        </w:rPr>
        <w:t xml:space="preserve"> </w:t>
      </w:r>
      <w:r w:rsidRPr="00BE5BB4">
        <w:rPr>
          <w:rFonts w:cs="Arial"/>
          <w:sz w:val="22"/>
          <w:szCs w:val="22"/>
        </w:rPr>
        <w:t xml:space="preserve">and cellular proteins concentration (per organic carbon basis, </w:t>
      </w:r>
      <w:proofErr w:type="spellStart"/>
      <w:r w:rsidRPr="00BE5BB4">
        <w:rPr>
          <w:rFonts w:cs="Arial"/>
          <w:sz w:val="22"/>
          <w:szCs w:val="22"/>
        </w:rPr>
        <w:t>C</w:t>
      </w:r>
      <w:r w:rsidRPr="00BE5BB4">
        <w:rPr>
          <w:rFonts w:cs="Arial"/>
          <w:sz w:val="22"/>
          <w:szCs w:val="22"/>
          <w:vertAlign w:val="subscript"/>
        </w:rPr>
        <w:t>Proteins</w:t>
      </w:r>
      <w:proofErr w:type="spellEnd"/>
      <w:r w:rsidRPr="00BE5BB4">
        <w:rPr>
          <w:rFonts w:cs="Arial"/>
          <w:sz w:val="22"/>
          <w:szCs w:val="22"/>
        </w:rPr>
        <w:t>) and corresponding simulation of three different models (i.e. Monod, MEND and DB, see Material and Methods for details). Two different metrics of the goodness of correspondence (R</w:t>
      </w:r>
      <w:r w:rsidRPr="00BE5BB4">
        <w:rPr>
          <w:rFonts w:cs="Arial"/>
          <w:sz w:val="22"/>
          <w:szCs w:val="22"/>
          <w:vertAlign w:val="superscript"/>
        </w:rPr>
        <w:t>2</w:t>
      </w:r>
      <w:r w:rsidRPr="00BE5BB4">
        <w:rPr>
          <w:rFonts w:cs="Arial"/>
          <w:sz w:val="22"/>
          <w:szCs w:val="22"/>
        </w:rPr>
        <w:t xml:space="preserve"> and </w:t>
      </w:r>
      <w:proofErr w:type="spellStart"/>
      <w:r w:rsidRPr="00BE5BB4">
        <w:rPr>
          <w:rFonts w:cs="Arial"/>
          <w:sz w:val="22"/>
          <w:szCs w:val="22"/>
        </w:rPr>
        <w:t>Akaike</w:t>
      </w:r>
      <w:proofErr w:type="spellEnd"/>
      <w:r w:rsidRPr="00BE5BB4">
        <w:rPr>
          <w:rFonts w:cs="Arial"/>
          <w:sz w:val="22"/>
          <w:szCs w:val="22"/>
        </w:rPr>
        <w:t xml:space="preserve"> Information Criterion (AIC)) are calculated for each model with parameters estimated across all experimental treatments, for each substrate and structure treatment separately and for all combinations of substrate and structure treatments separately. Monod and MEND models were calibrated against DNA or cellular proteins, whereas DB model was calibrated against both variables simultaneously.</w:t>
      </w:r>
    </w:p>
    <w:tbl>
      <w:tblPr>
        <w:tblW w:w="5000" w:type="pct"/>
        <w:tblLook w:val="04A0" w:firstRow="1" w:lastRow="0" w:firstColumn="1" w:lastColumn="0" w:noHBand="0" w:noVBand="1"/>
      </w:tblPr>
      <w:tblGrid>
        <w:gridCol w:w="1033"/>
        <w:gridCol w:w="1036"/>
        <w:gridCol w:w="749"/>
        <w:gridCol w:w="605"/>
        <w:gridCol w:w="854"/>
        <w:gridCol w:w="781"/>
        <w:gridCol w:w="605"/>
        <w:gridCol w:w="854"/>
        <w:gridCol w:w="783"/>
        <w:gridCol w:w="726"/>
        <w:gridCol w:w="839"/>
        <w:gridCol w:w="711"/>
      </w:tblGrid>
      <w:tr w:rsidR="00BE5BB4" w:rsidRPr="002D756D" w:rsidTr="002D756D">
        <w:trPr>
          <w:trHeight w:val="285"/>
        </w:trPr>
        <w:tc>
          <w:tcPr>
            <w:tcW w:w="539" w:type="pct"/>
            <w:tcBorders>
              <w:top w:val="single" w:sz="8" w:space="0" w:color="auto"/>
              <w:left w:val="nil"/>
              <w:bottom w:val="nil"/>
              <w:right w:val="nil"/>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540" w:type="pct"/>
            <w:tcBorders>
              <w:top w:val="single" w:sz="8" w:space="0" w:color="auto"/>
              <w:left w:val="nil"/>
              <w:bottom w:val="nil"/>
              <w:right w:val="nil"/>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91" w:type="pct"/>
            <w:tcBorders>
              <w:top w:val="single" w:sz="8" w:space="0" w:color="auto"/>
              <w:left w:val="nil"/>
              <w:bottom w:val="nil"/>
              <w:right w:val="nil"/>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1170" w:type="pct"/>
            <w:gridSpan w:val="3"/>
            <w:tcBorders>
              <w:top w:val="single" w:sz="8" w:space="0" w:color="auto"/>
              <w:left w:val="single" w:sz="4" w:space="0" w:color="auto"/>
              <w:bottom w:val="nil"/>
              <w:right w:val="single" w:sz="4" w:space="0" w:color="000000"/>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Monod</w:t>
            </w:r>
          </w:p>
        </w:tc>
        <w:tc>
          <w:tcPr>
            <w:tcW w:w="1171" w:type="pct"/>
            <w:gridSpan w:val="3"/>
            <w:tcBorders>
              <w:top w:val="single" w:sz="8" w:space="0" w:color="auto"/>
              <w:left w:val="nil"/>
              <w:bottom w:val="nil"/>
              <w:right w:val="single" w:sz="4" w:space="0" w:color="000000"/>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MEND</w:t>
            </w:r>
          </w:p>
        </w:tc>
        <w:tc>
          <w:tcPr>
            <w:tcW w:w="1189" w:type="pct"/>
            <w:gridSpan w:val="3"/>
            <w:tcBorders>
              <w:top w:val="single" w:sz="8" w:space="0" w:color="auto"/>
              <w:left w:val="nil"/>
              <w:bottom w:val="nil"/>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DB</w:t>
            </w:r>
          </w:p>
        </w:tc>
      </w:tr>
      <w:tr w:rsidR="00BE5BB4" w:rsidRPr="002D756D" w:rsidTr="002D756D">
        <w:trPr>
          <w:trHeight w:val="261"/>
        </w:trPr>
        <w:tc>
          <w:tcPr>
            <w:tcW w:w="539" w:type="pct"/>
            <w:tcBorders>
              <w:top w:val="nil"/>
              <w:left w:val="nil"/>
              <w:bottom w:val="nil"/>
              <w:right w:val="nil"/>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540" w:type="pct"/>
            <w:tcBorders>
              <w:top w:val="nil"/>
              <w:left w:val="nil"/>
              <w:bottom w:val="nil"/>
              <w:right w:val="nil"/>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91" w:type="pct"/>
            <w:tcBorders>
              <w:top w:val="nil"/>
              <w:left w:val="nil"/>
              <w:bottom w:val="nil"/>
              <w:right w:val="nil"/>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16" w:type="pct"/>
            <w:tcBorders>
              <w:top w:val="nil"/>
              <w:left w:val="single" w:sz="4" w:space="0" w:color="auto"/>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R</w:t>
            </w:r>
            <w:r w:rsidRPr="002D756D">
              <w:rPr>
                <w:rFonts w:eastAsia="Times New Roman" w:cs="Arial"/>
                <w:color w:val="000000"/>
                <w:sz w:val="18"/>
                <w:szCs w:val="22"/>
                <w:vertAlign w:val="subscript"/>
              </w:rPr>
              <w:t>H</w:t>
            </w:r>
          </w:p>
        </w:tc>
        <w:tc>
          <w:tcPr>
            <w:tcW w:w="446" w:type="pct"/>
            <w:tcBorders>
              <w:top w:val="nil"/>
              <w:left w:val="nil"/>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proofErr w:type="spellStart"/>
            <w:r w:rsidRPr="002D756D">
              <w:rPr>
                <w:rFonts w:eastAsia="Times New Roman" w:cs="Arial"/>
                <w:color w:val="000000"/>
                <w:sz w:val="18"/>
                <w:szCs w:val="22"/>
              </w:rPr>
              <w:t>C</w:t>
            </w:r>
            <w:r w:rsidRPr="002D756D">
              <w:rPr>
                <w:rFonts w:eastAsia="Times New Roman" w:cs="Arial"/>
                <w:color w:val="000000"/>
                <w:sz w:val="18"/>
                <w:szCs w:val="22"/>
                <w:vertAlign w:val="subscript"/>
              </w:rPr>
              <w:t>Proteins</w:t>
            </w:r>
            <w:proofErr w:type="spellEnd"/>
          </w:p>
        </w:tc>
        <w:tc>
          <w:tcPr>
            <w:tcW w:w="408" w:type="pct"/>
            <w:tcBorders>
              <w:top w:val="nil"/>
              <w:left w:val="nil"/>
              <w:bottom w:val="single" w:sz="8" w:space="0" w:color="auto"/>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C</w:t>
            </w:r>
            <w:r w:rsidRPr="002D756D">
              <w:rPr>
                <w:rFonts w:eastAsia="Times New Roman" w:cs="Arial"/>
                <w:color w:val="000000"/>
                <w:sz w:val="18"/>
                <w:szCs w:val="22"/>
                <w:vertAlign w:val="subscript"/>
              </w:rPr>
              <w:t>DNA</w:t>
            </w:r>
          </w:p>
        </w:tc>
        <w:tc>
          <w:tcPr>
            <w:tcW w:w="316" w:type="pct"/>
            <w:tcBorders>
              <w:top w:val="nil"/>
              <w:left w:val="nil"/>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R</w:t>
            </w:r>
            <w:r w:rsidRPr="002D756D">
              <w:rPr>
                <w:rFonts w:eastAsia="Times New Roman" w:cs="Arial"/>
                <w:color w:val="000000"/>
                <w:sz w:val="18"/>
                <w:szCs w:val="22"/>
                <w:vertAlign w:val="subscript"/>
              </w:rPr>
              <w:t>H</w:t>
            </w:r>
          </w:p>
        </w:tc>
        <w:tc>
          <w:tcPr>
            <w:tcW w:w="446" w:type="pct"/>
            <w:tcBorders>
              <w:top w:val="nil"/>
              <w:left w:val="nil"/>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proofErr w:type="spellStart"/>
            <w:r w:rsidRPr="002D756D">
              <w:rPr>
                <w:rFonts w:eastAsia="Times New Roman" w:cs="Arial"/>
                <w:color w:val="000000"/>
                <w:sz w:val="18"/>
                <w:szCs w:val="22"/>
              </w:rPr>
              <w:t>C</w:t>
            </w:r>
            <w:r w:rsidRPr="002D756D">
              <w:rPr>
                <w:rFonts w:eastAsia="Times New Roman" w:cs="Arial"/>
                <w:color w:val="000000"/>
                <w:sz w:val="18"/>
                <w:szCs w:val="22"/>
                <w:vertAlign w:val="subscript"/>
              </w:rPr>
              <w:t>Proteins</w:t>
            </w:r>
            <w:proofErr w:type="spellEnd"/>
          </w:p>
        </w:tc>
        <w:tc>
          <w:tcPr>
            <w:tcW w:w="409" w:type="pct"/>
            <w:tcBorders>
              <w:top w:val="nil"/>
              <w:left w:val="nil"/>
              <w:bottom w:val="single" w:sz="8" w:space="0" w:color="auto"/>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C</w:t>
            </w:r>
            <w:r w:rsidRPr="002D756D">
              <w:rPr>
                <w:rFonts w:eastAsia="Times New Roman" w:cs="Arial"/>
                <w:color w:val="000000"/>
                <w:sz w:val="18"/>
                <w:szCs w:val="22"/>
                <w:vertAlign w:val="subscript"/>
              </w:rPr>
              <w:t>DNA</w:t>
            </w:r>
          </w:p>
        </w:tc>
        <w:tc>
          <w:tcPr>
            <w:tcW w:w="379" w:type="pct"/>
            <w:tcBorders>
              <w:top w:val="nil"/>
              <w:left w:val="nil"/>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R</w:t>
            </w:r>
            <w:r w:rsidRPr="002D756D">
              <w:rPr>
                <w:rFonts w:eastAsia="Times New Roman" w:cs="Arial"/>
                <w:color w:val="000000"/>
                <w:sz w:val="18"/>
                <w:szCs w:val="22"/>
                <w:vertAlign w:val="subscript"/>
              </w:rPr>
              <w:t>H</w:t>
            </w:r>
          </w:p>
        </w:tc>
        <w:tc>
          <w:tcPr>
            <w:tcW w:w="438" w:type="pct"/>
            <w:tcBorders>
              <w:top w:val="nil"/>
              <w:left w:val="nil"/>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proofErr w:type="spellStart"/>
            <w:r w:rsidRPr="002D756D">
              <w:rPr>
                <w:rFonts w:eastAsia="Times New Roman" w:cs="Arial"/>
                <w:color w:val="000000"/>
                <w:sz w:val="18"/>
                <w:szCs w:val="22"/>
              </w:rPr>
              <w:t>C</w:t>
            </w:r>
            <w:r w:rsidRPr="002D756D">
              <w:rPr>
                <w:rFonts w:eastAsia="Times New Roman" w:cs="Arial"/>
                <w:color w:val="000000"/>
                <w:sz w:val="18"/>
                <w:szCs w:val="22"/>
                <w:vertAlign w:val="subscript"/>
              </w:rPr>
              <w:t>Proteins</w:t>
            </w:r>
            <w:proofErr w:type="spellEnd"/>
          </w:p>
        </w:tc>
        <w:tc>
          <w:tcPr>
            <w:tcW w:w="372" w:type="pct"/>
            <w:tcBorders>
              <w:top w:val="nil"/>
              <w:left w:val="nil"/>
              <w:bottom w:val="single" w:sz="8" w:space="0" w:color="auto"/>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8"/>
                <w:szCs w:val="22"/>
              </w:rPr>
            </w:pPr>
            <w:r w:rsidRPr="002D756D">
              <w:rPr>
                <w:rFonts w:eastAsia="Times New Roman" w:cs="Arial"/>
                <w:color w:val="000000"/>
                <w:sz w:val="18"/>
                <w:szCs w:val="22"/>
              </w:rPr>
              <w:t>C</w:t>
            </w:r>
            <w:r w:rsidRPr="002D756D">
              <w:rPr>
                <w:rFonts w:eastAsia="Times New Roman" w:cs="Arial"/>
                <w:color w:val="000000"/>
                <w:sz w:val="18"/>
                <w:szCs w:val="22"/>
                <w:vertAlign w:val="subscript"/>
              </w:rPr>
              <w:t>DNA</w:t>
            </w:r>
          </w:p>
        </w:tc>
      </w:tr>
      <w:tr w:rsidR="00BE5BB4" w:rsidRPr="002D756D" w:rsidTr="002D756D">
        <w:trPr>
          <w:trHeight w:val="259"/>
        </w:trPr>
        <w:tc>
          <w:tcPr>
            <w:tcW w:w="1080" w:type="pct"/>
            <w:gridSpan w:val="2"/>
            <w:vMerge w:val="restart"/>
            <w:tcBorders>
              <w:top w:val="single" w:sz="8" w:space="0" w:color="auto"/>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xml:space="preserve">All treatments </w:t>
            </w:r>
          </w:p>
        </w:tc>
        <w:tc>
          <w:tcPr>
            <w:tcW w:w="391" w:type="pct"/>
            <w:vMerge w:val="restart"/>
            <w:tcBorders>
              <w:top w:val="single" w:sz="8" w:space="0" w:color="auto"/>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R</w:t>
            </w:r>
            <w:r w:rsidRPr="002D756D">
              <w:rPr>
                <w:rFonts w:eastAsia="Times New Roman" w:cs="Arial"/>
                <w:i/>
                <w:iCs/>
                <w:color w:val="000000"/>
                <w:sz w:val="18"/>
                <w:szCs w:val="22"/>
                <w:vertAlign w:val="superscript"/>
              </w:rPr>
              <w:t>2</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0.90</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0.86</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79" w:type="pct"/>
            <w:vMerge w:val="restart"/>
            <w:tcBorders>
              <w:top w:val="nil"/>
              <w:left w:val="single" w:sz="4" w:space="0" w:color="auto"/>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0.90</w:t>
            </w:r>
          </w:p>
        </w:tc>
        <w:tc>
          <w:tcPr>
            <w:tcW w:w="438"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72"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r>
      <w:tr w:rsidR="00BE5BB4" w:rsidRPr="002D756D" w:rsidTr="002D756D">
        <w:trPr>
          <w:trHeight w:val="178"/>
        </w:trPr>
        <w:tc>
          <w:tcPr>
            <w:tcW w:w="1080" w:type="pct"/>
            <w:gridSpan w:val="2"/>
            <w:vMerge/>
            <w:tcBorders>
              <w:top w:val="single" w:sz="8" w:space="0" w:color="auto"/>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single" w:sz="8" w:space="0" w:color="auto"/>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0.86</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0.86</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r>
      <w:tr w:rsidR="00BE5BB4" w:rsidRPr="002D756D" w:rsidTr="002D756D">
        <w:trPr>
          <w:trHeight w:val="40"/>
        </w:trPr>
        <w:tc>
          <w:tcPr>
            <w:tcW w:w="1080" w:type="pct"/>
            <w:gridSpan w:val="2"/>
            <w:vMerge/>
            <w:tcBorders>
              <w:top w:val="single" w:sz="8" w:space="0" w:color="auto"/>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val="restar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AIC</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29.9</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140.0</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37.3</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246.0</w:t>
            </w: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79" w:type="pct"/>
            <w:vMerge w:val="restart"/>
            <w:tcBorders>
              <w:top w:val="nil"/>
              <w:left w:val="single" w:sz="4" w:space="0" w:color="auto"/>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37.8</w:t>
            </w:r>
          </w:p>
        </w:tc>
        <w:tc>
          <w:tcPr>
            <w:tcW w:w="438"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80.7</w:t>
            </w:r>
          </w:p>
        </w:tc>
        <w:tc>
          <w:tcPr>
            <w:tcW w:w="372"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98.4</w:t>
            </w:r>
          </w:p>
        </w:tc>
      </w:tr>
      <w:tr w:rsidR="00BE5BB4" w:rsidRPr="002D756D" w:rsidTr="002D756D">
        <w:trPr>
          <w:trHeight w:val="40"/>
        </w:trPr>
        <w:tc>
          <w:tcPr>
            <w:tcW w:w="1080" w:type="pct"/>
            <w:gridSpan w:val="2"/>
            <w:vMerge/>
            <w:tcBorders>
              <w:top w:val="single" w:sz="8" w:space="0" w:color="auto"/>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37.4</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325.0</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37.7</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140.0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r>
      <w:tr w:rsidR="00BE5BB4" w:rsidRPr="002D756D" w:rsidTr="002D756D">
        <w:trPr>
          <w:trHeight w:val="330"/>
        </w:trPr>
        <w:tc>
          <w:tcPr>
            <w:tcW w:w="1080" w:type="pct"/>
            <w:gridSpan w:val="2"/>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Substrate</w:t>
            </w:r>
          </w:p>
        </w:tc>
        <w:tc>
          <w:tcPr>
            <w:tcW w:w="391" w:type="pct"/>
            <w:vMerge w:val="restar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R</w:t>
            </w:r>
            <w:r w:rsidRPr="002D756D">
              <w:rPr>
                <w:rFonts w:eastAsia="Times New Roman" w:cs="Arial"/>
                <w:i/>
                <w:iCs/>
                <w:color w:val="000000"/>
                <w:sz w:val="18"/>
                <w:szCs w:val="22"/>
                <w:vertAlign w:val="superscript"/>
              </w:rPr>
              <w:t>2</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0.90</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0.90</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79" w:type="pct"/>
            <w:vMerge w:val="restart"/>
            <w:tcBorders>
              <w:top w:val="nil"/>
              <w:left w:val="single" w:sz="4" w:space="0" w:color="auto"/>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0.91</w:t>
            </w:r>
          </w:p>
        </w:tc>
        <w:tc>
          <w:tcPr>
            <w:tcW w:w="438" w:type="pct"/>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72" w:type="pct"/>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r>
      <w:tr w:rsidR="00BE5BB4" w:rsidRPr="002D756D" w:rsidTr="002D756D">
        <w:trPr>
          <w:trHeight w:val="285"/>
        </w:trPr>
        <w:tc>
          <w:tcPr>
            <w:tcW w:w="1080" w:type="pct"/>
            <w:gridSpan w:val="2"/>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0.88</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 </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0.87</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 </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r>
      <w:tr w:rsidR="00BE5BB4" w:rsidRPr="002D756D" w:rsidTr="002D756D">
        <w:trPr>
          <w:trHeight w:val="285"/>
        </w:trPr>
        <w:tc>
          <w:tcPr>
            <w:tcW w:w="1080" w:type="pct"/>
            <w:gridSpan w:val="2"/>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val="restar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AIC</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42.0</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333.0</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42.1</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121.0</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79" w:type="pct"/>
            <w:vMerge w:val="restart"/>
            <w:tcBorders>
              <w:top w:val="nil"/>
              <w:left w:val="single" w:sz="4" w:space="0" w:color="auto"/>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57.7</w:t>
            </w:r>
          </w:p>
        </w:tc>
        <w:tc>
          <w:tcPr>
            <w:tcW w:w="438" w:type="pct"/>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99.1</w:t>
            </w:r>
          </w:p>
        </w:tc>
        <w:tc>
          <w:tcPr>
            <w:tcW w:w="372" w:type="pct"/>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117.0</w:t>
            </w:r>
          </w:p>
        </w:tc>
      </w:tr>
      <w:tr w:rsidR="00BE5BB4" w:rsidRPr="002D756D" w:rsidTr="002D756D">
        <w:trPr>
          <w:trHeight w:val="285"/>
        </w:trPr>
        <w:tc>
          <w:tcPr>
            <w:tcW w:w="1080" w:type="pct"/>
            <w:gridSpan w:val="2"/>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45.7</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163.0</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48.6</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159.0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r>
      <w:tr w:rsidR="00BE5BB4" w:rsidRPr="002D756D" w:rsidTr="002D756D">
        <w:trPr>
          <w:trHeight w:val="330"/>
        </w:trPr>
        <w:tc>
          <w:tcPr>
            <w:tcW w:w="1080" w:type="pct"/>
            <w:gridSpan w:val="2"/>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Structure</w:t>
            </w:r>
          </w:p>
        </w:tc>
        <w:tc>
          <w:tcPr>
            <w:tcW w:w="391" w:type="pct"/>
            <w:vMerge w:val="restar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R</w:t>
            </w:r>
            <w:r w:rsidRPr="002D756D">
              <w:rPr>
                <w:rFonts w:eastAsia="Times New Roman" w:cs="Arial"/>
                <w:i/>
                <w:iCs/>
                <w:color w:val="000000"/>
                <w:sz w:val="18"/>
                <w:szCs w:val="22"/>
                <w:vertAlign w:val="superscript"/>
              </w:rPr>
              <w:t>2</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0.95</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0.95</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79" w:type="pct"/>
            <w:vMerge w:val="restart"/>
            <w:tcBorders>
              <w:top w:val="nil"/>
              <w:left w:val="single" w:sz="4" w:space="0" w:color="auto"/>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0.95</w:t>
            </w:r>
          </w:p>
        </w:tc>
        <w:tc>
          <w:tcPr>
            <w:tcW w:w="438"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0.51</w:t>
            </w:r>
          </w:p>
        </w:tc>
        <w:tc>
          <w:tcPr>
            <w:tcW w:w="372"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0.30</w:t>
            </w:r>
          </w:p>
        </w:tc>
      </w:tr>
      <w:tr w:rsidR="00BE5BB4" w:rsidRPr="002D756D" w:rsidTr="002D756D">
        <w:trPr>
          <w:trHeight w:val="285"/>
        </w:trPr>
        <w:tc>
          <w:tcPr>
            <w:tcW w:w="1080" w:type="pct"/>
            <w:gridSpan w:val="2"/>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0.94</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sz w:val="18"/>
                <w:szCs w:val="22"/>
              </w:rPr>
            </w:pP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0.19</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0.91</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i/>
                <w:iCs/>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sz w:val="18"/>
                <w:szCs w:val="22"/>
              </w:rPr>
            </w:pPr>
          </w:p>
        </w:tc>
      </w:tr>
      <w:tr w:rsidR="00BE5BB4" w:rsidRPr="002D756D" w:rsidTr="002D756D">
        <w:trPr>
          <w:trHeight w:val="285"/>
        </w:trPr>
        <w:tc>
          <w:tcPr>
            <w:tcW w:w="1080" w:type="pct"/>
            <w:gridSpan w:val="2"/>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val="restar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AIC</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45.0</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123.0</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46.1</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116.0</w:t>
            </w: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79" w:type="pct"/>
            <w:vMerge w:val="restart"/>
            <w:tcBorders>
              <w:top w:val="nil"/>
              <w:left w:val="single" w:sz="4" w:space="0" w:color="auto"/>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50.9</w:t>
            </w:r>
          </w:p>
        </w:tc>
        <w:tc>
          <w:tcPr>
            <w:tcW w:w="438"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68.7</w:t>
            </w:r>
          </w:p>
        </w:tc>
        <w:tc>
          <w:tcPr>
            <w:tcW w:w="372" w:type="pct"/>
            <w:vMerge w:val="restar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88.8</w:t>
            </w:r>
          </w:p>
        </w:tc>
      </w:tr>
      <w:tr w:rsidR="00BE5BB4" w:rsidRPr="002D756D" w:rsidTr="002D756D">
        <w:trPr>
          <w:trHeight w:val="285"/>
        </w:trPr>
        <w:tc>
          <w:tcPr>
            <w:tcW w:w="1080" w:type="pct"/>
            <w:gridSpan w:val="2"/>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sz w:val="18"/>
                <w:szCs w:val="22"/>
              </w:rPr>
            </w:pPr>
            <w:r w:rsidRPr="002D756D">
              <w:rPr>
                <w:rFonts w:eastAsia="Times New Roman" w:cs="Arial"/>
                <w:sz w:val="18"/>
                <w:szCs w:val="22"/>
              </w:rPr>
              <w:t>40.3</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sz w:val="18"/>
                <w:szCs w:val="22"/>
              </w:rPr>
            </w:pP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sz w:val="18"/>
                <w:szCs w:val="22"/>
              </w:rPr>
            </w:pPr>
            <w:r w:rsidRPr="002D756D">
              <w:rPr>
                <w:rFonts w:eastAsia="Times New Roman" w:cs="Arial"/>
                <w:sz w:val="18"/>
                <w:szCs w:val="22"/>
              </w:rPr>
              <w:t>84.0</w:t>
            </w:r>
          </w:p>
        </w:tc>
        <w:tc>
          <w:tcPr>
            <w:tcW w:w="31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51.8</w:t>
            </w:r>
          </w:p>
        </w:tc>
        <w:tc>
          <w:tcPr>
            <w:tcW w:w="446"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p>
        </w:tc>
        <w:tc>
          <w:tcPr>
            <w:tcW w:w="409"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155.0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r>
      <w:tr w:rsidR="00BE5BB4" w:rsidRPr="002D756D" w:rsidTr="002D756D">
        <w:trPr>
          <w:trHeight w:val="285"/>
        </w:trPr>
        <w:tc>
          <w:tcPr>
            <w:tcW w:w="1080" w:type="pct"/>
            <w:gridSpan w:val="2"/>
            <w:vMerge w:val="restart"/>
            <w:tcBorders>
              <w:top w:val="nil"/>
              <w:left w:val="nil"/>
              <w:bottom w:val="single" w:sz="8" w:space="0" w:color="000000"/>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Substrate ᵡ Structure</w:t>
            </w:r>
          </w:p>
        </w:tc>
        <w:tc>
          <w:tcPr>
            <w:tcW w:w="391" w:type="pct"/>
            <w:vMerge w:val="restar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R</w:t>
            </w:r>
            <w:r w:rsidRPr="002D756D">
              <w:rPr>
                <w:rFonts w:eastAsia="Times New Roman" w:cs="Arial"/>
                <w:i/>
                <w:iCs/>
                <w:color w:val="000000"/>
                <w:sz w:val="18"/>
                <w:szCs w:val="22"/>
                <w:vertAlign w:val="superscript"/>
              </w:rPr>
              <w:t>2</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0.96</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0.96</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0.06</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i/>
                <w:iCs/>
                <w:color w:val="000000"/>
                <w:sz w:val="18"/>
                <w:szCs w:val="22"/>
              </w:rPr>
            </w:pPr>
            <w:r w:rsidRPr="002D756D">
              <w:rPr>
                <w:rFonts w:eastAsia="Times New Roman" w:cs="Arial"/>
                <w:i/>
                <w:iCs/>
                <w:color w:val="000000"/>
                <w:sz w:val="18"/>
                <w:szCs w:val="22"/>
              </w:rPr>
              <w:t> </w:t>
            </w:r>
          </w:p>
        </w:tc>
        <w:tc>
          <w:tcPr>
            <w:tcW w:w="379" w:type="pct"/>
            <w:vMerge w:val="restart"/>
            <w:tcBorders>
              <w:top w:val="nil"/>
              <w:left w:val="single" w:sz="4" w:space="0" w:color="auto"/>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0.97</w:t>
            </w:r>
          </w:p>
        </w:tc>
        <w:tc>
          <w:tcPr>
            <w:tcW w:w="438" w:type="pct"/>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0.75</w:t>
            </w:r>
          </w:p>
        </w:tc>
        <w:tc>
          <w:tcPr>
            <w:tcW w:w="372" w:type="pct"/>
            <w:vMerge w:val="restar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sz w:val="18"/>
                <w:szCs w:val="22"/>
              </w:rPr>
            </w:pPr>
            <w:r w:rsidRPr="002D756D">
              <w:rPr>
                <w:rFonts w:eastAsia="Times New Roman" w:cs="Arial"/>
                <w:i/>
                <w:iCs/>
                <w:sz w:val="18"/>
                <w:szCs w:val="22"/>
              </w:rPr>
              <w:t>0.30</w:t>
            </w:r>
          </w:p>
        </w:tc>
      </w:tr>
      <w:tr w:rsidR="00BE5BB4" w:rsidRPr="002D756D" w:rsidTr="002D756D">
        <w:trPr>
          <w:trHeight w:val="285"/>
        </w:trPr>
        <w:tc>
          <w:tcPr>
            <w:tcW w:w="1080" w:type="pct"/>
            <w:gridSpan w:val="2"/>
            <w:vMerge/>
            <w:tcBorders>
              <w:top w:val="nil"/>
              <w:left w:val="nil"/>
              <w:bottom w:val="single" w:sz="8" w:space="0" w:color="000000"/>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i/>
                <w:iCs/>
                <w:color w:val="000000"/>
                <w:sz w:val="18"/>
                <w:szCs w:val="22"/>
              </w:rPr>
            </w:pP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0.97</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 </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0.93</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 </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8"/>
                <w:szCs w:val="22"/>
              </w:rPr>
            </w:pPr>
            <w:r w:rsidRPr="002D756D">
              <w:rPr>
                <w:rFonts w:eastAsia="Times New Roman" w:cs="Arial"/>
                <w:i/>
                <w:iCs/>
                <w:color w:val="000000"/>
                <w:sz w:val="18"/>
                <w:szCs w:val="22"/>
              </w:rPr>
              <w:t>0</w:t>
            </w:r>
          </w:p>
        </w:tc>
        <w:tc>
          <w:tcPr>
            <w:tcW w:w="379" w:type="pct"/>
            <w:vMerge/>
            <w:tcBorders>
              <w:top w:val="nil"/>
              <w:left w:val="single" w:sz="4" w:space="0" w:color="auto"/>
              <w:bottom w:val="nil"/>
              <w:right w:val="nil"/>
            </w:tcBorders>
            <w:vAlign w:val="center"/>
            <w:hideMark/>
          </w:tcPr>
          <w:p w:rsidR="00BE5BB4" w:rsidRPr="002D756D" w:rsidRDefault="00BE5BB4" w:rsidP="00BE5BB4">
            <w:pPr>
              <w:spacing w:before="0" w:after="0" w:line="480" w:lineRule="auto"/>
              <w:rPr>
                <w:rFonts w:eastAsia="Times New Roman" w:cs="Arial"/>
                <w:i/>
                <w:iCs/>
                <w:sz w:val="18"/>
                <w:szCs w:val="22"/>
              </w:rPr>
            </w:pPr>
          </w:p>
        </w:tc>
        <w:tc>
          <w:tcPr>
            <w:tcW w:w="438"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sz w:val="18"/>
                <w:szCs w:val="22"/>
              </w:rPr>
            </w:pPr>
          </w:p>
        </w:tc>
        <w:tc>
          <w:tcPr>
            <w:tcW w:w="372" w:type="pct"/>
            <w:vMerge/>
            <w:tcBorders>
              <w:top w:val="nil"/>
              <w:left w:val="nil"/>
              <w:bottom w:val="nil"/>
              <w:right w:val="nil"/>
            </w:tcBorders>
            <w:vAlign w:val="center"/>
            <w:hideMark/>
          </w:tcPr>
          <w:p w:rsidR="00BE5BB4" w:rsidRPr="002D756D" w:rsidRDefault="00BE5BB4" w:rsidP="00BE5BB4">
            <w:pPr>
              <w:spacing w:before="0" w:after="0" w:line="480" w:lineRule="auto"/>
              <w:rPr>
                <w:rFonts w:eastAsia="Times New Roman" w:cs="Arial"/>
                <w:i/>
                <w:iCs/>
                <w:sz w:val="18"/>
                <w:szCs w:val="22"/>
              </w:rPr>
            </w:pPr>
          </w:p>
        </w:tc>
      </w:tr>
      <w:tr w:rsidR="00BE5BB4" w:rsidRPr="002D756D" w:rsidTr="002D756D">
        <w:trPr>
          <w:trHeight w:val="285"/>
        </w:trPr>
        <w:tc>
          <w:tcPr>
            <w:tcW w:w="1080" w:type="pct"/>
            <w:gridSpan w:val="2"/>
            <w:vMerge/>
            <w:tcBorders>
              <w:top w:val="nil"/>
              <w:left w:val="nil"/>
              <w:bottom w:val="single" w:sz="8" w:space="0" w:color="000000"/>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val="restart"/>
            <w:tcBorders>
              <w:top w:val="nil"/>
              <w:left w:val="nil"/>
              <w:bottom w:val="single" w:sz="8" w:space="0" w:color="000000"/>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AIC</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78.8</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184.0</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1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79.2</w:t>
            </w:r>
          </w:p>
        </w:tc>
        <w:tc>
          <w:tcPr>
            <w:tcW w:w="446"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124.0</w:t>
            </w:r>
          </w:p>
        </w:tc>
        <w:tc>
          <w:tcPr>
            <w:tcW w:w="409"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379" w:type="pct"/>
            <w:vMerge w:val="restart"/>
            <w:tcBorders>
              <w:top w:val="nil"/>
              <w:left w:val="single" w:sz="4" w:space="0" w:color="auto"/>
              <w:bottom w:val="single" w:sz="8" w:space="0" w:color="000000"/>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sz w:val="18"/>
                <w:szCs w:val="22"/>
              </w:rPr>
            </w:pPr>
            <w:r w:rsidRPr="002D756D">
              <w:rPr>
                <w:rFonts w:eastAsia="Times New Roman" w:cs="Arial"/>
                <w:sz w:val="18"/>
                <w:szCs w:val="22"/>
              </w:rPr>
              <w:t>102.0</w:t>
            </w:r>
          </w:p>
        </w:tc>
        <w:tc>
          <w:tcPr>
            <w:tcW w:w="438" w:type="pct"/>
            <w:vMerge w:val="restart"/>
            <w:tcBorders>
              <w:top w:val="nil"/>
              <w:left w:val="nil"/>
              <w:bottom w:val="single" w:sz="8" w:space="0" w:color="000000"/>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sz w:val="18"/>
                <w:szCs w:val="22"/>
              </w:rPr>
            </w:pPr>
            <w:r w:rsidRPr="002D756D">
              <w:rPr>
                <w:rFonts w:eastAsia="Times New Roman" w:cs="Arial"/>
                <w:sz w:val="18"/>
                <w:szCs w:val="22"/>
              </w:rPr>
              <w:t>110.0</w:t>
            </w:r>
          </w:p>
        </w:tc>
        <w:tc>
          <w:tcPr>
            <w:tcW w:w="372" w:type="pct"/>
            <w:vMerge w:val="restart"/>
            <w:tcBorders>
              <w:top w:val="nil"/>
              <w:left w:val="nil"/>
              <w:bottom w:val="single" w:sz="8" w:space="0" w:color="000000"/>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sz w:val="18"/>
                <w:szCs w:val="22"/>
              </w:rPr>
            </w:pPr>
            <w:r w:rsidRPr="002D756D">
              <w:rPr>
                <w:rFonts w:eastAsia="Times New Roman" w:cs="Arial"/>
                <w:sz w:val="18"/>
                <w:szCs w:val="22"/>
              </w:rPr>
              <w:t>143.0</w:t>
            </w:r>
          </w:p>
        </w:tc>
      </w:tr>
      <w:tr w:rsidR="00BE5BB4" w:rsidRPr="002D756D" w:rsidTr="002D756D">
        <w:trPr>
          <w:trHeight w:val="300"/>
        </w:trPr>
        <w:tc>
          <w:tcPr>
            <w:tcW w:w="1080" w:type="pct"/>
            <w:gridSpan w:val="2"/>
            <w:vMerge/>
            <w:tcBorders>
              <w:top w:val="nil"/>
              <w:left w:val="nil"/>
              <w:bottom w:val="single" w:sz="8" w:space="0" w:color="000000"/>
              <w:right w:val="nil"/>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91" w:type="pct"/>
            <w:vMerge/>
            <w:tcBorders>
              <w:top w:val="nil"/>
              <w:left w:val="nil"/>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8"/>
                <w:szCs w:val="22"/>
              </w:rPr>
            </w:pPr>
          </w:p>
        </w:tc>
        <w:tc>
          <w:tcPr>
            <w:tcW w:w="316" w:type="pct"/>
            <w:tcBorders>
              <w:top w:val="nil"/>
              <w:left w:val="nil"/>
              <w:bottom w:val="single" w:sz="8" w:space="0" w:color="auto"/>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80.0</w:t>
            </w:r>
          </w:p>
        </w:tc>
        <w:tc>
          <w:tcPr>
            <w:tcW w:w="446" w:type="pct"/>
            <w:tcBorders>
              <w:top w:val="nil"/>
              <w:left w:val="nil"/>
              <w:bottom w:val="single" w:sz="8" w:space="0" w:color="auto"/>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408" w:type="pct"/>
            <w:tcBorders>
              <w:top w:val="nil"/>
              <w:left w:val="nil"/>
              <w:bottom w:val="single" w:sz="8" w:space="0" w:color="auto"/>
              <w:right w:val="single" w:sz="4" w:space="0" w:color="auto"/>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157.0</w:t>
            </w:r>
          </w:p>
        </w:tc>
        <w:tc>
          <w:tcPr>
            <w:tcW w:w="316" w:type="pct"/>
            <w:tcBorders>
              <w:top w:val="nil"/>
              <w:left w:val="nil"/>
              <w:bottom w:val="single" w:sz="8" w:space="0" w:color="auto"/>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84.4</w:t>
            </w:r>
          </w:p>
        </w:tc>
        <w:tc>
          <w:tcPr>
            <w:tcW w:w="446" w:type="pct"/>
            <w:tcBorders>
              <w:top w:val="nil"/>
              <w:left w:val="nil"/>
              <w:bottom w:val="single" w:sz="8" w:space="0" w:color="auto"/>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 </w:t>
            </w:r>
          </w:p>
        </w:tc>
        <w:tc>
          <w:tcPr>
            <w:tcW w:w="409" w:type="pct"/>
            <w:tcBorders>
              <w:top w:val="nil"/>
              <w:left w:val="nil"/>
              <w:bottom w:val="single" w:sz="8" w:space="0" w:color="auto"/>
              <w:right w:val="nil"/>
            </w:tcBorders>
            <w:shd w:val="clear" w:color="000000" w:fill="F2F2F2"/>
            <w:noWrap/>
            <w:vAlign w:val="bottom"/>
            <w:hideMark/>
          </w:tcPr>
          <w:p w:rsidR="00BE5BB4" w:rsidRPr="002D756D" w:rsidRDefault="00BE5BB4" w:rsidP="00BE5BB4">
            <w:pPr>
              <w:spacing w:before="0" w:after="0" w:line="480" w:lineRule="auto"/>
              <w:rPr>
                <w:rFonts w:eastAsia="Times New Roman" w:cs="Arial"/>
                <w:color w:val="000000"/>
                <w:sz w:val="18"/>
                <w:szCs w:val="22"/>
              </w:rPr>
            </w:pPr>
            <w:r w:rsidRPr="002D756D">
              <w:rPr>
                <w:rFonts w:eastAsia="Times New Roman" w:cs="Arial"/>
                <w:color w:val="000000"/>
                <w:sz w:val="18"/>
                <w:szCs w:val="22"/>
              </w:rPr>
              <w:t>166.0</w:t>
            </w:r>
          </w:p>
        </w:tc>
        <w:tc>
          <w:tcPr>
            <w:tcW w:w="379" w:type="pct"/>
            <w:vMerge/>
            <w:tcBorders>
              <w:top w:val="nil"/>
              <w:left w:val="single" w:sz="4" w:space="0" w:color="auto"/>
              <w:bottom w:val="single" w:sz="8" w:space="0" w:color="000000"/>
              <w:right w:val="nil"/>
            </w:tcBorders>
            <w:vAlign w:val="center"/>
            <w:hideMark/>
          </w:tcPr>
          <w:p w:rsidR="00BE5BB4" w:rsidRPr="002D756D" w:rsidRDefault="00BE5BB4" w:rsidP="00BE5BB4">
            <w:pPr>
              <w:spacing w:before="0" w:after="0" w:line="480" w:lineRule="auto"/>
              <w:rPr>
                <w:rFonts w:eastAsia="Times New Roman" w:cs="Arial"/>
                <w:sz w:val="18"/>
                <w:szCs w:val="22"/>
              </w:rPr>
            </w:pPr>
          </w:p>
        </w:tc>
        <w:tc>
          <w:tcPr>
            <w:tcW w:w="438" w:type="pct"/>
            <w:vMerge/>
            <w:tcBorders>
              <w:top w:val="nil"/>
              <w:left w:val="nil"/>
              <w:bottom w:val="single" w:sz="8" w:space="0" w:color="000000"/>
              <w:right w:val="nil"/>
            </w:tcBorders>
            <w:vAlign w:val="center"/>
            <w:hideMark/>
          </w:tcPr>
          <w:p w:rsidR="00BE5BB4" w:rsidRPr="002D756D" w:rsidRDefault="00BE5BB4" w:rsidP="00BE5BB4">
            <w:pPr>
              <w:spacing w:before="0" w:after="0" w:line="480" w:lineRule="auto"/>
              <w:rPr>
                <w:rFonts w:eastAsia="Times New Roman" w:cs="Arial"/>
                <w:sz w:val="18"/>
                <w:szCs w:val="22"/>
              </w:rPr>
            </w:pPr>
          </w:p>
        </w:tc>
        <w:tc>
          <w:tcPr>
            <w:tcW w:w="372" w:type="pct"/>
            <w:vMerge/>
            <w:tcBorders>
              <w:top w:val="nil"/>
              <w:left w:val="nil"/>
              <w:bottom w:val="single" w:sz="8" w:space="0" w:color="000000"/>
              <w:right w:val="nil"/>
            </w:tcBorders>
            <w:vAlign w:val="center"/>
            <w:hideMark/>
          </w:tcPr>
          <w:p w:rsidR="00BE5BB4" w:rsidRPr="002D756D" w:rsidRDefault="00BE5BB4" w:rsidP="00BE5BB4">
            <w:pPr>
              <w:spacing w:before="0" w:after="0" w:line="480" w:lineRule="auto"/>
              <w:rPr>
                <w:rFonts w:eastAsia="Times New Roman" w:cs="Arial"/>
                <w:sz w:val="18"/>
                <w:szCs w:val="22"/>
              </w:rPr>
            </w:pPr>
          </w:p>
        </w:tc>
      </w:tr>
    </w:tbl>
    <w:p w:rsidR="00BE5BB4" w:rsidRPr="00BE5BB4" w:rsidRDefault="00BE5BB4" w:rsidP="00BE5BB4">
      <w:pPr>
        <w:spacing w:before="0" w:line="480" w:lineRule="auto"/>
        <w:rPr>
          <w:rFonts w:cs="Arial"/>
          <w:b/>
          <w:sz w:val="22"/>
          <w:szCs w:val="22"/>
        </w:rPr>
      </w:pPr>
    </w:p>
    <w:p w:rsidR="00BE5BB4" w:rsidRPr="00BE5BB4" w:rsidRDefault="00BE5BB4" w:rsidP="00BE5BB4">
      <w:pPr>
        <w:spacing w:before="0" w:line="480" w:lineRule="auto"/>
        <w:rPr>
          <w:sz w:val="22"/>
          <w:szCs w:val="22"/>
        </w:rPr>
      </w:pPr>
      <w:r w:rsidRPr="00BE5BB4">
        <w:rPr>
          <w:rFonts w:cs="Arial"/>
          <w:b/>
          <w:sz w:val="22"/>
          <w:szCs w:val="22"/>
        </w:rPr>
        <w:t xml:space="preserve">Tab. 2: </w:t>
      </w:r>
      <w:r w:rsidRPr="00BE5BB4">
        <w:rPr>
          <w:sz w:val="22"/>
          <w:szCs w:val="22"/>
        </w:rPr>
        <w:t>DB model parameters (V</w:t>
      </w:r>
      <w:r w:rsidRPr="00BE5BB4">
        <w:rPr>
          <w:sz w:val="22"/>
          <w:szCs w:val="22"/>
          <w:vertAlign w:val="subscript"/>
        </w:rPr>
        <w:t>MAX</w:t>
      </w:r>
      <w:r w:rsidRPr="00BE5BB4">
        <w:rPr>
          <w:sz w:val="22"/>
          <w:szCs w:val="22"/>
        </w:rPr>
        <w:t xml:space="preserve"> – maximum velocity constant, K</w:t>
      </w:r>
      <w:r w:rsidRPr="00BE5BB4">
        <w:rPr>
          <w:sz w:val="22"/>
          <w:szCs w:val="22"/>
          <w:vertAlign w:val="subscript"/>
        </w:rPr>
        <w:t>M</w:t>
      </w:r>
      <w:r w:rsidRPr="00BE5BB4">
        <w:rPr>
          <w:sz w:val="22"/>
          <w:szCs w:val="22"/>
        </w:rPr>
        <w:t xml:space="preserve"> – affinity constant, f</w:t>
      </w:r>
      <w:r w:rsidRPr="00BE5BB4">
        <w:rPr>
          <w:sz w:val="22"/>
          <w:szCs w:val="22"/>
          <w:vertAlign w:val="subscript"/>
        </w:rPr>
        <w:t>0</w:t>
      </w:r>
      <w:r w:rsidRPr="00BE5BB4">
        <w:rPr>
          <w:sz w:val="22"/>
          <w:szCs w:val="22"/>
        </w:rPr>
        <w:t xml:space="preserve"> – reserves release rate constant, Y</w:t>
      </w:r>
      <w:r w:rsidRPr="00BE5BB4">
        <w:rPr>
          <w:sz w:val="22"/>
          <w:szCs w:val="22"/>
          <w:vertAlign w:val="subscript"/>
        </w:rPr>
        <w:t>S</w:t>
      </w:r>
      <w:r w:rsidRPr="00BE5BB4">
        <w:rPr>
          <w:sz w:val="22"/>
          <w:szCs w:val="22"/>
        </w:rPr>
        <w:t xml:space="preserve"> – efficiency of structures production, </w:t>
      </w:r>
      <w:proofErr w:type="spellStart"/>
      <w:r w:rsidRPr="00BE5BB4">
        <w:rPr>
          <w:sz w:val="22"/>
          <w:szCs w:val="22"/>
        </w:rPr>
        <w:t>m</w:t>
      </w:r>
      <w:r w:rsidRPr="00BE5BB4">
        <w:rPr>
          <w:sz w:val="22"/>
          <w:szCs w:val="22"/>
          <w:vertAlign w:val="subscript"/>
        </w:rPr>
        <w:t>R</w:t>
      </w:r>
      <w:proofErr w:type="spellEnd"/>
      <w:r w:rsidRPr="00BE5BB4">
        <w:rPr>
          <w:sz w:val="22"/>
          <w:szCs w:val="22"/>
        </w:rPr>
        <w:t xml:space="preserve"> – specific maintenance rate constant, </w:t>
      </w:r>
      <w:proofErr w:type="spellStart"/>
      <w:r w:rsidRPr="00BE5BB4">
        <w:rPr>
          <w:sz w:val="22"/>
          <w:szCs w:val="22"/>
        </w:rPr>
        <w:t>R</w:t>
      </w:r>
      <w:r w:rsidRPr="00BE5BB4">
        <w:rPr>
          <w:sz w:val="22"/>
          <w:szCs w:val="22"/>
          <w:vertAlign w:val="subscript"/>
        </w:rPr>
        <w:t>Proteins</w:t>
      </w:r>
      <w:proofErr w:type="spellEnd"/>
      <w:r w:rsidRPr="00BE5BB4">
        <w:rPr>
          <w:sz w:val="22"/>
          <w:szCs w:val="22"/>
        </w:rPr>
        <w:t xml:space="preserve"> – abundance of proteins in reserves, </w:t>
      </w:r>
      <w:proofErr w:type="spellStart"/>
      <w:r w:rsidRPr="00BE5BB4">
        <w:rPr>
          <w:sz w:val="22"/>
          <w:szCs w:val="22"/>
        </w:rPr>
        <w:t>S</w:t>
      </w:r>
      <w:r w:rsidRPr="00BE5BB4">
        <w:rPr>
          <w:sz w:val="22"/>
          <w:szCs w:val="22"/>
          <w:vertAlign w:val="subscript"/>
        </w:rPr>
        <w:t>Proteins</w:t>
      </w:r>
      <w:proofErr w:type="spellEnd"/>
      <w:r w:rsidRPr="00BE5BB4">
        <w:rPr>
          <w:sz w:val="22"/>
          <w:szCs w:val="22"/>
        </w:rPr>
        <w:t xml:space="preserve"> – abundance of proteins in structures, S</w:t>
      </w:r>
      <w:r w:rsidRPr="00BE5BB4">
        <w:rPr>
          <w:sz w:val="22"/>
          <w:szCs w:val="22"/>
          <w:vertAlign w:val="subscript"/>
        </w:rPr>
        <w:t>DNA</w:t>
      </w:r>
      <w:r w:rsidRPr="00BE5BB4">
        <w:rPr>
          <w:sz w:val="22"/>
          <w:szCs w:val="22"/>
        </w:rPr>
        <w:t xml:space="preserve"> – abundance of DNA in structures) estimated separately for three levels  of structural complexity experimental treatment (BROTH, GLASS and WOOL). Best model parameters (plain numbers) estimated by the Differential Evolution Algorithm and standard deviation of posterior parameter distribution (italic numbers) estimated by Constrained Markov Chain Monte Carlo simulation are reported.</w:t>
      </w:r>
    </w:p>
    <w:tbl>
      <w:tblPr>
        <w:tblW w:w="5000" w:type="pct"/>
        <w:tblLook w:val="04A0" w:firstRow="1" w:lastRow="0" w:firstColumn="1" w:lastColumn="0" w:noHBand="0" w:noVBand="1"/>
      </w:tblPr>
      <w:tblGrid>
        <w:gridCol w:w="771"/>
        <w:gridCol w:w="1627"/>
        <w:gridCol w:w="865"/>
        <w:gridCol w:w="1555"/>
        <w:gridCol w:w="771"/>
        <w:gridCol w:w="1670"/>
        <w:gridCol w:w="771"/>
        <w:gridCol w:w="772"/>
        <w:gridCol w:w="774"/>
      </w:tblGrid>
      <w:tr w:rsidR="00BE5BB4" w:rsidRPr="002D756D" w:rsidTr="00BE5BB4">
        <w:trPr>
          <w:trHeight w:val="286"/>
        </w:trPr>
        <w:tc>
          <w:tcPr>
            <w:tcW w:w="408"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6"/>
                <w:szCs w:val="22"/>
              </w:rPr>
            </w:pPr>
            <w:r w:rsidRPr="002D756D">
              <w:rPr>
                <w:rFonts w:eastAsia="Times New Roman" w:cs="Arial"/>
                <w:color w:val="000000"/>
                <w:sz w:val="16"/>
                <w:szCs w:val="22"/>
              </w:rPr>
              <w:t> </w:t>
            </w:r>
          </w:p>
        </w:tc>
        <w:tc>
          <w:tcPr>
            <w:tcW w:w="855"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r w:rsidRPr="002D756D">
              <w:rPr>
                <w:rFonts w:eastAsia="Times New Roman" w:cs="Arial"/>
                <w:i/>
                <w:iCs/>
                <w:color w:val="000000"/>
                <w:sz w:val="16"/>
                <w:szCs w:val="22"/>
              </w:rPr>
              <w:t>V</w:t>
            </w:r>
            <w:r w:rsidRPr="002D756D">
              <w:rPr>
                <w:rFonts w:eastAsia="Times New Roman" w:cs="Arial"/>
                <w:i/>
                <w:iCs/>
                <w:color w:val="000000"/>
                <w:sz w:val="16"/>
                <w:szCs w:val="22"/>
                <w:vertAlign w:val="subscript"/>
              </w:rPr>
              <w:t>MAX</w:t>
            </w:r>
          </w:p>
        </w:tc>
        <w:tc>
          <w:tcPr>
            <w:tcW w:w="408"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r w:rsidRPr="002D756D">
              <w:rPr>
                <w:rFonts w:eastAsia="Times New Roman" w:cs="Arial"/>
                <w:i/>
                <w:iCs/>
                <w:color w:val="000000"/>
                <w:sz w:val="16"/>
                <w:szCs w:val="22"/>
              </w:rPr>
              <w:t>K</w:t>
            </w:r>
            <w:r w:rsidRPr="002D756D">
              <w:rPr>
                <w:rFonts w:eastAsia="Times New Roman" w:cs="Arial"/>
                <w:i/>
                <w:iCs/>
                <w:color w:val="000000"/>
                <w:sz w:val="16"/>
                <w:szCs w:val="22"/>
                <w:vertAlign w:val="subscript"/>
              </w:rPr>
              <w:t>M</w:t>
            </w:r>
          </w:p>
        </w:tc>
        <w:tc>
          <w:tcPr>
            <w:tcW w:w="817"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r w:rsidRPr="002D756D">
              <w:rPr>
                <w:rFonts w:eastAsia="Times New Roman" w:cs="Arial"/>
                <w:i/>
                <w:iCs/>
                <w:color w:val="000000"/>
                <w:sz w:val="16"/>
                <w:szCs w:val="22"/>
              </w:rPr>
              <w:t>f</w:t>
            </w:r>
            <w:r w:rsidRPr="002D756D">
              <w:rPr>
                <w:rFonts w:eastAsia="Times New Roman" w:cs="Arial"/>
                <w:i/>
                <w:iCs/>
                <w:color w:val="000000"/>
                <w:sz w:val="16"/>
                <w:szCs w:val="22"/>
                <w:vertAlign w:val="subscript"/>
              </w:rPr>
              <w:t>0</w:t>
            </w:r>
          </w:p>
        </w:tc>
        <w:tc>
          <w:tcPr>
            <w:tcW w:w="408"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r w:rsidRPr="002D756D">
              <w:rPr>
                <w:rFonts w:eastAsia="Times New Roman" w:cs="Arial"/>
                <w:i/>
                <w:iCs/>
                <w:color w:val="000000"/>
                <w:sz w:val="16"/>
                <w:szCs w:val="22"/>
              </w:rPr>
              <w:t>Y</w:t>
            </w:r>
            <w:r w:rsidRPr="002D756D">
              <w:rPr>
                <w:rFonts w:eastAsia="Times New Roman" w:cs="Arial"/>
                <w:i/>
                <w:iCs/>
                <w:color w:val="000000"/>
                <w:sz w:val="16"/>
                <w:szCs w:val="22"/>
                <w:vertAlign w:val="subscript"/>
              </w:rPr>
              <w:t>S</w:t>
            </w:r>
          </w:p>
        </w:tc>
        <w:tc>
          <w:tcPr>
            <w:tcW w:w="877"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proofErr w:type="spellStart"/>
            <w:r w:rsidRPr="002D756D">
              <w:rPr>
                <w:rFonts w:eastAsia="Times New Roman" w:cs="Arial"/>
                <w:i/>
                <w:iCs/>
                <w:color w:val="000000"/>
                <w:sz w:val="16"/>
                <w:szCs w:val="22"/>
              </w:rPr>
              <w:t>m</w:t>
            </w:r>
            <w:r w:rsidRPr="002D756D">
              <w:rPr>
                <w:rFonts w:eastAsia="Times New Roman" w:cs="Arial"/>
                <w:i/>
                <w:iCs/>
                <w:color w:val="000000"/>
                <w:sz w:val="16"/>
                <w:szCs w:val="22"/>
                <w:vertAlign w:val="subscript"/>
              </w:rPr>
              <w:t>R</w:t>
            </w:r>
            <w:proofErr w:type="spellEnd"/>
          </w:p>
        </w:tc>
        <w:tc>
          <w:tcPr>
            <w:tcW w:w="408"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proofErr w:type="spellStart"/>
            <w:r w:rsidRPr="002D756D">
              <w:rPr>
                <w:rFonts w:eastAsia="Times New Roman" w:cs="Arial"/>
                <w:i/>
                <w:iCs/>
                <w:color w:val="000000"/>
                <w:sz w:val="16"/>
                <w:szCs w:val="22"/>
              </w:rPr>
              <w:t>R</w:t>
            </w:r>
            <w:r w:rsidRPr="002D756D">
              <w:rPr>
                <w:rFonts w:eastAsia="Times New Roman" w:cs="Arial"/>
                <w:i/>
                <w:iCs/>
                <w:color w:val="000000"/>
                <w:sz w:val="16"/>
                <w:szCs w:val="22"/>
                <w:vertAlign w:val="subscript"/>
              </w:rPr>
              <w:t>Proteins</w:t>
            </w:r>
            <w:proofErr w:type="spellEnd"/>
          </w:p>
        </w:tc>
        <w:tc>
          <w:tcPr>
            <w:tcW w:w="408" w:type="pct"/>
            <w:tcBorders>
              <w:top w:val="single" w:sz="8" w:space="0" w:color="auto"/>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proofErr w:type="spellStart"/>
            <w:r w:rsidRPr="002D756D">
              <w:rPr>
                <w:rFonts w:eastAsia="Times New Roman" w:cs="Arial"/>
                <w:i/>
                <w:iCs/>
                <w:color w:val="000000"/>
                <w:sz w:val="16"/>
                <w:szCs w:val="22"/>
              </w:rPr>
              <w:t>S</w:t>
            </w:r>
            <w:r w:rsidRPr="002D756D">
              <w:rPr>
                <w:rFonts w:eastAsia="Times New Roman" w:cs="Arial"/>
                <w:i/>
                <w:iCs/>
                <w:color w:val="000000"/>
                <w:sz w:val="16"/>
                <w:szCs w:val="22"/>
                <w:vertAlign w:val="subscript"/>
              </w:rPr>
              <w:t>Proteins</w:t>
            </w:r>
            <w:proofErr w:type="spellEnd"/>
          </w:p>
        </w:tc>
        <w:tc>
          <w:tcPr>
            <w:tcW w:w="408" w:type="pct"/>
            <w:tcBorders>
              <w:top w:val="single" w:sz="8" w:space="0" w:color="auto"/>
              <w:left w:val="nil"/>
              <w:bottom w:val="nil"/>
              <w:right w:val="nil"/>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i/>
                <w:iCs/>
                <w:color w:val="000000"/>
                <w:sz w:val="16"/>
                <w:szCs w:val="22"/>
              </w:rPr>
            </w:pPr>
            <w:r w:rsidRPr="002D756D">
              <w:rPr>
                <w:rFonts w:eastAsia="Times New Roman" w:cs="Arial"/>
                <w:i/>
                <w:iCs/>
                <w:color w:val="000000"/>
                <w:sz w:val="16"/>
                <w:szCs w:val="22"/>
              </w:rPr>
              <w:t>S</w:t>
            </w:r>
            <w:r w:rsidRPr="002D756D">
              <w:rPr>
                <w:rFonts w:eastAsia="Times New Roman" w:cs="Arial"/>
                <w:i/>
                <w:iCs/>
                <w:color w:val="000000"/>
                <w:sz w:val="16"/>
                <w:szCs w:val="22"/>
                <w:vertAlign w:val="subscript"/>
              </w:rPr>
              <w:t>DNA</w:t>
            </w:r>
          </w:p>
        </w:tc>
      </w:tr>
      <w:tr w:rsidR="00BE5BB4" w:rsidRPr="002D756D" w:rsidTr="00BE5BB4">
        <w:trPr>
          <w:trHeight w:val="60"/>
        </w:trPr>
        <w:tc>
          <w:tcPr>
            <w:tcW w:w="408" w:type="pct"/>
            <w:tcBorders>
              <w:top w:val="nil"/>
              <w:left w:val="nil"/>
              <w:bottom w:val="nil"/>
              <w:right w:val="single" w:sz="4" w:space="0" w:color="auto"/>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6"/>
                <w:szCs w:val="22"/>
              </w:rPr>
            </w:pPr>
            <w:r w:rsidRPr="002D756D">
              <w:rPr>
                <w:rFonts w:eastAsia="Times New Roman" w:cs="Arial"/>
                <w:color w:val="000000"/>
                <w:sz w:val="16"/>
                <w:szCs w:val="22"/>
              </w:rPr>
              <w:t> </w:t>
            </w:r>
          </w:p>
        </w:tc>
        <w:tc>
          <w:tcPr>
            <w:tcW w:w="855" w:type="pct"/>
            <w:vMerge w:val="restart"/>
            <w:tcBorders>
              <w:top w:val="nil"/>
              <w:left w:val="single" w:sz="4" w:space="0" w:color="auto"/>
              <w:bottom w:val="single" w:sz="8" w:space="0" w:color="000000"/>
              <w:right w:val="single" w:sz="4" w:space="0" w:color="auto"/>
            </w:tcBorders>
            <w:shd w:val="clear" w:color="000000" w:fill="BFBFBF"/>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µ</w:t>
            </w:r>
            <w:proofErr w:type="spellStart"/>
            <w:r w:rsidRPr="002D756D">
              <w:rPr>
                <w:rFonts w:eastAsia="Times New Roman" w:cs="Arial"/>
                <w:color w:val="000000"/>
                <w:sz w:val="16"/>
                <w:szCs w:val="22"/>
              </w:rPr>
              <w:t>mol</w:t>
            </w:r>
            <w:proofErr w:type="spellEnd"/>
            <w:r w:rsidRPr="002D756D">
              <w:rPr>
                <w:rFonts w:eastAsia="Times New Roman" w:cs="Arial"/>
                <w:color w:val="000000"/>
                <w:sz w:val="16"/>
                <w:szCs w:val="22"/>
              </w:rPr>
              <w:t xml:space="preserve"> (C</w:t>
            </w:r>
            <w:r w:rsidRPr="002D756D">
              <w:rPr>
                <w:rFonts w:eastAsia="Times New Roman" w:cs="Arial"/>
                <w:color w:val="000000"/>
                <w:sz w:val="16"/>
                <w:szCs w:val="22"/>
                <w:vertAlign w:val="subscript"/>
              </w:rPr>
              <w:t>S</w:t>
            </w:r>
            <w:r w:rsidRPr="002D756D">
              <w:rPr>
                <w:rFonts w:eastAsia="Times New Roman" w:cs="Arial"/>
                <w:color w:val="000000"/>
                <w:sz w:val="16"/>
                <w:szCs w:val="22"/>
              </w:rPr>
              <w:t>) ml</w:t>
            </w:r>
            <w:r w:rsidRPr="002D756D">
              <w:rPr>
                <w:rFonts w:eastAsia="Times New Roman" w:cs="Arial"/>
                <w:color w:val="000000"/>
                <w:sz w:val="16"/>
                <w:szCs w:val="22"/>
                <w:vertAlign w:val="superscript"/>
              </w:rPr>
              <w:t>-1</w:t>
            </w:r>
            <w:r w:rsidRPr="002D756D">
              <w:rPr>
                <w:rFonts w:eastAsia="Times New Roman" w:cs="Arial"/>
                <w:color w:val="000000"/>
                <w:sz w:val="16"/>
                <w:szCs w:val="22"/>
              </w:rPr>
              <w:t xml:space="preserve"> [µ</w:t>
            </w:r>
            <w:proofErr w:type="spellStart"/>
            <w:r w:rsidRPr="002D756D">
              <w:rPr>
                <w:rFonts w:eastAsia="Times New Roman" w:cs="Arial"/>
                <w:color w:val="000000"/>
                <w:sz w:val="16"/>
                <w:szCs w:val="22"/>
              </w:rPr>
              <w:t>mol</w:t>
            </w:r>
            <w:proofErr w:type="spellEnd"/>
            <w:r w:rsidRPr="002D756D">
              <w:rPr>
                <w:rFonts w:eastAsia="Times New Roman" w:cs="Arial"/>
                <w:color w:val="000000"/>
                <w:sz w:val="16"/>
                <w:szCs w:val="22"/>
              </w:rPr>
              <w:t>(C</w:t>
            </w:r>
            <w:r w:rsidRPr="002D756D">
              <w:rPr>
                <w:rFonts w:eastAsia="Times New Roman" w:cs="Arial"/>
                <w:color w:val="000000"/>
                <w:sz w:val="16"/>
                <w:szCs w:val="22"/>
                <w:vertAlign w:val="subscript"/>
              </w:rPr>
              <w:t>MB</w:t>
            </w:r>
            <w:r w:rsidRPr="002D756D">
              <w:rPr>
                <w:rFonts w:eastAsia="Times New Roman" w:cs="Arial"/>
                <w:color w:val="000000"/>
                <w:sz w:val="16"/>
                <w:szCs w:val="22"/>
              </w:rPr>
              <w:t>)ml</w:t>
            </w:r>
            <w:r w:rsidRPr="002D756D">
              <w:rPr>
                <w:rFonts w:eastAsia="Times New Roman" w:cs="Arial"/>
                <w:color w:val="000000"/>
                <w:sz w:val="16"/>
                <w:szCs w:val="22"/>
                <w:vertAlign w:val="superscript"/>
              </w:rPr>
              <w:t>-1</w:t>
            </w:r>
            <w:r w:rsidRPr="002D756D">
              <w:rPr>
                <w:rFonts w:eastAsia="Times New Roman" w:cs="Arial"/>
                <w:color w:val="000000"/>
                <w:sz w:val="16"/>
                <w:szCs w:val="22"/>
              </w:rPr>
              <w:t>]</w:t>
            </w:r>
            <w:r w:rsidRPr="002D756D">
              <w:rPr>
                <w:rFonts w:eastAsia="Times New Roman" w:cs="Arial"/>
                <w:color w:val="000000"/>
                <w:sz w:val="16"/>
                <w:szCs w:val="22"/>
                <w:vertAlign w:val="superscript"/>
              </w:rPr>
              <w:t>-1</w:t>
            </w:r>
            <w:r w:rsidRPr="002D756D">
              <w:rPr>
                <w:rFonts w:eastAsia="Times New Roman" w:cs="Arial"/>
                <w:color w:val="000000"/>
                <w:sz w:val="16"/>
                <w:szCs w:val="22"/>
              </w:rPr>
              <w:t xml:space="preserve"> h</w:t>
            </w:r>
            <w:r w:rsidRPr="002D756D">
              <w:rPr>
                <w:rFonts w:eastAsia="Times New Roman" w:cs="Arial"/>
                <w:color w:val="000000"/>
                <w:sz w:val="16"/>
                <w:szCs w:val="22"/>
                <w:vertAlign w:val="superscript"/>
              </w:rPr>
              <w:t>-1</w:t>
            </w:r>
          </w:p>
        </w:tc>
        <w:tc>
          <w:tcPr>
            <w:tcW w:w="408" w:type="pct"/>
            <w:vMerge w:val="restart"/>
            <w:tcBorders>
              <w:top w:val="nil"/>
              <w:left w:val="single" w:sz="4" w:space="0" w:color="auto"/>
              <w:bottom w:val="single" w:sz="8" w:space="0" w:color="000000"/>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µ</w:t>
            </w:r>
            <w:proofErr w:type="spellStart"/>
            <w:r w:rsidRPr="002D756D">
              <w:rPr>
                <w:rFonts w:eastAsia="Times New Roman" w:cs="Arial"/>
                <w:color w:val="000000"/>
                <w:sz w:val="16"/>
                <w:szCs w:val="22"/>
              </w:rPr>
              <w:t>mol</w:t>
            </w:r>
            <w:proofErr w:type="spellEnd"/>
            <w:r w:rsidRPr="002D756D">
              <w:rPr>
                <w:rFonts w:eastAsia="Times New Roman" w:cs="Arial"/>
                <w:color w:val="000000"/>
                <w:sz w:val="16"/>
                <w:szCs w:val="22"/>
              </w:rPr>
              <w:t xml:space="preserve"> ml</w:t>
            </w:r>
            <w:r w:rsidRPr="002D756D">
              <w:rPr>
                <w:rFonts w:eastAsia="Times New Roman" w:cs="Arial"/>
                <w:color w:val="000000"/>
                <w:sz w:val="16"/>
                <w:szCs w:val="22"/>
                <w:vertAlign w:val="superscript"/>
              </w:rPr>
              <w:t>-1</w:t>
            </w:r>
          </w:p>
        </w:tc>
        <w:tc>
          <w:tcPr>
            <w:tcW w:w="817" w:type="pct"/>
            <w:vMerge w:val="restart"/>
            <w:tcBorders>
              <w:top w:val="nil"/>
              <w:left w:val="single" w:sz="4" w:space="0" w:color="auto"/>
              <w:bottom w:val="single" w:sz="8" w:space="0" w:color="000000"/>
              <w:right w:val="single" w:sz="4" w:space="0" w:color="auto"/>
            </w:tcBorders>
            <w:shd w:val="clear" w:color="000000" w:fill="BFBFBF"/>
            <w:noWrap/>
            <w:vAlign w:val="bottom"/>
            <w:hideMark/>
          </w:tcPr>
          <w:p w:rsidR="00BE5BB4" w:rsidRPr="002D756D" w:rsidRDefault="00BE5BB4" w:rsidP="00773B1C">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µ</w:t>
            </w:r>
            <w:proofErr w:type="spellStart"/>
            <w:r w:rsidRPr="002D756D">
              <w:rPr>
                <w:rFonts w:eastAsia="Times New Roman" w:cs="Arial"/>
                <w:color w:val="000000"/>
                <w:sz w:val="16"/>
                <w:szCs w:val="22"/>
              </w:rPr>
              <w:t>mol</w:t>
            </w:r>
            <w:proofErr w:type="spellEnd"/>
            <w:r w:rsidRPr="002D756D">
              <w:rPr>
                <w:rFonts w:eastAsia="Times New Roman" w:cs="Arial"/>
                <w:color w:val="000000"/>
                <w:sz w:val="16"/>
                <w:szCs w:val="22"/>
              </w:rPr>
              <w:t xml:space="preserve"> (R) h</w:t>
            </w:r>
            <w:r w:rsidRPr="002D756D">
              <w:rPr>
                <w:rFonts w:eastAsia="Times New Roman" w:cs="Arial"/>
                <w:color w:val="000000"/>
                <w:sz w:val="16"/>
                <w:szCs w:val="22"/>
                <w:vertAlign w:val="superscript"/>
              </w:rPr>
              <w:t>-1</w:t>
            </w:r>
          </w:p>
        </w:tc>
        <w:tc>
          <w:tcPr>
            <w:tcW w:w="408" w:type="pct"/>
            <w:vMerge w:val="restart"/>
            <w:tcBorders>
              <w:top w:val="nil"/>
              <w:left w:val="single" w:sz="4" w:space="0" w:color="auto"/>
              <w:bottom w:val="single" w:sz="8" w:space="0" w:color="000000"/>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proofErr w:type="spellStart"/>
            <w:r w:rsidRPr="002D756D">
              <w:rPr>
                <w:rFonts w:eastAsia="Times New Roman" w:cs="Arial"/>
                <w:color w:val="000000"/>
                <w:sz w:val="16"/>
                <w:szCs w:val="22"/>
              </w:rPr>
              <w:t>unitless</w:t>
            </w:r>
            <w:proofErr w:type="spellEnd"/>
          </w:p>
        </w:tc>
        <w:tc>
          <w:tcPr>
            <w:tcW w:w="877" w:type="pct"/>
            <w:vMerge w:val="restart"/>
            <w:tcBorders>
              <w:top w:val="nil"/>
              <w:left w:val="single" w:sz="4" w:space="0" w:color="auto"/>
              <w:bottom w:val="single" w:sz="8" w:space="0" w:color="000000"/>
              <w:right w:val="single" w:sz="4" w:space="0" w:color="auto"/>
            </w:tcBorders>
            <w:shd w:val="clear" w:color="000000" w:fill="BFBFBF"/>
            <w:vAlign w:val="bottom"/>
            <w:hideMark/>
          </w:tcPr>
          <w:p w:rsidR="00BE5BB4" w:rsidRPr="002D756D" w:rsidRDefault="00BE5BB4" w:rsidP="00773B1C">
            <w:pPr>
              <w:spacing w:before="0" w:after="0" w:line="480" w:lineRule="auto"/>
              <w:jc w:val="center"/>
              <w:rPr>
                <w:rFonts w:eastAsia="Times New Roman" w:cs="Arial"/>
                <w:color w:val="000000"/>
                <w:sz w:val="16"/>
                <w:szCs w:val="22"/>
              </w:rPr>
            </w:pPr>
            <w:proofErr w:type="spellStart"/>
            <w:r w:rsidRPr="002D756D">
              <w:rPr>
                <w:rFonts w:eastAsia="Times New Roman" w:cs="Arial"/>
                <w:color w:val="000000"/>
                <w:sz w:val="16"/>
                <w:szCs w:val="22"/>
              </w:rPr>
              <w:t>nmol</w:t>
            </w:r>
            <w:proofErr w:type="spellEnd"/>
            <w:r w:rsidRPr="002D756D">
              <w:rPr>
                <w:rFonts w:eastAsia="Times New Roman" w:cs="Arial"/>
                <w:color w:val="000000"/>
                <w:sz w:val="16"/>
                <w:szCs w:val="22"/>
              </w:rPr>
              <w:t xml:space="preserve"> (CO</w:t>
            </w:r>
            <w:r w:rsidRPr="002D756D">
              <w:rPr>
                <w:rFonts w:eastAsia="Times New Roman" w:cs="Arial"/>
                <w:color w:val="000000"/>
                <w:sz w:val="16"/>
                <w:szCs w:val="22"/>
                <w:vertAlign w:val="subscript"/>
              </w:rPr>
              <w:t>2</w:t>
            </w:r>
            <w:r w:rsidRPr="002D756D">
              <w:rPr>
                <w:rFonts w:eastAsia="Times New Roman" w:cs="Arial"/>
                <w:color w:val="000000"/>
                <w:sz w:val="16"/>
                <w:szCs w:val="22"/>
              </w:rPr>
              <w:t>) [µ</w:t>
            </w:r>
            <w:proofErr w:type="spellStart"/>
            <w:r w:rsidRPr="002D756D">
              <w:rPr>
                <w:rFonts w:eastAsia="Times New Roman" w:cs="Arial"/>
                <w:color w:val="000000"/>
                <w:sz w:val="16"/>
                <w:szCs w:val="22"/>
              </w:rPr>
              <w:t>mol</w:t>
            </w:r>
            <w:proofErr w:type="spellEnd"/>
            <w:r w:rsidRPr="002D756D">
              <w:rPr>
                <w:rFonts w:eastAsia="Times New Roman" w:cs="Arial"/>
                <w:color w:val="000000"/>
                <w:sz w:val="16"/>
                <w:szCs w:val="22"/>
              </w:rPr>
              <w:t>(S</w:t>
            </w:r>
            <w:bookmarkStart w:id="27" w:name="_GoBack"/>
            <w:bookmarkEnd w:id="27"/>
            <w:r w:rsidRPr="002D756D">
              <w:rPr>
                <w:rFonts w:eastAsia="Times New Roman" w:cs="Arial"/>
                <w:color w:val="000000"/>
                <w:sz w:val="16"/>
                <w:szCs w:val="22"/>
              </w:rPr>
              <w:t>)]</w:t>
            </w:r>
            <w:r w:rsidRPr="002D756D">
              <w:rPr>
                <w:rFonts w:eastAsia="Times New Roman" w:cs="Arial"/>
                <w:color w:val="000000"/>
                <w:sz w:val="16"/>
                <w:szCs w:val="22"/>
                <w:vertAlign w:val="superscript"/>
              </w:rPr>
              <w:t>-1</w:t>
            </w:r>
            <w:r w:rsidRPr="002D756D">
              <w:rPr>
                <w:rFonts w:eastAsia="Times New Roman" w:cs="Arial"/>
                <w:color w:val="000000"/>
                <w:sz w:val="16"/>
                <w:szCs w:val="22"/>
              </w:rPr>
              <w:t xml:space="preserve"> h</w:t>
            </w:r>
            <w:r w:rsidRPr="002D756D">
              <w:rPr>
                <w:rFonts w:eastAsia="Times New Roman" w:cs="Arial"/>
                <w:color w:val="000000"/>
                <w:sz w:val="16"/>
                <w:szCs w:val="22"/>
                <w:vertAlign w:val="superscript"/>
              </w:rPr>
              <w:t>-1</w:t>
            </w:r>
          </w:p>
        </w:tc>
        <w:tc>
          <w:tcPr>
            <w:tcW w:w="1225" w:type="pct"/>
            <w:gridSpan w:val="3"/>
            <w:vMerge w:val="restart"/>
            <w:tcBorders>
              <w:top w:val="nil"/>
              <w:left w:val="single" w:sz="4" w:space="0" w:color="auto"/>
              <w:bottom w:val="single" w:sz="8" w:space="0" w:color="000000"/>
              <w:right w:val="single" w:sz="4" w:space="0" w:color="auto"/>
            </w:tcBorders>
            <w:shd w:val="clear" w:color="000000" w:fill="BFBFBF"/>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w:t>
            </w:r>
          </w:p>
        </w:tc>
      </w:tr>
      <w:tr w:rsidR="00BE5BB4" w:rsidRPr="002D756D" w:rsidTr="00BE5BB4">
        <w:trPr>
          <w:trHeight w:val="495"/>
        </w:trPr>
        <w:tc>
          <w:tcPr>
            <w:tcW w:w="408" w:type="pct"/>
            <w:tcBorders>
              <w:top w:val="nil"/>
              <w:left w:val="nil"/>
              <w:bottom w:val="single" w:sz="8" w:space="0" w:color="auto"/>
              <w:right w:val="single" w:sz="4" w:space="0" w:color="auto"/>
            </w:tcBorders>
            <w:shd w:val="clear" w:color="000000" w:fill="BFBFBF"/>
            <w:noWrap/>
            <w:vAlign w:val="bottom"/>
            <w:hideMark/>
          </w:tcPr>
          <w:p w:rsidR="00BE5BB4" w:rsidRPr="002D756D" w:rsidRDefault="00BE5BB4" w:rsidP="00BE5BB4">
            <w:pPr>
              <w:spacing w:before="0" w:after="0" w:line="480" w:lineRule="auto"/>
              <w:rPr>
                <w:rFonts w:eastAsia="Times New Roman" w:cs="Arial"/>
                <w:color w:val="000000"/>
                <w:sz w:val="16"/>
                <w:szCs w:val="22"/>
              </w:rPr>
            </w:pPr>
            <w:r w:rsidRPr="002D756D">
              <w:rPr>
                <w:rFonts w:eastAsia="Times New Roman" w:cs="Arial"/>
                <w:color w:val="000000"/>
                <w:sz w:val="16"/>
                <w:szCs w:val="22"/>
              </w:rPr>
              <w:t> </w:t>
            </w:r>
          </w:p>
        </w:tc>
        <w:tc>
          <w:tcPr>
            <w:tcW w:w="855" w:type="pct"/>
            <w:vMerge/>
            <w:tcBorders>
              <w:top w:val="nil"/>
              <w:left w:val="single" w:sz="4" w:space="0" w:color="auto"/>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408" w:type="pct"/>
            <w:vMerge/>
            <w:tcBorders>
              <w:top w:val="nil"/>
              <w:left w:val="single" w:sz="4" w:space="0" w:color="auto"/>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817" w:type="pct"/>
            <w:vMerge/>
            <w:tcBorders>
              <w:top w:val="nil"/>
              <w:left w:val="single" w:sz="4" w:space="0" w:color="auto"/>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408" w:type="pct"/>
            <w:vMerge/>
            <w:tcBorders>
              <w:top w:val="nil"/>
              <w:left w:val="single" w:sz="4" w:space="0" w:color="auto"/>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877" w:type="pct"/>
            <w:vMerge/>
            <w:tcBorders>
              <w:top w:val="nil"/>
              <w:left w:val="single" w:sz="4" w:space="0" w:color="auto"/>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1225" w:type="pct"/>
            <w:gridSpan w:val="3"/>
            <w:vMerge/>
            <w:tcBorders>
              <w:top w:val="nil"/>
              <w:left w:val="single" w:sz="4" w:space="0" w:color="auto"/>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r>
      <w:tr w:rsidR="00BE5BB4" w:rsidRPr="002D756D" w:rsidTr="00BE5BB4">
        <w:trPr>
          <w:trHeight w:val="285"/>
        </w:trPr>
        <w:tc>
          <w:tcPr>
            <w:tcW w:w="408" w:type="pct"/>
            <w:vMerge w:val="restar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BROTH</w:t>
            </w:r>
          </w:p>
        </w:tc>
        <w:tc>
          <w:tcPr>
            <w:tcW w:w="855"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0.5</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17.7</w:t>
            </w:r>
          </w:p>
        </w:tc>
        <w:tc>
          <w:tcPr>
            <w:tcW w:w="817"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3.2</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0.6</w:t>
            </w:r>
          </w:p>
        </w:tc>
        <w:tc>
          <w:tcPr>
            <w:tcW w:w="877"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4.8</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99.8</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4.4</w:t>
            </w:r>
          </w:p>
        </w:tc>
        <w:tc>
          <w:tcPr>
            <w:tcW w:w="408"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0.6</w:t>
            </w:r>
          </w:p>
        </w:tc>
      </w:tr>
      <w:tr w:rsidR="00BE5BB4" w:rsidRPr="002D756D" w:rsidTr="00BE5BB4">
        <w:trPr>
          <w:trHeight w:val="285"/>
        </w:trPr>
        <w:tc>
          <w:tcPr>
            <w:tcW w:w="408"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855"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0.1</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3.6</w:t>
            </w:r>
          </w:p>
        </w:tc>
        <w:tc>
          <w:tcPr>
            <w:tcW w:w="817"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2.2</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0.1</w:t>
            </w:r>
          </w:p>
        </w:tc>
        <w:tc>
          <w:tcPr>
            <w:tcW w:w="877"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2.5</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27.5</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1.4</w:t>
            </w:r>
          </w:p>
        </w:tc>
        <w:tc>
          <w:tcPr>
            <w:tcW w:w="408"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0.2</w:t>
            </w:r>
          </w:p>
        </w:tc>
      </w:tr>
      <w:tr w:rsidR="00BE5BB4" w:rsidRPr="002D756D" w:rsidTr="00BE5BB4">
        <w:trPr>
          <w:trHeight w:val="285"/>
        </w:trPr>
        <w:tc>
          <w:tcPr>
            <w:tcW w:w="408" w:type="pct"/>
            <w:vMerge w:val="restar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GLASS</w:t>
            </w:r>
          </w:p>
        </w:tc>
        <w:tc>
          <w:tcPr>
            <w:tcW w:w="855"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0.3</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5.0</w:t>
            </w:r>
          </w:p>
        </w:tc>
        <w:tc>
          <w:tcPr>
            <w:tcW w:w="817"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7.5</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0.6</w:t>
            </w:r>
          </w:p>
        </w:tc>
        <w:tc>
          <w:tcPr>
            <w:tcW w:w="877"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4.2</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58.8</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4.1</w:t>
            </w:r>
          </w:p>
        </w:tc>
        <w:tc>
          <w:tcPr>
            <w:tcW w:w="408"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0.3</w:t>
            </w:r>
          </w:p>
        </w:tc>
      </w:tr>
      <w:tr w:rsidR="00BE5BB4" w:rsidRPr="002D756D" w:rsidTr="00BE5BB4">
        <w:trPr>
          <w:trHeight w:val="285"/>
        </w:trPr>
        <w:tc>
          <w:tcPr>
            <w:tcW w:w="408" w:type="pct"/>
            <w:vMerge/>
            <w:tcBorders>
              <w:top w:val="nil"/>
              <w:left w:val="nil"/>
              <w:bottom w:val="nil"/>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855"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0.0</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2.6</w:t>
            </w:r>
          </w:p>
        </w:tc>
        <w:tc>
          <w:tcPr>
            <w:tcW w:w="817"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3.4</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0.1</w:t>
            </w:r>
          </w:p>
        </w:tc>
        <w:tc>
          <w:tcPr>
            <w:tcW w:w="877"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2.7</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26.6</w:t>
            </w:r>
          </w:p>
        </w:tc>
        <w:tc>
          <w:tcPr>
            <w:tcW w:w="408" w:type="pct"/>
            <w:tcBorders>
              <w:top w:val="nil"/>
              <w:left w:val="nil"/>
              <w:bottom w:val="nil"/>
              <w:right w:val="single" w:sz="4" w:space="0" w:color="auto"/>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2.3</w:t>
            </w:r>
          </w:p>
        </w:tc>
        <w:tc>
          <w:tcPr>
            <w:tcW w:w="408" w:type="pct"/>
            <w:tcBorders>
              <w:top w:val="nil"/>
              <w:left w:val="nil"/>
              <w:bottom w:val="nil"/>
              <w:right w:val="nil"/>
            </w:tcBorders>
            <w:shd w:val="clear" w:color="000000" w:fill="F2F2F2"/>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0.1</w:t>
            </w:r>
          </w:p>
        </w:tc>
      </w:tr>
      <w:tr w:rsidR="00BE5BB4" w:rsidRPr="002D756D" w:rsidTr="00BE5BB4">
        <w:trPr>
          <w:trHeight w:val="285"/>
        </w:trPr>
        <w:tc>
          <w:tcPr>
            <w:tcW w:w="408" w:type="pct"/>
            <w:vMerge w:val="restart"/>
            <w:tcBorders>
              <w:top w:val="nil"/>
              <w:left w:val="nil"/>
              <w:bottom w:val="single" w:sz="8" w:space="0" w:color="000000"/>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WOOL</w:t>
            </w:r>
          </w:p>
        </w:tc>
        <w:tc>
          <w:tcPr>
            <w:tcW w:w="855"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0.3</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2.5</w:t>
            </w:r>
          </w:p>
        </w:tc>
        <w:tc>
          <w:tcPr>
            <w:tcW w:w="817"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3.1</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0.6</w:t>
            </w:r>
          </w:p>
        </w:tc>
        <w:tc>
          <w:tcPr>
            <w:tcW w:w="877"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2.9</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29.4</w:t>
            </w:r>
          </w:p>
        </w:tc>
        <w:tc>
          <w:tcPr>
            <w:tcW w:w="408" w:type="pct"/>
            <w:tcBorders>
              <w:top w:val="nil"/>
              <w:left w:val="nil"/>
              <w:bottom w:val="nil"/>
              <w:right w:val="single" w:sz="4" w:space="0" w:color="auto"/>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6.3</w:t>
            </w:r>
          </w:p>
        </w:tc>
        <w:tc>
          <w:tcPr>
            <w:tcW w:w="408" w:type="pct"/>
            <w:tcBorders>
              <w:top w:val="nil"/>
              <w:left w:val="nil"/>
              <w:bottom w:val="nil"/>
              <w:right w:val="nil"/>
            </w:tcBorders>
            <w:shd w:val="clear" w:color="auto" w:fill="auto"/>
            <w:noWrap/>
            <w:vAlign w:val="bottom"/>
            <w:hideMark/>
          </w:tcPr>
          <w:p w:rsidR="00BE5BB4" w:rsidRPr="002D756D" w:rsidRDefault="00BE5BB4" w:rsidP="00BE5BB4">
            <w:pPr>
              <w:spacing w:before="0" w:after="0" w:line="480" w:lineRule="auto"/>
              <w:jc w:val="center"/>
              <w:rPr>
                <w:rFonts w:eastAsia="Times New Roman" w:cs="Arial"/>
                <w:color w:val="000000"/>
                <w:sz w:val="16"/>
                <w:szCs w:val="22"/>
              </w:rPr>
            </w:pPr>
            <w:r w:rsidRPr="002D756D">
              <w:rPr>
                <w:rFonts w:eastAsia="Times New Roman" w:cs="Arial"/>
                <w:color w:val="000000"/>
                <w:sz w:val="16"/>
                <w:szCs w:val="22"/>
              </w:rPr>
              <w:t>0.5</w:t>
            </w:r>
          </w:p>
        </w:tc>
      </w:tr>
      <w:tr w:rsidR="00BE5BB4" w:rsidRPr="002D756D" w:rsidTr="00BE5BB4">
        <w:trPr>
          <w:trHeight w:val="300"/>
        </w:trPr>
        <w:tc>
          <w:tcPr>
            <w:tcW w:w="408" w:type="pct"/>
            <w:vMerge/>
            <w:tcBorders>
              <w:top w:val="nil"/>
              <w:left w:val="nil"/>
              <w:bottom w:val="single" w:sz="8" w:space="0" w:color="000000"/>
              <w:right w:val="single" w:sz="4" w:space="0" w:color="auto"/>
            </w:tcBorders>
            <w:vAlign w:val="center"/>
            <w:hideMark/>
          </w:tcPr>
          <w:p w:rsidR="00BE5BB4" w:rsidRPr="002D756D" w:rsidRDefault="00BE5BB4" w:rsidP="00BE5BB4">
            <w:pPr>
              <w:spacing w:before="0" w:after="0" w:line="480" w:lineRule="auto"/>
              <w:rPr>
                <w:rFonts w:eastAsia="Times New Roman" w:cs="Arial"/>
                <w:color w:val="000000"/>
                <w:sz w:val="16"/>
                <w:szCs w:val="22"/>
              </w:rPr>
            </w:pPr>
          </w:p>
        </w:tc>
        <w:tc>
          <w:tcPr>
            <w:tcW w:w="855"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0.0</w:t>
            </w:r>
          </w:p>
        </w:tc>
        <w:tc>
          <w:tcPr>
            <w:tcW w:w="408"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1.5</w:t>
            </w:r>
          </w:p>
        </w:tc>
        <w:tc>
          <w:tcPr>
            <w:tcW w:w="817"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2.8</w:t>
            </w:r>
          </w:p>
        </w:tc>
        <w:tc>
          <w:tcPr>
            <w:tcW w:w="408"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0.1</w:t>
            </w:r>
          </w:p>
        </w:tc>
        <w:tc>
          <w:tcPr>
            <w:tcW w:w="877"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2.6</w:t>
            </w:r>
          </w:p>
        </w:tc>
        <w:tc>
          <w:tcPr>
            <w:tcW w:w="408"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21.4</w:t>
            </w:r>
          </w:p>
        </w:tc>
        <w:tc>
          <w:tcPr>
            <w:tcW w:w="408" w:type="pct"/>
            <w:tcBorders>
              <w:top w:val="nil"/>
              <w:left w:val="nil"/>
              <w:bottom w:val="single" w:sz="8" w:space="0" w:color="auto"/>
              <w:right w:val="single" w:sz="4" w:space="0" w:color="auto"/>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2.2</w:t>
            </w:r>
          </w:p>
        </w:tc>
        <w:tc>
          <w:tcPr>
            <w:tcW w:w="408" w:type="pct"/>
            <w:tcBorders>
              <w:top w:val="nil"/>
              <w:left w:val="nil"/>
              <w:bottom w:val="single" w:sz="8" w:space="0" w:color="auto"/>
              <w:right w:val="nil"/>
            </w:tcBorders>
            <w:shd w:val="clear" w:color="auto" w:fill="auto"/>
            <w:noWrap/>
            <w:vAlign w:val="bottom"/>
            <w:hideMark/>
          </w:tcPr>
          <w:p w:rsidR="00BE5BB4" w:rsidRPr="002D756D" w:rsidRDefault="00BE5BB4" w:rsidP="00BE5BB4">
            <w:pPr>
              <w:spacing w:before="0" w:after="0" w:line="480" w:lineRule="auto"/>
              <w:jc w:val="right"/>
              <w:rPr>
                <w:rFonts w:eastAsia="Times New Roman" w:cs="Arial"/>
                <w:i/>
                <w:iCs/>
                <w:color w:val="000000"/>
                <w:sz w:val="16"/>
                <w:szCs w:val="22"/>
              </w:rPr>
            </w:pPr>
            <w:r w:rsidRPr="002D756D">
              <w:rPr>
                <w:rFonts w:eastAsia="Times New Roman" w:cs="Arial"/>
                <w:i/>
                <w:iCs/>
                <w:color w:val="000000"/>
                <w:sz w:val="16"/>
                <w:szCs w:val="22"/>
              </w:rPr>
              <w:t>0.2</w:t>
            </w:r>
          </w:p>
        </w:tc>
      </w:tr>
    </w:tbl>
    <w:p w:rsidR="00424F1C" w:rsidRPr="00BE5BB4" w:rsidRDefault="00BE5BB4" w:rsidP="00BE5BB4">
      <w:pPr>
        <w:pStyle w:val="Heading2"/>
        <w:spacing w:before="0" w:line="480" w:lineRule="auto"/>
        <w:rPr>
          <w:rFonts w:asciiTheme="minorHAnsi" w:hAnsiTheme="minorHAnsi"/>
          <w:sz w:val="22"/>
          <w:szCs w:val="22"/>
        </w:rPr>
      </w:pPr>
      <w:bookmarkStart w:id="28" w:name="figures"/>
      <w:bookmarkEnd w:id="26"/>
      <w:r w:rsidRPr="00BE5BB4">
        <w:rPr>
          <w:rFonts w:asciiTheme="minorHAnsi" w:hAnsiTheme="minorHAnsi"/>
          <w:sz w:val="22"/>
          <w:szCs w:val="22"/>
        </w:rPr>
        <w:lastRenderedPageBreak/>
        <w:t>Figures</w:t>
      </w:r>
    </w:p>
    <w:p w:rsidR="00BE5BB4" w:rsidRPr="00BE5BB4" w:rsidRDefault="00BE5BB4" w:rsidP="00BE5BB4">
      <w:pPr>
        <w:pStyle w:val="Heading2"/>
        <w:spacing w:before="0" w:line="480" w:lineRule="auto"/>
        <w:rPr>
          <w:rFonts w:asciiTheme="minorHAnsi" w:hAnsiTheme="minorHAnsi" w:cs="Arial"/>
          <w:sz w:val="22"/>
          <w:szCs w:val="22"/>
        </w:rPr>
      </w:pPr>
    </w:p>
    <w:p w:rsidR="00BE5BB4" w:rsidRPr="00BE5BB4" w:rsidRDefault="00BE5BB4" w:rsidP="00BE5BB4">
      <w:pPr>
        <w:spacing w:before="0" w:line="480" w:lineRule="auto"/>
        <w:jc w:val="center"/>
        <w:rPr>
          <w:sz w:val="22"/>
          <w:szCs w:val="22"/>
        </w:rPr>
      </w:pPr>
      <w:r w:rsidRPr="00BE5BB4">
        <w:rPr>
          <w:noProof/>
          <w:sz w:val="22"/>
          <w:szCs w:val="22"/>
        </w:rPr>
        <w:drawing>
          <wp:inline distT="0" distB="0" distL="0" distR="0" wp14:anchorId="11DBDE09" wp14:editId="3AE1B751">
            <wp:extent cx="26182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1636" cy="3509800"/>
                    </a:xfrm>
                    <a:prstGeom prst="rect">
                      <a:avLst/>
                    </a:prstGeom>
                  </pic:spPr>
                </pic:pic>
              </a:graphicData>
            </a:graphic>
          </wp:inline>
        </w:drawing>
      </w:r>
    </w:p>
    <w:p w:rsidR="00BE5BB4" w:rsidRPr="00BE5BB4" w:rsidRDefault="00BE5BB4" w:rsidP="00BE5BB4">
      <w:pPr>
        <w:spacing w:before="0" w:line="480" w:lineRule="auto"/>
        <w:rPr>
          <w:sz w:val="22"/>
          <w:szCs w:val="22"/>
        </w:rPr>
      </w:pPr>
      <w:r w:rsidRPr="00BE5BB4">
        <w:rPr>
          <w:b/>
          <w:sz w:val="22"/>
          <w:szCs w:val="22"/>
        </w:rPr>
        <w:t>Fig. 1:</w:t>
      </w:r>
      <w:r w:rsidRPr="00BE5BB4">
        <w:rPr>
          <w:sz w:val="22"/>
          <w:szCs w:val="22"/>
        </w:rPr>
        <w:t xml:space="preserve"> Schematic representation of three models (Monod, MEND and DB) simulating coupled dynamic of organic substrate (C</w:t>
      </w:r>
      <w:r w:rsidRPr="00BE5BB4">
        <w:rPr>
          <w:sz w:val="22"/>
          <w:szCs w:val="22"/>
          <w:vertAlign w:val="subscript"/>
        </w:rPr>
        <w:t>S</w:t>
      </w:r>
      <w:r w:rsidRPr="00BE5BB4">
        <w:rPr>
          <w:sz w:val="22"/>
          <w:szCs w:val="22"/>
        </w:rPr>
        <w:t>) and microbial biomass (C</w:t>
      </w:r>
      <w:r w:rsidRPr="00BE5BB4">
        <w:rPr>
          <w:sz w:val="22"/>
          <w:szCs w:val="22"/>
          <w:vertAlign w:val="subscript"/>
        </w:rPr>
        <w:t>MB</w:t>
      </w:r>
      <w:r w:rsidRPr="00BE5BB4">
        <w:rPr>
          <w:sz w:val="22"/>
          <w:szCs w:val="22"/>
        </w:rPr>
        <w:t>) on per carbon basis leading to CO</w:t>
      </w:r>
      <w:r w:rsidRPr="00BE5BB4">
        <w:rPr>
          <w:sz w:val="22"/>
          <w:szCs w:val="22"/>
          <w:vertAlign w:val="subscript"/>
        </w:rPr>
        <w:t>2</w:t>
      </w:r>
      <w:r w:rsidRPr="00BE5BB4">
        <w:rPr>
          <w:sz w:val="22"/>
          <w:szCs w:val="22"/>
        </w:rPr>
        <w:t xml:space="preserve"> production. Squares represent pools and arrows represent. DB model defines two pools of microbial biomass, i.e. Reserves (R) and Structures (S).  </w:t>
      </w:r>
    </w:p>
    <w:p w:rsidR="00BE5BB4" w:rsidRPr="00BE5BB4" w:rsidRDefault="00BE5BB4" w:rsidP="00BE5BB4">
      <w:pPr>
        <w:spacing w:before="0" w:line="480" w:lineRule="auto"/>
        <w:jc w:val="center"/>
        <w:rPr>
          <w:sz w:val="22"/>
          <w:szCs w:val="22"/>
        </w:rPr>
      </w:pPr>
      <w:r w:rsidRPr="00BE5BB4">
        <w:rPr>
          <w:noProof/>
          <w:sz w:val="22"/>
          <w:szCs w:val="22"/>
        </w:rPr>
        <w:lastRenderedPageBreak/>
        <w:drawing>
          <wp:inline distT="0" distB="0" distL="0" distR="0" wp14:anchorId="0042732D" wp14:editId="1049232C">
            <wp:extent cx="3389257" cy="338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3204" cy="3388492"/>
                    </a:xfrm>
                    <a:prstGeom prst="rect">
                      <a:avLst/>
                    </a:prstGeom>
                  </pic:spPr>
                </pic:pic>
              </a:graphicData>
            </a:graphic>
          </wp:inline>
        </w:drawing>
      </w:r>
    </w:p>
    <w:p w:rsidR="00BE5BB4" w:rsidRPr="00BE5BB4" w:rsidRDefault="00BE5BB4" w:rsidP="00BE5BB4">
      <w:pPr>
        <w:spacing w:before="0" w:line="480" w:lineRule="auto"/>
        <w:rPr>
          <w:sz w:val="22"/>
          <w:szCs w:val="22"/>
        </w:rPr>
      </w:pPr>
      <w:r w:rsidRPr="00BE5BB4">
        <w:rPr>
          <w:b/>
          <w:sz w:val="22"/>
          <w:szCs w:val="22"/>
        </w:rPr>
        <w:t>Fig. 2:</w:t>
      </w:r>
      <w:r w:rsidRPr="00BE5BB4">
        <w:rPr>
          <w:sz w:val="22"/>
          <w:szCs w:val="22"/>
        </w:rPr>
        <w:t xml:space="preserve"> The dynamic of cellular proteins (black symbols) and DNA (grey symbols) in time (mean and corresponding standard deviation are shown).  Filled circles and triangles represent measured cellular proteins and DNA concentration in Glucose and </w:t>
      </w:r>
      <w:proofErr w:type="spellStart"/>
      <w:r w:rsidRPr="00BE5BB4">
        <w:rPr>
          <w:sz w:val="22"/>
          <w:szCs w:val="22"/>
        </w:rPr>
        <w:t>Cellobiose</w:t>
      </w:r>
      <w:proofErr w:type="spellEnd"/>
      <w:r w:rsidRPr="00BE5BB4">
        <w:rPr>
          <w:sz w:val="22"/>
          <w:szCs w:val="22"/>
        </w:rPr>
        <w:t xml:space="preserve"> treatments respectively. Black and grey lines represent DB model simulation of DNA and cellular proteins temporal dynamic respectively. Data and model simulation is shown for three different levels of structural complexity treatment (BROTH, GLASS and WOOL) separately. Note that the left (cellular proteins) and right (DNA) y-axis have different scales.</w:t>
      </w:r>
    </w:p>
    <w:p w:rsidR="00BE5BB4" w:rsidRPr="00BE5BB4" w:rsidRDefault="00BE5BB4" w:rsidP="00BE5BB4">
      <w:pPr>
        <w:spacing w:before="0" w:line="480" w:lineRule="auto"/>
        <w:rPr>
          <w:sz w:val="22"/>
          <w:szCs w:val="22"/>
        </w:rPr>
      </w:pPr>
    </w:p>
    <w:p w:rsidR="00BE5BB4" w:rsidRPr="00BE5BB4" w:rsidRDefault="00BE5BB4" w:rsidP="00BE5BB4">
      <w:pPr>
        <w:spacing w:before="0" w:line="480" w:lineRule="auto"/>
        <w:rPr>
          <w:sz w:val="22"/>
          <w:szCs w:val="22"/>
        </w:rPr>
      </w:pPr>
      <w:r w:rsidRPr="00BE5BB4">
        <w:rPr>
          <w:noProof/>
          <w:sz w:val="22"/>
          <w:szCs w:val="22"/>
        </w:rPr>
        <w:lastRenderedPageBreak/>
        <w:drawing>
          <wp:inline distT="0" distB="0" distL="0" distR="0" wp14:anchorId="60D70DB3" wp14:editId="35357582">
            <wp:extent cx="5943600" cy="3371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1215"/>
                    </a:xfrm>
                    <a:prstGeom prst="rect">
                      <a:avLst/>
                    </a:prstGeom>
                  </pic:spPr>
                </pic:pic>
              </a:graphicData>
            </a:graphic>
          </wp:inline>
        </w:drawing>
      </w:r>
    </w:p>
    <w:p w:rsidR="00BE5BB4" w:rsidRPr="00BE5BB4" w:rsidRDefault="00BE5BB4" w:rsidP="00BE5BB4">
      <w:pPr>
        <w:spacing w:before="0" w:line="480" w:lineRule="auto"/>
        <w:rPr>
          <w:sz w:val="22"/>
          <w:szCs w:val="22"/>
        </w:rPr>
      </w:pPr>
      <w:r w:rsidRPr="00BE5BB4">
        <w:rPr>
          <w:b/>
          <w:sz w:val="22"/>
          <w:szCs w:val="22"/>
        </w:rPr>
        <w:t>Fig. 3:</w:t>
      </w:r>
      <w:r w:rsidRPr="00BE5BB4">
        <w:rPr>
          <w:sz w:val="22"/>
          <w:szCs w:val="22"/>
        </w:rPr>
        <w:t xml:space="preserve"> Monod (a) and MEND (b) model parameters (V</w:t>
      </w:r>
      <w:r w:rsidRPr="00BE5BB4">
        <w:rPr>
          <w:sz w:val="22"/>
          <w:szCs w:val="22"/>
          <w:vertAlign w:val="subscript"/>
        </w:rPr>
        <w:t>MAX</w:t>
      </w:r>
      <w:r w:rsidRPr="00BE5BB4">
        <w:rPr>
          <w:sz w:val="22"/>
          <w:szCs w:val="22"/>
        </w:rPr>
        <w:t xml:space="preserve"> – maximum velocity constant, K</w:t>
      </w:r>
      <w:r w:rsidRPr="00BE5BB4">
        <w:rPr>
          <w:sz w:val="22"/>
          <w:szCs w:val="22"/>
          <w:vertAlign w:val="subscript"/>
        </w:rPr>
        <w:t>M</w:t>
      </w:r>
      <w:r w:rsidRPr="00BE5BB4">
        <w:rPr>
          <w:sz w:val="22"/>
          <w:szCs w:val="22"/>
        </w:rPr>
        <w:t xml:space="preserve"> – affinity constant, CUE – carbon use efficiency, </w:t>
      </w:r>
      <w:proofErr w:type="spellStart"/>
      <w:r w:rsidRPr="00BE5BB4">
        <w:rPr>
          <w:sz w:val="22"/>
          <w:szCs w:val="22"/>
        </w:rPr>
        <w:t>k</w:t>
      </w:r>
      <w:r w:rsidRPr="00BE5BB4">
        <w:rPr>
          <w:sz w:val="22"/>
          <w:szCs w:val="22"/>
          <w:vertAlign w:val="subscript"/>
        </w:rPr>
        <w:t>MB</w:t>
      </w:r>
      <w:proofErr w:type="spellEnd"/>
      <w:r w:rsidRPr="00BE5BB4">
        <w:rPr>
          <w:sz w:val="22"/>
          <w:szCs w:val="22"/>
        </w:rPr>
        <w:t xml:space="preserve"> – microbial biomass decay rate constant, </w:t>
      </w:r>
      <w:proofErr w:type="spellStart"/>
      <w:r w:rsidRPr="00BE5BB4">
        <w:rPr>
          <w:sz w:val="22"/>
          <w:szCs w:val="22"/>
        </w:rPr>
        <w:t>m</w:t>
      </w:r>
      <w:r w:rsidRPr="00BE5BB4">
        <w:rPr>
          <w:sz w:val="22"/>
          <w:szCs w:val="22"/>
          <w:vertAlign w:val="subscript"/>
        </w:rPr>
        <w:t>R</w:t>
      </w:r>
      <w:proofErr w:type="spellEnd"/>
      <w:r w:rsidRPr="00BE5BB4">
        <w:rPr>
          <w:sz w:val="22"/>
          <w:szCs w:val="22"/>
        </w:rPr>
        <w:t xml:space="preserve"> – specific maintenance rate constant) estimated separately for three different levels of structural complexity treatment (BROTH, GLASS and WOOL). Symbols represent best parameters values estimated by the Differential Evolution Algorithm and error bars represent standard deviation of posterior parameters distribution estimated by Constrained Markov Chain Monte Carlo simulation. Parameters estimation was constrained by either observed respiration rates (black full circles), observed respiration rates and cellular proteins concentration (grey full circles) or observed respiration rates and DNA concentration (empty circles).</w:t>
      </w:r>
    </w:p>
    <w:p w:rsidR="00BE5BB4" w:rsidRPr="00BE5BB4" w:rsidRDefault="00BE5BB4" w:rsidP="00BE5BB4">
      <w:pPr>
        <w:spacing w:before="0" w:line="480" w:lineRule="auto"/>
        <w:rPr>
          <w:sz w:val="22"/>
          <w:szCs w:val="22"/>
        </w:rPr>
      </w:pPr>
    </w:p>
    <w:p w:rsidR="00BE5BB4" w:rsidRPr="00BE5BB4" w:rsidRDefault="00BE5BB4" w:rsidP="00BE5BB4">
      <w:pPr>
        <w:spacing w:before="0" w:line="480" w:lineRule="auto"/>
        <w:rPr>
          <w:sz w:val="22"/>
          <w:szCs w:val="22"/>
        </w:rPr>
      </w:pPr>
    </w:p>
    <w:p w:rsidR="00BE5BB4" w:rsidRPr="00BE5BB4" w:rsidRDefault="00BE5BB4" w:rsidP="00BE5BB4">
      <w:pPr>
        <w:spacing w:before="0" w:line="480" w:lineRule="auto"/>
        <w:rPr>
          <w:sz w:val="22"/>
          <w:szCs w:val="22"/>
        </w:rPr>
      </w:pPr>
    </w:p>
    <w:p w:rsidR="00BE5BB4" w:rsidRPr="00BE5BB4" w:rsidRDefault="00BE5BB4" w:rsidP="00BE5BB4">
      <w:pPr>
        <w:spacing w:before="0" w:line="480" w:lineRule="auto"/>
        <w:jc w:val="center"/>
        <w:rPr>
          <w:sz w:val="22"/>
          <w:szCs w:val="22"/>
        </w:rPr>
      </w:pPr>
    </w:p>
    <w:p w:rsidR="00BE5BB4" w:rsidRPr="00BE5BB4" w:rsidRDefault="00BE5BB4" w:rsidP="00BE5BB4">
      <w:pPr>
        <w:spacing w:before="0" w:line="480" w:lineRule="auto"/>
        <w:jc w:val="center"/>
        <w:rPr>
          <w:sz w:val="22"/>
          <w:szCs w:val="22"/>
        </w:rPr>
      </w:pPr>
      <w:r w:rsidRPr="00BE5BB4">
        <w:rPr>
          <w:noProof/>
          <w:sz w:val="22"/>
          <w:szCs w:val="22"/>
        </w:rPr>
        <w:lastRenderedPageBreak/>
        <w:drawing>
          <wp:inline distT="0" distB="0" distL="0" distR="0" wp14:anchorId="5EE9D457" wp14:editId="4B83FED2">
            <wp:extent cx="3054350" cy="305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4350" cy="3054350"/>
                    </a:xfrm>
                    <a:prstGeom prst="rect">
                      <a:avLst/>
                    </a:prstGeom>
                  </pic:spPr>
                </pic:pic>
              </a:graphicData>
            </a:graphic>
          </wp:inline>
        </w:drawing>
      </w:r>
    </w:p>
    <w:p w:rsidR="00BE5BB4" w:rsidRPr="00BE5BB4" w:rsidRDefault="00BE5BB4" w:rsidP="00BE5BB4">
      <w:pPr>
        <w:spacing w:before="0" w:line="480" w:lineRule="auto"/>
        <w:rPr>
          <w:sz w:val="22"/>
          <w:szCs w:val="22"/>
        </w:rPr>
      </w:pPr>
      <w:r w:rsidRPr="00BE5BB4">
        <w:rPr>
          <w:b/>
          <w:sz w:val="22"/>
          <w:szCs w:val="22"/>
        </w:rPr>
        <w:t>Fig. 4:</w:t>
      </w:r>
      <w:r w:rsidRPr="00BE5BB4">
        <w:rPr>
          <w:sz w:val="22"/>
          <w:szCs w:val="22"/>
        </w:rPr>
        <w:t xml:space="preserve"> Temporal dynamic of conversion factors between cellular proteins (</w:t>
      </w:r>
      <w:proofErr w:type="spellStart"/>
      <w:r w:rsidRPr="00BE5BB4">
        <w:rPr>
          <w:sz w:val="22"/>
          <w:szCs w:val="22"/>
        </w:rPr>
        <w:t>C</w:t>
      </w:r>
      <w:r w:rsidRPr="00BE5BB4">
        <w:rPr>
          <w:sz w:val="22"/>
          <w:szCs w:val="22"/>
          <w:vertAlign w:val="subscript"/>
        </w:rPr>
        <w:t>Proteins</w:t>
      </w:r>
      <w:proofErr w:type="spellEnd"/>
      <w:r w:rsidRPr="00BE5BB4">
        <w:rPr>
          <w:sz w:val="22"/>
          <w:szCs w:val="22"/>
        </w:rPr>
        <w:t>) or DNA (C</w:t>
      </w:r>
      <w:r w:rsidRPr="00BE5BB4">
        <w:rPr>
          <w:sz w:val="22"/>
          <w:szCs w:val="22"/>
          <w:vertAlign w:val="subscript"/>
        </w:rPr>
        <w:t>DNA</w:t>
      </w:r>
      <w:r w:rsidRPr="00BE5BB4">
        <w:rPr>
          <w:sz w:val="22"/>
          <w:szCs w:val="22"/>
        </w:rPr>
        <w:t>) and microbial biomass (C</w:t>
      </w:r>
      <w:r w:rsidRPr="00BE5BB4">
        <w:rPr>
          <w:sz w:val="22"/>
          <w:szCs w:val="22"/>
          <w:vertAlign w:val="subscript"/>
        </w:rPr>
        <w:t>MB</w:t>
      </w:r>
      <w:r w:rsidRPr="00BE5BB4">
        <w:rPr>
          <w:sz w:val="22"/>
          <w:szCs w:val="22"/>
        </w:rPr>
        <w:t>) as predicted by DB model for three different levels of structural complexity treatment (BROTH, GLASS and WOOL). Note that the left (cellular proteins) and right (DNA) y-axis have different scales.</w:t>
      </w:r>
    </w:p>
    <w:p w:rsidR="00BE5BB4" w:rsidRPr="00BE5BB4" w:rsidRDefault="00BE5BB4" w:rsidP="00BE5BB4">
      <w:pPr>
        <w:spacing w:before="0" w:line="480" w:lineRule="auto"/>
        <w:rPr>
          <w:sz w:val="22"/>
          <w:szCs w:val="22"/>
        </w:rPr>
      </w:pPr>
    </w:p>
    <w:p w:rsidR="00BE5BB4" w:rsidRPr="00BE5BB4" w:rsidRDefault="00BE5BB4" w:rsidP="00BE5BB4">
      <w:pPr>
        <w:spacing w:before="0" w:line="480" w:lineRule="auto"/>
        <w:jc w:val="center"/>
        <w:rPr>
          <w:sz w:val="22"/>
          <w:szCs w:val="22"/>
        </w:rPr>
      </w:pPr>
      <w:r w:rsidRPr="00BE5BB4">
        <w:rPr>
          <w:noProof/>
          <w:sz w:val="22"/>
          <w:szCs w:val="22"/>
        </w:rPr>
        <w:drawing>
          <wp:inline distT="0" distB="0" distL="0" distR="0" wp14:anchorId="21D3A9BD" wp14:editId="50237D45">
            <wp:extent cx="4311650" cy="21360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9216" cy="2144719"/>
                    </a:xfrm>
                    <a:prstGeom prst="rect">
                      <a:avLst/>
                    </a:prstGeom>
                  </pic:spPr>
                </pic:pic>
              </a:graphicData>
            </a:graphic>
          </wp:inline>
        </w:drawing>
      </w:r>
    </w:p>
    <w:p w:rsidR="00BE5BB4" w:rsidRPr="00BE5BB4" w:rsidRDefault="00BE5BB4" w:rsidP="00BE5BB4">
      <w:pPr>
        <w:spacing w:before="0" w:line="480" w:lineRule="auto"/>
        <w:rPr>
          <w:sz w:val="22"/>
          <w:szCs w:val="22"/>
        </w:rPr>
      </w:pPr>
      <w:r w:rsidRPr="00BE5BB4">
        <w:rPr>
          <w:b/>
          <w:sz w:val="22"/>
          <w:szCs w:val="22"/>
        </w:rPr>
        <w:lastRenderedPageBreak/>
        <w:t>Fig. 5:</w:t>
      </w:r>
      <w:r w:rsidRPr="00BE5BB4">
        <w:rPr>
          <w:sz w:val="22"/>
          <w:szCs w:val="22"/>
        </w:rPr>
        <w:t xml:space="preserve"> Relationship between respiration rate (R</w:t>
      </w:r>
      <w:r w:rsidRPr="00BE5BB4">
        <w:rPr>
          <w:sz w:val="22"/>
          <w:szCs w:val="22"/>
          <w:vertAlign w:val="subscript"/>
        </w:rPr>
        <w:t>H</w:t>
      </w:r>
      <w:r w:rsidRPr="00BE5BB4">
        <w:rPr>
          <w:sz w:val="22"/>
          <w:szCs w:val="22"/>
        </w:rPr>
        <w:t>) and microbial biomass (C</w:t>
      </w:r>
      <w:r w:rsidRPr="00BE5BB4">
        <w:rPr>
          <w:sz w:val="22"/>
          <w:szCs w:val="22"/>
          <w:vertAlign w:val="subscript"/>
        </w:rPr>
        <w:t>MB</w:t>
      </w:r>
      <w:r w:rsidRPr="00BE5BB4">
        <w:rPr>
          <w:sz w:val="22"/>
          <w:szCs w:val="22"/>
        </w:rPr>
        <w:t>) or reserves (R) predicted by DB model for three different levels of structural complexity treatment (BROTH, GLASS and WOOL).</w:t>
      </w:r>
    </w:p>
    <w:p w:rsidR="00BE5BB4" w:rsidRPr="00BE5BB4" w:rsidRDefault="00BE5BB4" w:rsidP="00BE5BB4">
      <w:pPr>
        <w:spacing w:before="0" w:line="480" w:lineRule="auto"/>
        <w:rPr>
          <w:sz w:val="22"/>
          <w:szCs w:val="22"/>
        </w:rPr>
      </w:pPr>
    </w:p>
    <w:p w:rsidR="00BE5BB4" w:rsidRPr="00BE5BB4" w:rsidRDefault="00BE5BB4" w:rsidP="00BE5BB4">
      <w:pPr>
        <w:spacing w:before="0" w:after="200" w:line="480" w:lineRule="auto"/>
        <w:rPr>
          <w:rFonts w:eastAsiaTheme="majorEastAsia" w:cstheme="majorBidi"/>
          <w:b/>
          <w:bCs/>
          <w:color w:val="4F81BD" w:themeColor="accent1"/>
          <w:sz w:val="22"/>
          <w:szCs w:val="22"/>
        </w:rPr>
      </w:pPr>
      <w:bookmarkStart w:id="29" w:name="references"/>
      <w:bookmarkEnd w:id="28"/>
      <w:r w:rsidRPr="00BE5BB4">
        <w:rPr>
          <w:sz w:val="22"/>
          <w:szCs w:val="22"/>
        </w:rPr>
        <w:br w:type="page"/>
      </w:r>
    </w:p>
    <w:p w:rsidR="00424F1C" w:rsidRDefault="00BE5BB4" w:rsidP="00BE5BB4">
      <w:pPr>
        <w:pStyle w:val="Heading2"/>
        <w:spacing w:before="0" w:line="480" w:lineRule="auto"/>
        <w:rPr>
          <w:rFonts w:asciiTheme="minorHAnsi" w:hAnsiTheme="minorHAnsi"/>
          <w:sz w:val="22"/>
          <w:szCs w:val="22"/>
        </w:rPr>
      </w:pPr>
      <w:r w:rsidRPr="00BE5BB4">
        <w:rPr>
          <w:rFonts w:asciiTheme="minorHAnsi" w:hAnsiTheme="minorHAnsi"/>
          <w:sz w:val="22"/>
          <w:szCs w:val="22"/>
        </w:rPr>
        <w:lastRenderedPageBreak/>
        <w:t>References</w:t>
      </w:r>
    </w:p>
    <w:p w:rsidR="002D756D" w:rsidRPr="002D756D" w:rsidRDefault="002D756D" w:rsidP="002D756D">
      <w:pPr>
        <w:widowControl w:val="0"/>
        <w:autoSpaceDE w:val="0"/>
        <w:autoSpaceDN w:val="0"/>
        <w:adjustRightInd w:val="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Pr="002D756D">
        <w:rPr>
          <w:rFonts w:ascii="Cambria" w:hAnsi="Cambria" w:cs="Times New Roman"/>
          <w:noProof/>
        </w:rPr>
        <w:t xml:space="preserve">Allison, S. D. (2012). A trait-based approach for modelling microbial litter decomposition. </w:t>
      </w:r>
      <w:r w:rsidRPr="002D756D">
        <w:rPr>
          <w:rFonts w:ascii="Cambria" w:hAnsi="Cambria" w:cs="Times New Roman"/>
          <w:i/>
          <w:iCs/>
          <w:noProof/>
        </w:rPr>
        <w:t>Ecology Letters</w:t>
      </w:r>
      <w:r w:rsidRPr="002D756D">
        <w:rPr>
          <w:rFonts w:ascii="Cambria" w:hAnsi="Cambria" w:cs="Times New Roman"/>
          <w:noProof/>
        </w:rPr>
        <w:t xml:space="preserve">, </w:t>
      </w:r>
      <w:r w:rsidRPr="002D756D">
        <w:rPr>
          <w:rFonts w:ascii="Cambria" w:hAnsi="Cambria" w:cs="Times New Roman"/>
          <w:i/>
          <w:iCs/>
          <w:noProof/>
        </w:rPr>
        <w:t>15</w:t>
      </w:r>
      <w:r w:rsidRPr="002D756D">
        <w:rPr>
          <w:rFonts w:ascii="Cambria" w:hAnsi="Cambria" w:cs="Times New Roman"/>
          <w:noProof/>
        </w:rPr>
        <w:t>(9), 1058–1070. doi:10.1111/j.1461-0248.2012.01807.x</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Allison, S. D., Chacon, S. S., &amp; German, D. P. (2014). Substrate concentration constraints on microbial decomposition. </w:t>
      </w:r>
      <w:r w:rsidRPr="002D756D">
        <w:rPr>
          <w:rFonts w:ascii="Cambria" w:hAnsi="Cambria" w:cs="Times New Roman"/>
          <w:i/>
          <w:iCs/>
          <w:noProof/>
        </w:rPr>
        <w:t>Soil Biology &amp; Biochemistry</w:t>
      </w:r>
      <w:r w:rsidRPr="002D756D">
        <w:rPr>
          <w:rFonts w:ascii="Cambria" w:hAnsi="Cambria" w:cs="Times New Roman"/>
          <w:noProof/>
        </w:rPr>
        <w:t xml:space="preserve">, </w:t>
      </w:r>
      <w:r w:rsidRPr="002D756D">
        <w:rPr>
          <w:rFonts w:ascii="Cambria" w:hAnsi="Cambria" w:cs="Times New Roman"/>
          <w:i/>
          <w:iCs/>
          <w:noProof/>
        </w:rPr>
        <w:t>79</w:t>
      </w:r>
      <w:r w:rsidRPr="002D756D">
        <w:rPr>
          <w:rFonts w:ascii="Cambria" w:hAnsi="Cambria" w:cs="Times New Roman"/>
          <w:noProof/>
        </w:rPr>
        <w:t>, 43–49. doi:10.1016/j.soilbio.2014.08.021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Allison, S. D., Lu, L., Kent, A. G., &amp; Martiny, A. C. (2014). Extracellular enzyme production and cheating in Pseudomonas fluorescens depend on diffusion rates. </w:t>
      </w:r>
      <w:r w:rsidRPr="002D756D">
        <w:rPr>
          <w:rFonts w:ascii="Cambria" w:hAnsi="Cambria" w:cs="Times New Roman"/>
          <w:i/>
          <w:iCs/>
          <w:noProof/>
        </w:rPr>
        <w:t>Frontiers in Microbiology</w:t>
      </w:r>
      <w:r w:rsidRPr="002D756D">
        <w:rPr>
          <w:rFonts w:ascii="Cambria" w:hAnsi="Cambria" w:cs="Times New Roman"/>
          <w:noProof/>
        </w:rPr>
        <w:t xml:space="preserve">, </w:t>
      </w:r>
      <w:r w:rsidRPr="002D756D">
        <w:rPr>
          <w:rFonts w:ascii="Cambria" w:hAnsi="Cambria" w:cs="Times New Roman"/>
          <w:i/>
          <w:iCs/>
          <w:noProof/>
        </w:rPr>
        <w:t>5</w:t>
      </w:r>
      <w:r w:rsidRPr="002D756D">
        <w:rPr>
          <w:rFonts w:ascii="Cambria" w:hAnsi="Cambria" w:cs="Times New Roman"/>
          <w:noProof/>
        </w:rPr>
        <w:t>. doi:16910.3389/fmicb.2014.00169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Allison, S. D., Wallenstein, M. D., &amp; Bradford, M. A. (2010). Soil-carbon response to warming dependent on microbial physiology. </w:t>
      </w:r>
      <w:r w:rsidRPr="002D756D">
        <w:rPr>
          <w:rFonts w:ascii="Cambria" w:hAnsi="Cambria" w:cs="Times New Roman"/>
          <w:i/>
          <w:iCs/>
          <w:noProof/>
        </w:rPr>
        <w:t>Nature Geoscience</w:t>
      </w:r>
      <w:r w:rsidRPr="002D756D">
        <w:rPr>
          <w:rFonts w:ascii="Cambria" w:hAnsi="Cambria" w:cs="Times New Roman"/>
          <w:noProof/>
        </w:rPr>
        <w:t xml:space="preserve">, </w:t>
      </w:r>
      <w:r w:rsidRPr="002D756D">
        <w:rPr>
          <w:rFonts w:ascii="Cambria" w:hAnsi="Cambria" w:cs="Times New Roman"/>
          <w:i/>
          <w:iCs/>
          <w:noProof/>
        </w:rPr>
        <w:t>3</w:t>
      </w:r>
      <w:r w:rsidRPr="002D756D">
        <w:rPr>
          <w:rFonts w:ascii="Cambria" w:hAnsi="Cambria" w:cs="Times New Roman"/>
          <w:noProof/>
        </w:rPr>
        <w:t>(5), 336–340. doi:10.1038/ngeo846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Belas, R., Simon, M., Silverman, M., Costerton, J. W., &amp; Davies, D. G. (1986). Regulation of lateral flagella gene transcription in Vibrio parahaemolyticus. </w:t>
      </w:r>
      <w:r w:rsidRPr="002D756D">
        <w:rPr>
          <w:rFonts w:ascii="Cambria" w:hAnsi="Cambria" w:cs="Times New Roman"/>
          <w:i/>
          <w:iCs/>
          <w:noProof/>
        </w:rPr>
        <w:t>Journal of Bacteriology</w:t>
      </w:r>
      <w:r w:rsidRPr="002D756D">
        <w:rPr>
          <w:rFonts w:ascii="Cambria" w:hAnsi="Cambria" w:cs="Times New Roman"/>
          <w:noProof/>
        </w:rPr>
        <w:t xml:space="preserve">, </w:t>
      </w:r>
      <w:r w:rsidRPr="002D756D">
        <w:rPr>
          <w:rFonts w:ascii="Cambria" w:hAnsi="Cambria" w:cs="Times New Roman"/>
          <w:i/>
          <w:iCs/>
          <w:noProof/>
        </w:rPr>
        <w:t>167</w:t>
      </w:r>
      <w:r w:rsidRPr="002D756D">
        <w:rPr>
          <w:rFonts w:ascii="Cambria" w:hAnsi="Cambria" w:cs="Times New Roman"/>
          <w:noProof/>
        </w:rPr>
        <w:t>(1), 210–8. doi:10.1128/jb.184.4.1140-1154.2002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Berg, B., &amp; McClaugherty, C. (2014). </w:t>
      </w:r>
      <w:r w:rsidRPr="002D756D">
        <w:rPr>
          <w:rFonts w:ascii="Cambria" w:hAnsi="Cambria" w:cs="Times New Roman"/>
          <w:i/>
          <w:iCs/>
          <w:noProof/>
        </w:rPr>
        <w:t>Plant Litter</w:t>
      </w:r>
      <w:r w:rsidRPr="002D756D">
        <w:rPr>
          <w:rFonts w:ascii="Cambria" w:hAnsi="Cambria" w:cs="Times New Roman"/>
          <w:noProof/>
        </w:rPr>
        <w:t xml:space="preserve">. </w:t>
      </w:r>
      <w:r w:rsidRPr="002D756D">
        <w:rPr>
          <w:rFonts w:ascii="Cambria" w:hAnsi="Cambria" w:cs="Times New Roman"/>
          <w:i/>
          <w:iCs/>
          <w:noProof/>
        </w:rPr>
        <w:t>Plant Litter: Decomposition, Humus Formation, Carbon Sequestration</w:t>
      </w:r>
      <w:r w:rsidRPr="002D756D">
        <w:rPr>
          <w:rFonts w:ascii="Cambria" w:hAnsi="Cambria" w:cs="Times New Roman"/>
          <w:noProof/>
        </w:rPr>
        <w:t>. Berlin, Heidelberg: Springer Berlin Heidelberg. doi:10.1007/978-3-642-38821-7</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Bhunia, B., Basak, B., Bhattacharya, P., &amp; Dey, A. (2012). Kinetic studies of alkaline protease from Bacillus licheniformis NCIM-2042. </w:t>
      </w:r>
      <w:r w:rsidRPr="002D756D">
        <w:rPr>
          <w:rFonts w:ascii="Cambria" w:hAnsi="Cambria" w:cs="Times New Roman"/>
          <w:i/>
          <w:iCs/>
          <w:noProof/>
        </w:rPr>
        <w:t>Journal of Microbiology and Biotechnology</w:t>
      </w:r>
      <w:r w:rsidRPr="002D756D">
        <w:rPr>
          <w:rFonts w:ascii="Cambria" w:hAnsi="Cambria" w:cs="Times New Roman"/>
          <w:noProof/>
        </w:rPr>
        <w:t xml:space="preserve">, </w:t>
      </w:r>
      <w:r w:rsidRPr="002D756D">
        <w:rPr>
          <w:rFonts w:ascii="Cambria" w:hAnsi="Cambria" w:cs="Times New Roman"/>
          <w:i/>
          <w:iCs/>
          <w:noProof/>
        </w:rPr>
        <w:t>22</w:t>
      </w:r>
      <w:r w:rsidRPr="002D756D">
        <w:rPr>
          <w:rFonts w:ascii="Cambria" w:hAnsi="Cambria" w:cs="Times New Roman"/>
          <w:noProof/>
        </w:rPr>
        <w:t>(12), 1758–66. Retrieved from http://www.ncbi.nlm.nih.gov/pubmed/23221540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Buchkowski, R. W., Bradford, M. A., Grandy, A. S., Schmitz, O. J., &amp; Wieder, W. R. (2017). Applying population and community ecology theory to advance understanding of belowground biogeochemistry. </w:t>
      </w:r>
      <w:r w:rsidRPr="002D756D">
        <w:rPr>
          <w:rFonts w:ascii="Cambria" w:hAnsi="Cambria" w:cs="Times New Roman"/>
          <w:i/>
          <w:iCs/>
          <w:noProof/>
        </w:rPr>
        <w:t>Ecology Letters</w:t>
      </w:r>
      <w:r w:rsidRPr="002D756D">
        <w:rPr>
          <w:rFonts w:ascii="Cambria" w:hAnsi="Cambria" w:cs="Times New Roman"/>
          <w:noProof/>
        </w:rPr>
        <w:t xml:space="preserve">, </w:t>
      </w:r>
      <w:r w:rsidRPr="002D756D">
        <w:rPr>
          <w:rFonts w:ascii="Cambria" w:hAnsi="Cambria" w:cs="Times New Roman"/>
          <w:i/>
          <w:iCs/>
          <w:noProof/>
        </w:rPr>
        <w:t>20</w:t>
      </w:r>
      <w:r w:rsidRPr="002D756D">
        <w:rPr>
          <w:rFonts w:ascii="Cambria" w:hAnsi="Cambria" w:cs="Times New Roman"/>
          <w:noProof/>
        </w:rPr>
        <w:t>(2), 231–245. doi:10.1111/ele.12712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Burns, R. G., DeForest, J. L., Marxsen, J., Sinsabaugh, R. L., Stromberger, M. E., Wallenstein, M. D., … Zoppini, A. (2013). Soil enzymes in a changing environment: Current knowledge and future directions.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58</w:t>
      </w:r>
      <w:r w:rsidRPr="002D756D">
        <w:rPr>
          <w:rFonts w:ascii="Cambria" w:hAnsi="Cambria" w:cs="Times New Roman"/>
          <w:noProof/>
        </w:rPr>
        <w:t>, 216–234. doi:10.1016/J.SOILBIO.2012.11.009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Chen, H., Yang, Z., Chu, R. K., Tolic, N., Liang, L., Graham, D. E., … Gu, B. (2018). Molecular Insights into Arctic Soil Organic Matter Degradation under Warming. </w:t>
      </w:r>
      <w:r w:rsidRPr="002D756D">
        <w:rPr>
          <w:rFonts w:ascii="Cambria" w:hAnsi="Cambria" w:cs="Times New Roman"/>
          <w:i/>
          <w:iCs/>
          <w:noProof/>
        </w:rPr>
        <w:t>Environmental Science &amp; Technology</w:t>
      </w:r>
      <w:r w:rsidRPr="002D756D">
        <w:rPr>
          <w:rFonts w:ascii="Cambria" w:hAnsi="Cambria" w:cs="Times New Roman"/>
          <w:noProof/>
        </w:rPr>
        <w:t xml:space="preserve">, </w:t>
      </w:r>
      <w:r w:rsidRPr="002D756D">
        <w:rPr>
          <w:rFonts w:ascii="Cambria" w:hAnsi="Cambria" w:cs="Times New Roman"/>
          <w:i/>
          <w:iCs/>
          <w:noProof/>
        </w:rPr>
        <w:t>52</w:t>
      </w:r>
      <w:r w:rsidRPr="002D756D">
        <w:rPr>
          <w:rFonts w:ascii="Cambria" w:hAnsi="Cambria" w:cs="Times New Roman"/>
          <w:noProof/>
        </w:rPr>
        <w:t>(8), 4555–4564. doi:10.1021/acs.est.7b05469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Christensen, H., Bakken, L. R., &amp; Olsen, R. A. (1993). Soil bacterial DNA and biovolume profiles measured by flow-cytometry. </w:t>
      </w:r>
      <w:r w:rsidRPr="002D756D">
        <w:rPr>
          <w:rFonts w:ascii="Cambria" w:hAnsi="Cambria" w:cs="Times New Roman"/>
          <w:i/>
          <w:iCs/>
          <w:noProof/>
        </w:rPr>
        <w:t>FEMS Microbiology Letters</w:t>
      </w:r>
      <w:r w:rsidRPr="002D756D">
        <w:rPr>
          <w:rFonts w:ascii="Cambria" w:hAnsi="Cambria" w:cs="Times New Roman"/>
          <w:noProof/>
        </w:rPr>
        <w:t xml:space="preserve">, </w:t>
      </w:r>
      <w:r w:rsidRPr="002D756D">
        <w:rPr>
          <w:rFonts w:ascii="Cambria" w:hAnsi="Cambria" w:cs="Times New Roman"/>
          <w:i/>
          <w:iCs/>
          <w:noProof/>
        </w:rPr>
        <w:t>102</w:t>
      </w:r>
      <w:r w:rsidRPr="002D756D">
        <w:rPr>
          <w:rFonts w:ascii="Cambria" w:hAnsi="Cambria" w:cs="Times New Roman"/>
          <w:noProof/>
        </w:rPr>
        <w:t>(3–4), 129–140. doi:10.1016/0378-1097(93)90196-9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Christensen, H., Olsen, R. A., &amp; Bakken, L. R. (1995). Flow cytometric measurements of cell volumes and DNA contents during culture of indigenous soil bacteria. </w:t>
      </w:r>
      <w:r w:rsidRPr="002D756D">
        <w:rPr>
          <w:rFonts w:ascii="Cambria" w:hAnsi="Cambria" w:cs="Times New Roman"/>
          <w:i/>
          <w:iCs/>
          <w:noProof/>
        </w:rPr>
        <w:t xml:space="preserve">Microbial </w:t>
      </w:r>
      <w:r w:rsidRPr="002D756D">
        <w:rPr>
          <w:rFonts w:ascii="Cambria" w:hAnsi="Cambria" w:cs="Times New Roman"/>
          <w:i/>
          <w:iCs/>
          <w:noProof/>
        </w:rPr>
        <w:lastRenderedPageBreak/>
        <w:t>Ecology</w:t>
      </w:r>
      <w:r w:rsidRPr="002D756D">
        <w:rPr>
          <w:rFonts w:ascii="Cambria" w:hAnsi="Cambria" w:cs="Times New Roman"/>
          <w:noProof/>
        </w:rPr>
        <w:t xml:space="preserve">, </w:t>
      </w:r>
      <w:r w:rsidRPr="002D756D">
        <w:rPr>
          <w:rFonts w:ascii="Cambria" w:hAnsi="Cambria" w:cs="Times New Roman"/>
          <w:i/>
          <w:iCs/>
          <w:noProof/>
        </w:rPr>
        <w:t>29</w:t>
      </w:r>
      <w:r w:rsidRPr="002D756D">
        <w:rPr>
          <w:rFonts w:ascii="Cambria" w:hAnsi="Cambria" w:cs="Times New Roman"/>
          <w:noProof/>
        </w:rPr>
        <w:t>(1), 49–62. doi:10.1007/BF00217422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Chua, S. L., Liu, Y., Yam, J. K. H., Chen, Y., Vejborg, R. M., Tan, B. G. C., … Yang, L. (2014). Dispersed cells represent a distinct stage in the transition from bacterial biofilm to planktonic lifestyles. </w:t>
      </w:r>
      <w:r w:rsidRPr="002D756D">
        <w:rPr>
          <w:rFonts w:ascii="Cambria" w:hAnsi="Cambria" w:cs="Times New Roman"/>
          <w:i/>
          <w:iCs/>
          <w:noProof/>
        </w:rPr>
        <w:t>Nature Communications</w:t>
      </w:r>
      <w:r w:rsidRPr="002D756D">
        <w:rPr>
          <w:rFonts w:ascii="Cambria" w:hAnsi="Cambria" w:cs="Times New Roman"/>
          <w:noProof/>
        </w:rPr>
        <w:t xml:space="preserve">, </w:t>
      </w:r>
      <w:r w:rsidRPr="002D756D">
        <w:rPr>
          <w:rFonts w:ascii="Cambria" w:hAnsi="Cambria" w:cs="Times New Roman"/>
          <w:i/>
          <w:iCs/>
          <w:noProof/>
        </w:rPr>
        <w:t>5</w:t>
      </w:r>
      <w:r w:rsidRPr="002D756D">
        <w:rPr>
          <w:rFonts w:ascii="Cambria" w:hAnsi="Cambria" w:cs="Times New Roman"/>
          <w:noProof/>
        </w:rPr>
        <w:t>(1), 4462. doi:10.1038/ncomms5462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Cleveland, C. C., &amp; Liptzin, D. (2007). C : N : P stoichiometry in soil: is there a “Redfield ratio” for the microbial biomass? </w:t>
      </w:r>
      <w:r w:rsidRPr="002D756D">
        <w:rPr>
          <w:rFonts w:ascii="Cambria" w:hAnsi="Cambria" w:cs="Times New Roman"/>
          <w:i/>
          <w:iCs/>
          <w:noProof/>
        </w:rPr>
        <w:t>Biogeochemistry</w:t>
      </w:r>
      <w:r w:rsidRPr="002D756D">
        <w:rPr>
          <w:rFonts w:ascii="Cambria" w:hAnsi="Cambria" w:cs="Times New Roman"/>
          <w:noProof/>
        </w:rPr>
        <w:t xml:space="preserve">, </w:t>
      </w:r>
      <w:r w:rsidRPr="002D756D">
        <w:rPr>
          <w:rFonts w:ascii="Cambria" w:hAnsi="Cambria" w:cs="Times New Roman"/>
          <w:i/>
          <w:iCs/>
          <w:noProof/>
        </w:rPr>
        <w:t>85</w:t>
      </w:r>
      <w:r w:rsidRPr="002D756D">
        <w:rPr>
          <w:rFonts w:ascii="Cambria" w:hAnsi="Cambria" w:cs="Times New Roman"/>
          <w:noProof/>
        </w:rPr>
        <w:t>(3), 235–252. doi:10.1007/s10533-007-9132-0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Currie, W. S. (2003). Relationships between carbon turnover and bioavailable energy fluxes in two temperate forest soils. </w:t>
      </w:r>
      <w:r w:rsidRPr="002D756D">
        <w:rPr>
          <w:rFonts w:ascii="Cambria" w:hAnsi="Cambria" w:cs="Times New Roman"/>
          <w:i/>
          <w:iCs/>
          <w:noProof/>
        </w:rPr>
        <w:t>Global Change Biology</w:t>
      </w:r>
      <w:r w:rsidRPr="002D756D">
        <w:rPr>
          <w:rFonts w:ascii="Cambria" w:hAnsi="Cambria" w:cs="Times New Roman"/>
          <w:noProof/>
        </w:rPr>
        <w:t xml:space="preserve">, </w:t>
      </w:r>
      <w:r w:rsidRPr="002D756D">
        <w:rPr>
          <w:rFonts w:ascii="Cambria" w:hAnsi="Cambria" w:cs="Times New Roman"/>
          <w:i/>
          <w:iCs/>
          <w:noProof/>
        </w:rPr>
        <w:t>9</w:t>
      </w:r>
      <w:r w:rsidRPr="002D756D">
        <w:rPr>
          <w:rFonts w:ascii="Cambria" w:hAnsi="Cambria" w:cs="Times New Roman"/>
          <w:noProof/>
        </w:rPr>
        <w:t>(6), 919–929. doi:10.1046/j.1365-2486.2003.00637.x</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Dictor, M.-C., Tessier, L., &amp; Soulas, G. (1998). Reassessement of the Kec coefficient of the fumigation–extraction method in a soil profile.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30</w:t>
      </w:r>
      <w:r w:rsidRPr="002D756D">
        <w:rPr>
          <w:rFonts w:ascii="Cambria" w:hAnsi="Cambria" w:cs="Times New Roman"/>
          <w:noProof/>
        </w:rPr>
        <w:t>(2), 119–127. doi:10.1016/S0038-0717(97)00111-9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Dilly, O. (2004). Effects of glucose, cellulose, and humic acids on soil microbial eco-physiology. </w:t>
      </w:r>
      <w:r w:rsidRPr="002D756D">
        <w:rPr>
          <w:rFonts w:ascii="Cambria" w:hAnsi="Cambria" w:cs="Times New Roman"/>
          <w:i/>
          <w:iCs/>
          <w:noProof/>
        </w:rPr>
        <w:t>Journal of Plant Nutrition and Soil Science</w:t>
      </w:r>
      <w:r w:rsidRPr="002D756D">
        <w:rPr>
          <w:rFonts w:ascii="Cambria" w:hAnsi="Cambria" w:cs="Times New Roman"/>
          <w:noProof/>
        </w:rPr>
        <w:t xml:space="preserve">, </w:t>
      </w:r>
      <w:r w:rsidRPr="002D756D">
        <w:rPr>
          <w:rFonts w:ascii="Cambria" w:hAnsi="Cambria" w:cs="Times New Roman"/>
          <w:i/>
          <w:iCs/>
          <w:noProof/>
        </w:rPr>
        <w:t>167</w:t>
      </w:r>
      <w:r w:rsidRPr="002D756D">
        <w:rPr>
          <w:rFonts w:ascii="Cambria" w:hAnsi="Cambria" w:cs="Times New Roman"/>
          <w:noProof/>
        </w:rPr>
        <w:t>(3), 261–266. doi:10.1002/jpln.200321041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Don, A., Rodenbeck, C., &amp; Gleixner, G. (2013). Unexpected control of soil carbon turnover by soil carbon concentration. </w:t>
      </w:r>
      <w:r w:rsidRPr="002D756D">
        <w:rPr>
          <w:rFonts w:ascii="Cambria" w:hAnsi="Cambria" w:cs="Times New Roman"/>
          <w:i/>
          <w:iCs/>
          <w:noProof/>
        </w:rPr>
        <w:t>Environmental Chemistry Letters</w:t>
      </w:r>
      <w:r w:rsidRPr="002D756D">
        <w:rPr>
          <w:rFonts w:ascii="Cambria" w:hAnsi="Cambria" w:cs="Times New Roman"/>
          <w:noProof/>
        </w:rPr>
        <w:t xml:space="preserve">, </w:t>
      </w:r>
      <w:r w:rsidRPr="002D756D">
        <w:rPr>
          <w:rFonts w:ascii="Cambria" w:hAnsi="Cambria" w:cs="Times New Roman"/>
          <w:i/>
          <w:iCs/>
          <w:noProof/>
        </w:rPr>
        <w:t>11</w:t>
      </w:r>
      <w:r w:rsidRPr="002D756D">
        <w:rPr>
          <w:rFonts w:ascii="Cambria" w:hAnsi="Cambria" w:cs="Times New Roman"/>
          <w:noProof/>
        </w:rPr>
        <w:t>(4), 407–413. doi:10.1007/s10311-013-0433-3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Ehlers, K., Bünemann, E. K., Oberson, A., Frossard, E., Frostegård, Å., Yuejian, M., &amp; Bakken, L. R. (2008). Extraction of soil bacteria from a Ferralsol.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40</w:t>
      </w:r>
      <w:r w:rsidRPr="002D756D">
        <w:rPr>
          <w:rFonts w:ascii="Cambria" w:hAnsi="Cambria" w:cs="Times New Roman"/>
          <w:noProof/>
        </w:rPr>
        <w:t>(7), 1940–1946. doi:10.1016/j.soilbio.2008.04.005</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Ekschmitt, K., Kandeler, E., Poll, C., Brune, A., Buscot, F., Friedrich, M., … Wolters, V. (2008). Soil-carbon preservation through habitat constraints and biological limitations on decomposer activity. </w:t>
      </w:r>
      <w:r w:rsidRPr="002D756D">
        <w:rPr>
          <w:rFonts w:ascii="Cambria" w:hAnsi="Cambria" w:cs="Times New Roman"/>
          <w:i/>
          <w:iCs/>
          <w:noProof/>
        </w:rPr>
        <w:t>Journal of Plant Nutrition and Soil Science-Zeitschrift Fur Pflanzenernahrung Und Bodenkunde</w:t>
      </w:r>
      <w:r w:rsidRPr="002D756D">
        <w:rPr>
          <w:rFonts w:ascii="Cambria" w:hAnsi="Cambria" w:cs="Times New Roman"/>
          <w:noProof/>
        </w:rPr>
        <w:t xml:space="preserve">, </w:t>
      </w:r>
      <w:r w:rsidRPr="002D756D">
        <w:rPr>
          <w:rFonts w:ascii="Cambria" w:hAnsi="Cambria" w:cs="Times New Roman"/>
          <w:i/>
          <w:iCs/>
          <w:noProof/>
        </w:rPr>
        <w:t>171</w:t>
      </w:r>
      <w:r w:rsidRPr="002D756D">
        <w:rPr>
          <w:rFonts w:ascii="Cambria" w:hAnsi="Cambria" w:cs="Times New Roman"/>
          <w:noProof/>
        </w:rPr>
        <w:t>(1), 27–35. doi:10.1002/jpln.200700051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Evans, S., Dieckmann, U., Franklin, O., &amp; Kaiser, C. (2016). Synergistic effects of diffusion and microbial physiology reproduce the Birch effect in a micro-scale model.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93</w:t>
      </w:r>
      <w:r w:rsidRPr="002D756D">
        <w:rPr>
          <w:rFonts w:ascii="Cambria" w:hAnsi="Cambria" w:cs="Times New Roman"/>
          <w:noProof/>
        </w:rPr>
        <w:t>, 28–37. doi:10.1016/J.SOILBIO.2015.10.020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Friedlingstein, P., Cox, P., Betts, R., Bopp, L., von Bloh, W., Brovkin, V., … Zeng, N. (2006). Climate–Carbon Cycle Feedback Analysis: Results from the C 4 MIP Model Intercomparison. </w:t>
      </w:r>
      <w:r w:rsidRPr="002D756D">
        <w:rPr>
          <w:rFonts w:ascii="Cambria" w:hAnsi="Cambria" w:cs="Times New Roman"/>
          <w:i/>
          <w:iCs/>
          <w:noProof/>
        </w:rPr>
        <w:t>Journal of Climate</w:t>
      </w:r>
      <w:r w:rsidRPr="002D756D">
        <w:rPr>
          <w:rFonts w:ascii="Cambria" w:hAnsi="Cambria" w:cs="Times New Roman"/>
          <w:noProof/>
        </w:rPr>
        <w:t xml:space="preserve">, </w:t>
      </w:r>
      <w:r w:rsidRPr="002D756D">
        <w:rPr>
          <w:rFonts w:ascii="Cambria" w:hAnsi="Cambria" w:cs="Times New Roman"/>
          <w:i/>
          <w:iCs/>
          <w:noProof/>
        </w:rPr>
        <w:t>19</w:t>
      </w:r>
      <w:r w:rsidRPr="002D756D">
        <w:rPr>
          <w:rFonts w:ascii="Cambria" w:hAnsi="Cambria" w:cs="Times New Roman"/>
          <w:noProof/>
        </w:rPr>
        <w:t>(14), 3337–3353. doi:10.1175/JCLI3800.1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Frostegard, A., &amp; Baath, E. (1996). The use of phospholipid fatty acid analysis to estimate bacterial and fungal biomass in soil. </w:t>
      </w:r>
      <w:r w:rsidRPr="002D756D">
        <w:rPr>
          <w:rFonts w:ascii="Cambria" w:hAnsi="Cambria" w:cs="Times New Roman"/>
          <w:i/>
          <w:iCs/>
          <w:noProof/>
        </w:rPr>
        <w:t>Biology and Fertility of Soils</w:t>
      </w:r>
      <w:r w:rsidRPr="002D756D">
        <w:rPr>
          <w:rFonts w:ascii="Cambria" w:hAnsi="Cambria" w:cs="Times New Roman"/>
          <w:noProof/>
        </w:rPr>
        <w:t xml:space="preserve">, </w:t>
      </w:r>
      <w:r w:rsidRPr="002D756D">
        <w:rPr>
          <w:rFonts w:ascii="Cambria" w:hAnsi="Cambria" w:cs="Times New Roman"/>
          <w:i/>
          <w:iCs/>
          <w:noProof/>
        </w:rPr>
        <w:t>22</w:t>
      </w:r>
      <w:r w:rsidRPr="002D756D">
        <w:rPr>
          <w:rFonts w:ascii="Cambria" w:hAnsi="Cambria" w:cs="Times New Roman"/>
          <w:noProof/>
        </w:rPr>
        <w:t>(1–2), 59–65. doi:10.1007/BF00384433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German, D. P., Marcelo, K. R. B., Stone, M. M., &amp; Allison, S. D. (2012). The Michaelis-Menten kinetics of soil extracellular enzymes in response to temperature: a cross-latitudinal study. </w:t>
      </w:r>
      <w:r w:rsidRPr="002D756D">
        <w:rPr>
          <w:rFonts w:ascii="Cambria" w:hAnsi="Cambria" w:cs="Times New Roman"/>
          <w:i/>
          <w:iCs/>
          <w:noProof/>
        </w:rPr>
        <w:t>Global Change Biology</w:t>
      </w:r>
      <w:r w:rsidRPr="002D756D">
        <w:rPr>
          <w:rFonts w:ascii="Cambria" w:hAnsi="Cambria" w:cs="Times New Roman"/>
          <w:noProof/>
        </w:rPr>
        <w:t xml:space="preserve">, </w:t>
      </w:r>
      <w:r w:rsidRPr="002D756D">
        <w:rPr>
          <w:rFonts w:ascii="Cambria" w:hAnsi="Cambria" w:cs="Times New Roman"/>
          <w:i/>
          <w:iCs/>
          <w:noProof/>
        </w:rPr>
        <w:t>18</w:t>
      </w:r>
      <w:r w:rsidRPr="002D756D">
        <w:rPr>
          <w:rFonts w:ascii="Cambria" w:hAnsi="Cambria" w:cs="Times New Roman"/>
          <w:noProof/>
        </w:rPr>
        <w:t>(4), 1468–1479. doi:10.1111/j.1365-</w:t>
      </w:r>
      <w:r w:rsidRPr="002D756D">
        <w:rPr>
          <w:rFonts w:ascii="Cambria" w:hAnsi="Cambria" w:cs="Times New Roman"/>
          <w:noProof/>
        </w:rPr>
        <w:lastRenderedPageBreak/>
        <w:t>2486.2011.02615.x</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Gharasoo, M., Centler, F., Fetzer, I., &amp; Thullner, M. (2014). How the chemotactic characteristics of bacteria can determine their population patterns. </w:t>
      </w:r>
      <w:r w:rsidRPr="002D756D">
        <w:rPr>
          <w:rFonts w:ascii="Cambria" w:hAnsi="Cambria" w:cs="Times New Roman"/>
          <w:i/>
          <w:iCs/>
          <w:noProof/>
        </w:rPr>
        <w:t>Soil Biology &amp; Biochemistry</w:t>
      </w:r>
      <w:r w:rsidRPr="002D756D">
        <w:rPr>
          <w:rFonts w:ascii="Cambria" w:hAnsi="Cambria" w:cs="Times New Roman"/>
          <w:noProof/>
        </w:rPr>
        <w:t xml:space="preserve">, </w:t>
      </w:r>
      <w:r w:rsidRPr="002D756D">
        <w:rPr>
          <w:rFonts w:ascii="Cambria" w:hAnsi="Cambria" w:cs="Times New Roman"/>
          <w:i/>
          <w:iCs/>
          <w:noProof/>
        </w:rPr>
        <w:t>69</w:t>
      </w:r>
      <w:r w:rsidRPr="002D756D">
        <w:rPr>
          <w:rFonts w:ascii="Cambria" w:hAnsi="Cambria" w:cs="Times New Roman"/>
          <w:noProof/>
        </w:rPr>
        <w:t>, 346–358. doi:10.1016/j.soilbio.2013.11.019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Gharasoo, M., Centler, F., Regnier, P., Harms, H., &amp; Thullner, M. (2012). A reactive transport modeling approach to simulate biogeochemical processes in pore structures with pore-scale heterogeneities. </w:t>
      </w:r>
      <w:r w:rsidRPr="002D756D">
        <w:rPr>
          <w:rFonts w:ascii="Cambria" w:hAnsi="Cambria" w:cs="Times New Roman"/>
          <w:i/>
          <w:iCs/>
          <w:noProof/>
        </w:rPr>
        <w:t>Environmental Modelling &amp; Software</w:t>
      </w:r>
      <w:r w:rsidRPr="002D756D">
        <w:rPr>
          <w:rFonts w:ascii="Cambria" w:hAnsi="Cambria" w:cs="Times New Roman"/>
          <w:noProof/>
        </w:rPr>
        <w:t xml:space="preserve">, </w:t>
      </w:r>
      <w:r w:rsidRPr="002D756D">
        <w:rPr>
          <w:rFonts w:ascii="Cambria" w:hAnsi="Cambria" w:cs="Times New Roman"/>
          <w:i/>
          <w:iCs/>
          <w:noProof/>
        </w:rPr>
        <w:t>30</w:t>
      </w:r>
      <w:r w:rsidRPr="002D756D">
        <w:rPr>
          <w:rFonts w:ascii="Cambria" w:hAnsi="Cambria" w:cs="Times New Roman"/>
          <w:noProof/>
        </w:rPr>
        <w:t>, 102–114. doi:10.1016/J.ENVSOFT.2011.10.010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Gittel, A., Barta, J., Kohoutova, I., Mikutta, R., Owens, S., Gilbert, J., … Urich, T. (2014). Distinct microbial communities associated with buried soils in the Siberian tundra. </w:t>
      </w:r>
      <w:r w:rsidRPr="002D756D">
        <w:rPr>
          <w:rFonts w:ascii="Cambria" w:hAnsi="Cambria" w:cs="Times New Roman"/>
          <w:i/>
          <w:iCs/>
          <w:noProof/>
        </w:rPr>
        <w:t>Isme Journal</w:t>
      </w:r>
      <w:r w:rsidRPr="002D756D">
        <w:rPr>
          <w:rFonts w:ascii="Cambria" w:hAnsi="Cambria" w:cs="Times New Roman"/>
          <w:noProof/>
        </w:rPr>
        <w:t xml:space="preserve">, </w:t>
      </w:r>
      <w:r w:rsidRPr="002D756D">
        <w:rPr>
          <w:rFonts w:ascii="Cambria" w:hAnsi="Cambria" w:cs="Times New Roman"/>
          <w:i/>
          <w:iCs/>
          <w:noProof/>
        </w:rPr>
        <w:t>8</w:t>
      </w:r>
      <w:r w:rsidRPr="002D756D">
        <w:rPr>
          <w:rFonts w:ascii="Cambria" w:hAnsi="Cambria" w:cs="Times New Roman"/>
          <w:noProof/>
        </w:rPr>
        <w:t>(4), 841–853. doi:10.1038/ismej.2013.219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Hanegraaf, P. P. F., &amp; Muller, E. B. (2001). The Dynamics of the Macromolecular Composition of Biomass. </w:t>
      </w:r>
      <w:r w:rsidRPr="002D756D">
        <w:rPr>
          <w:rFonts w:ascii="Cambria" w:hAnsi="Cambria" w:cs="Times New Roman"/>
          <w:i/>
          <w:iCs/>
          <w:noProof/>
        </w:rPr>
        <w:t>Journal of Theoretical Biology</w:t>
      </w:r>
      <w:r w:rsidRPr="002D756D">
        <w:rPr>
          <w:rFonts w:ascii="Cambria" w:hAnsi="Cambria" w:cs="Times New Roman"/>
          <w:noProof/>
        </w:rPr>
        <w:t xml:space="preserve">, </w:t>
      </w:r>
      <w:r w:rsidRPr="002D756D">
        <w:rPr>
          <w:rFonts w:ascii="Cambria" w:hAnsi="Cambria" w:cs="Times New Roman"/>
          <w:i/>
          <w:iCs/>
          <w:noProof/>
        </w:rPr>
        <w:t>212</w:t>
      </w:r>
      <w:r w:rsidRPr="002D756D">
        <w:rPr>
          <w:rFonts w:ascii="Cambria" w:hAnsi="Cambria" w:cs="Times New Roman"/>
          <w:noProof/>
        </w:rPr>
        <w:t>(2), 237–251. doi:10.1006/jtbi.2001.2369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Hanegraaf, P. P. F., Stouthamer, A. H., &amp; Kooijman, S. A. L. M. (2000). A mathematical model for yeast respiro-fermentative physiology. </w:t>
      </w:r>
      <w:r w:rsidRPr="002D756D">
        <w:rPr>
          <w:rFonts w:ascii="Cambria" w:hAnsi="Cambria" w:cs="Times New Roman"/>
          <w:i/>
          <w:iCs/>
          <w:noProof/>
        </w:rPr>
        <w:t>Yeast</w:t>
      </w:r>
      <w:r w:rsidRPr="002D756D">
        <w:rPr>
          <w:rFonts w:ascii="Cambria" w:hAnsi="Cambria" w:cs="Times New Roman"/>
          <w:noProof/>
        </w:rPr>
        <w:t xml:space="preserve">, </w:t>
      </w:r>
      <w:r w:rsidRPr="002D756D">
        <w:rPr>
          <w:rFonts w:ascii="Cambria" w:hAnsi="Cambria" w:cs="Times New Roman"/>
          <w:i/>
          <w:iCs/>
          <w:noProof/>
        </w:rPr>
        <w:t>16</w:t>
      </w:r>
      <w:r w:rsidRPr="002D756D">
        <w:rPr>
          <w:rFonts w:ascii="Cambria" w:hAnsi="Cambria" w:cs="Times New Roman"/>
          <w:noProof/>
        </w:rPr>
        <w:t>(5), 423–437. doi:10.1002/(SICI)1097-0061(20000330)16:5&lt;423::AID-YEA541&gt;3.0.CO;2-I</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Hararuk, O., Smith, M. J., &amp; Luo, Y. (2015). Microbial models with data-driven parameters predict stronger soil carbon responses to climate change. </w:t>
      </w:r>
      <w:r w:rsidRPr="002D756D">
        <w:rPr>
          <w:rFonts w:ascii="Cambria" w:hAnsi="Cambria" w:cs="Times New Roman"/>
          <w:i/>
          <w:iCs/>
          <w:noProof/>
        </w:rPr>
        <w:t>Global Change Biology</w:t>
      </w:r>
      <w:r w:rsidRPr="002D756D">
        <w:rPr>
          <w:rFonts w:ascii="Cambria" w:hAnsi="Cambria" w:cs="Times New Roman"/>
          <w:noProof/>
        </w:rPr>
        <w:t xml:space="preserve">, </w:t>
      </w:r>
      <w:r w:rsidRPr="002D756D">
        <w:rPr>
          <w:rFonts w:ascii="Cambria" w:hAnsi="Cambria" w:cs="Times New Roman"/>
          <w:i/>
          <w:iCs/>
          <w:noProof/>
        </w:rPr>
        <w:t>21</w:t>
      </w:r>
      <w:r w:rsidRPr="002D756D">
        <w:rPr>
          <w:rFonts w:ascii="Cambria" w:hAnsi="Cambria" w:cs="Times New Roman"/>
          <w:noProof/>
        </w:rPr>
        <w:t>(6), 2439–53. doi:10.1111/gcb.12827</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He, Y., Yang, J., Zhuang, Q., McGuire, A. D., Zhu, Q., Liu, Y., &amp; Teskey, R. O. (2014). Uncertainty in the fate of soil organic carbon: A comparison of three conceptually different decomposition models at a larch plantation. </w:t>
      </w:r>
      <w:r w:rsidRPr="002D756D">
        <w:rPr>
          <w:rFonts w:ascii="Cambria" w:hAnsi="Cambria" w:cs="Times New Roman"/>
          <w:i/>
          <w:iCs/>
          <w:noProof/>
        </w:rPr>
        <w:t>Journal of Geophysical Research: Biogeosciences</w:t>
      </w:r>
      <w:r w:rsidRPr="002D756D">
        <w:rPr>
          <w:rFonts w:ascii="Cambria" w:hAnsi="Cambria" w:cs="Times New Roman"/>
          <w:noProof/>
        </w:rPr>
        <w:t xml:space="preserve">, </w:t>
      </w:r>
      <w:r w:rsidRPr="002D756D">
        <w:rPr>
          <w:rFonts w:ascii="Cambria" w:hAnsi="Cambria" w:cs="Times New Roman"/>
          <w:i/>
          <w:iCs/>
          <w:noProof/>
        </w:rPr>
        <w:t>119</w:t>
      </w:r>
      <w:r w:rsidRPr="002D756D">
        <w:rPr>
          <w:rFonts w:ascii="Cambria" w:hAnsi="Cambria" w:cs="Times New Roman"/>
          <w:noProof/>
        </w:rPr>
        <w:t>(9), 1892–1905. doi:10.1002/2014JG002701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Heinemeyer, A., Croft, S., Garnett, M. H., Gloor, E., Holden, J., Lomas, M. R., &amp; Ineson, P. (2010). The MILLENNIA peat cohort model: predicting past, present and future soil carbon budgets and fluxes under changing climates in peatlands. </w:t>
      </w:r>
      <w:r w:rsidRPr="002D756D">
        <w:rPr>
          <w:rFonts w:ascii="Cambria" w:hAnsi="Cambria" w:cs="Times New Roman"/>
          <w:i/>
          <w:iCs/>
          <w:noProof/>
        </w:rPr>
        <w:t>CLIMATE RESEARCH</w:t>
      </w:r>
      <w:r w:rsidRPr="002D756D">
        <w:rPr>
          <w:rFonts w:ascii="Cambria" w:hAnsi="Cambria" w:cs="Times New Roman"/>
          <w:noProof/>
        </w:rPr>
        <w:t xml:space="preserve">, </w:t>
      </w:r>
      <w:r w:rsidRPr="002D756D">
        <w:rPr>
          <w:rFonts w:ascii="Cambria" w:hAnsi="Cambria" w:cs="Times New Roman"/>
          <w:i/>
          <w:iCs/>
          <w:noProof/>
        </w:rPr>
        <w:t>45</w:t>
      </w:r>
      <w:r w:rsidRPr="002D756D">
        <w:rPr>
          <w:rFonts w:ascii="Cambria" w:hAnsi="Cambria" w:cs="Times New Roman"/>
          <w:noProof/>
        </w:rPr>
        <w:t>(1), 207–226. doi:10.3354/cr00928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Herman, J., Moorhead, D., &amp; Berg, B. (2008). The relationship between rates of lignin and cellulose decay in aboveground forest litter. </w:t>
      </w:r>
      <w:r w:rsidRPr="002D756D">
        <w:rPr>
          <w:rFonts w:ascii="Cambria" w:hAnsi="Cambria" w:cs="Times New Roman"/>
          <w:i/>
          <w:iCs/>
          <w:noProof/>
        </w:rPr>
        <w:t>Soil Biology &amp; Biochemistry</w:t>
      </w:r>
      <w:r w:rsidRPr="002D756D">
        <w:rPr>
          <w:rFonts w:ascii="Cambria" w:hAnsi="Cambria" w:cs="Times New Roman"/>
          <w:noProof/>
        </w:rPr>
        <w:t xml:space="preserve">, </w:t>
      </w:r>
      <w:r w:rsidRPr="002D756D">
        <w:rPr>
          <w:rFonts w:ascii="Cambria" w:hAnsi="Cambria" w:cs="Times New Roman"/>
          <w:i/>
          <w:iCs/>
          <w:noProof/>
        </w:rPr>
        <w:t>40</w:t>
      </w:r>
      <w:r w:rsidRPr="002D756D">
        <w:rPr>
          <w:rFonts w:ascii="Cambria" w:hAnsi="Cambria" w:cs="Times New Roman"/>
          <w:noProof/>
        </w:rPr>
        <w:t>(10), 2620–2626. doi:10.1016/j.soilbio.2008.07.003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Huang, Y., Guenet, B., Ciais, P., Janssens, I. A., Soong, J. L., Wang, Y., … Huang, Y. (2018). ORCHIMIC (v1.0), a microbe-mediated model for soil organic matter decomposition. </w:t>
      </w:r>
      <w:r w:rsidRPr="002D756D">
        <w:rPr>
          <w:rFonts w:ascii="Cambria" w:hAnsi="Cambria" w:cs="Times New Roman"/>
          <w:i/>
          <w:iCs/>
          <w:noProof/>
        </w:rPr>
        <w:t>Geoscientific Model Development</w:t>
      </w:r>
      <w:r w:rsidRPr="002D756D">
        <w:rPr>
          <w:rFonts w:ascii="Cambria" w:hAnsi="Cambria" w:cs="Times New Roman"/>
          <w:noProof/>
        </w:rPr>
        <w:t xml:space="preserve">, </w:t>
      </w:r>
      <w:r w:rsidRPr="002D756D">
        <w:rPr>
          <w:rFonts w:ascii="Cambria" w:hAnsi="Cambria" w:cs="Times New Roman"/>
          <w:i/>
          <w:iCs/>
          <w:noProof/>
        </w:rPr>
        <w:t>11</w:t>
      </w:r>
      <w:r w:rsidRPr="002D756D">
        <w:rPr>
          <w:rFonts w:ascii="Cambria" w:hAnsi="Cambria" w:cs="Times New Roman"/>
          <w:noProof/>
        </w:rPr>
        <w:t>(6), 2111–2138. doi:10.5194/gmd-11-2111-2018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Jagadamma, S., Mayes, M. A., Steinweg, J. M., &amp; Schaeffer, S. M. (2014). Substrate quality alters the microbial mineralization of added substrate and soil organic carbon. </w:t>
      </w:r>
      <w:r w:rsidRPr="002D756D">
        <w:rPr>
          <w:rFonts w:ascii="Cambria" w:hAnsi="Cambria" w:cs="Times New Roman"/>
          <w:i/>
          <w:iCs/>
          <w:noProof/>
        </w:rPr>
        <w:t>Biogeosciences</w:t>
      </w:r>
      <w:r w:rsidRPr="002D756D">
        <w:rPr>
          <w:rFonts w:ascii="Cambria" w:hAnsi="Cambria" w:cs="Times New Roman"/>
          <w:noProof/>
        </w:rPr>
        <w:t xml:space="preserve">, </w:t>
      </w:r>
      <w:r w:rsidRPr="002D756D">
        <w:rPr>
          <w:rFonts w:ascii="Cambria" w:hAnsi="Cambria" w:cs="Times New Roman"/>
          <w:i/>
          <w:iCs/>
          <w:noProof/>
        </w:rPr>
        <w:t>11</w:t>
      </w:r>
      <w:r w:rsidRPr="002D756D">
        <w:rPr>
          <w:rFonts w:ascii="Cambria" w:hAnsi="Cambria" w:cs="Times New Roman"/>
          <w:noProof/>
        </w:rPr>
        <w:t>(17), 4665–4678. doi:10.5194/bg-11-4665-2014</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Kaiser, C., Franklin, O., Richter, A., &amp; Dieckmann, U. (2015). Social dynamics within </w:t>
      </w:r>
      <w:r w:rsidRPr="002D756D">
        <w:rPr>
          <w:rFonts w:ascii="Cambria" w:hAnsi="Cambria" w:cs="Times New Roman"/>
          <w:noProof/>
        </w:rPr>
        <w:lastRenderedPageBreak/>
        <w:t xml:space="preserve">decomposer communities lead to nitrogen retention and organic matter build-up in soils. </w:t>
      </w:r>
      <w:r w:rsidRPr="002D756D">
        <w:rPr>
          <w:rFonts w:ascii="Cambria" w:hAnsi="Cambria" w:cs="Times New Roman"/>
          <w:i/>
          <w:iCs/>
          <w:noProof/>
        </w:rPr>
        <w:t>Nature Communications</w:t>
      </w:r>
      <w:r w:rsidRPr="002D756D">
        <w:rPr>
          <w:rFonts w:ascii="Cambria" w:hAnsi="Cambria" w:cs="Times New Roman"/>
          <w:noProof/>
        </w:rPr>
        <w:t xml:space="preserve">, </w:t>
      </w:r>
      <w:r w:rsidRPr="002D756D">
        <w:rPr>
          <w:rFonts w:ascii="Cambria" w:hAnsi="Cambria" w:cs="Times New Roman"/>
          <w:i/>
          <w:iCs/>
          <w:noProof/>
        </w:rPr>
        <w:t>6</w:t>
      </w:r>
      <w:r w:rsidRPr="002D756D">
        <w:rPr>
          <w:rFonts w:ascii="Cambria" w:hAnsi="Cambria" w:cs="Times New Roman"/>
          <w:noProof/>
        </w:rPr>
        <w:t>, 8960. doi:10.1038/ncomms9960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Kooijman, S. A. L. M. (2009). </w:t>
      </w:r>
      <w:r w:rsidRPr="002D756D">
        <w:rPr>
          <w:rFonts w:ascii="Cambria" w:hAnsi="Cambria" w:cs="Times New Roman"/>
          <w:i/>
          <w:iCs/>
          <w:noProof/>
        </w:rPr>
        <w:t>Dynamic Energy Budget theory for metabolic organisation</w:t>
      </w:r>
      <w:r w:rsidRPr="002D756D">
        <w:rPr>
          <w:rFonts w:ascii="Cambria" w:hAnsi="Cambria" w:cs="Times New Roman"/>
          <w:noProof/>
        </w:rPr>
        <w:t xml:space="preserve"> (Third). Cambridge, United Kingdom and New York, NY, USA: Cambridge University Press.</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la Cecilia, D., Riley, W. J., &amp; Maggi, F. (2018). Biochemical modeling of microbial memory effects and catabolite repression on soil organic carbon compounds. </w:t>
      </w:r>
      <w:r w:rsidRPr="002D756D">
        <w:rPr>
          <w:rFonts w:ascii="Cambria" w:hAnsi="Cambria" w:cs="Times New Roman"/>
          <w:i/>
          <w:iCs/>
          <w:noProof/>
        </w:rPr>
        <w:t>Soil Biology and Biochemistry</w:t>
      </w:r>
      <w:r w:rsidRPr="002D756D">
        <w:rPr>
          <w:rFonts w:ascii="Cambria" w:hAnsi="Cambria" w:cs="Times New Roman"/>
          <w:noProof/>
        </w:rPr>
        <w:t>. doi:10.1016/J.SOILBIO.2018.10.003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Lawrence, D. M., Oleson, K. W., Flanner, M. G., Thornton, P. E., Swenson, S. C., Lawrence, P. J., … Slater, A. G. (2011). Parameterization improvements and functional and structural advances in Version 4 of the Community Land Model. </w:t>
      </w:r>
      <w:r w:rsidRPr="002D756D">
        <w:rPr>
          <w:rFonts w:ascii="Cambria" w:hAnsi="Cambria" w:cs="Times New Roman"/>
          <w:i/>
          <w:iCs/>
          <w:noProof/>
        </w:rPr>
        <w:t>Journal of Advances in Modeling Earth Systems</w:t>
      </w:r>
      <w:r w:rsidRPr="002D756D">
        <w:rPr>
          <w:rFonts w:ascii="Cambria" w:hAnsi="Cambria" w:cs="Times New Roman"/>
          <w:noProof/>
        </w:rPr>
        <w:t xml:space="preserve">, </w:t>
      </w:r>
      <w:r w:rsidRPr="002D756D">
        <w:rPr>
          <w:rFonts w:ascii="Cambria" w:hAnsi="Cambria" w:cs="Times New Roman"/>
          <w:i/>
          <w:iCs/>
          <w:noProof/>
        </w:rPr>
        <w:t>3</w:t>
      </w:r>
      <w:r w:rsidRPr="002D756D">
        <w:rPr>
          <w:rFonts w:ascii="Cambria" w:hAnsi="Cambria" w:cs="Times New Roman"/>
          <w:noProof/>
        </w:rPr>
        <w:t>(3), M03001. doi:10.1029/2011MS000045</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Leininger, S., Urich, T., Schloter, M., Schwark, L., Qi, J., Nicol, G. W., … Schleper, C. (2006). Archaea predominate among ammonia-oxidizing prokaryotes in soils. </w:t>
      </w:r>
      <w:r w:rsidRPr="002D756D">
        <w:rPr>
          <w:rFonts w:ascii="Cambria" w:hAnsi="Cambria" w:cs="Times New Roman"/>
          <w:i/>
          <w:iCs/>
          <w:noProof/>
        </w:rPr>
        <w:t>Nature</w:t>
      </w:r>
      <w:r w:rsidRPr="002D756D">
        <w:rPr>
          <w:rFonts w:ascii="Cambria" w:hAnsi="Cambria" w:cs="Times New Roman"/>
          <w:noProof/>
        </w:rPr>
        <w:t xml:space="preserve">, </w:t>
      </w:r>
      <w:r w:rsidRPr="002D756D">
        <w:rPr>
          <w:rFonts w:ascii="Cambria" w:hAnsi="Cambria" w:cs="Times New Roman"/>
          <w:i/>
          <w:iCs/>
          <w:noProof/>
        </w:rPr>
        <w:t>442</w:t>
      </w:r>
      <w:r w:rsidRPr="002D756D">
        <w:rPr>
          <w:rFonts w:ascii="Cambria" w:hAnsi="Cambria" w:cs="Times New Roman"/>
          <w:noProof/>
        </w:rPr>
        <w:t>(7104), 806–809. doi:10.1038/nature04983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Li, J. W., Wang, G. S., Allison, S. D., Mayes, M. A., &amp; Luo, Y. Q. (2014). Soil carbon sensitivity to temperature and carbon use efficiency compared across microbial-ecosystem models of varying complexity. </w:t>
      </w:r>
      <w:r w:rsidRPr="002D756D">
        <w:rPr>
          <w:rFonts w:ascii="Cambria" w:hAnsi="Cambria" w:cs="Times New Roman"/>
          <w:i/>
          <w:iCs/>
          <w:noProof/>
        </w:rPr>
        <w:t>Biogeochemistry</w:t>
      </w:r>
      <w:r w:rsidRPr="002D756D">
        <w:rPr>
          <w:rFonts w:ascii="Cambria" w:hAnsi="Cambria" w:cs="Times New Roman"/>
          <w:noProof/>
        </w:rPr>
        <w:t xml:space="preserve">, </w:t>
      </w:r>
      <w:r w:rsidRPr="002D756D">
        <w:rPr>
          <w:rFonts w:ascii="Cambria" w:hAnsi="Cambria" w:cs="Times New Roman"/>
          <w:i/>
          <w:iCs/>
          <w:noProof/>
        </w:rPr>
        <w:t>119</w:t>
      </w:r>
      <w:r w:rsidRPr="002D756D">
        <w:rPr>
          <w:rFonts w:ascii="Cambria" w:hAnsi="Cambria" w:cs="Times New Roman"/>
          <w:noProof/>
        </w:rPr>
        <w:t>(1–3), 67–84. doi:10.1007/s10533-013-9948-8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Liu, Y.-R., Delgado-Baquerizo, M., Wang, J.-T., Hu, H.-W., Yang, Z., &amp; He, J.-Z. (2018). New insights into the role of microbial community composition in driving soil respiration rates.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118</w:t>
      </w:r>
      <w:r w:rsidRPr="002D756D">
        <w:rPr>
          <w:rFonts w:ascii="Cambria" w:hAnsi="Cambria" w:cs="Times New Roman"/>
          <w:noProof/>
        </w:rPr>
        <w:t>, 35–41. doi:10.1016/J.SOILBIO.2017.12.003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Manzoni, S., Schaeffer, S. M., Katul, G., Porporato, A., &amp; Schimel, J. P. (2014). A theoretical analysis of microbial eco-physiological and diffusion limitations to carbon cycling in drying soils. </w:t>
      </w:r>
      <w:r w:rsidRPr="002D756D">
        <w:rPr>
          <w:rFonts w:ascii="Cambria" w:hAnsi="Cambria" w:cs="Times New Roman"/>
          <w:i/>
          <w:iCs/>
          <w:noProof/>
        </w:rPr>
        <w:t>Soil Biology &amp; Biochemistry</w:t>
      </w:r>
      <w:r w:rsidRPr="002D756D">
        <w:rPr>
          <w:rFonts w:ascii="Cambria" w:hAnsi="Cambria" w:cs="Times New Roman"/>
          <w:noProof/>
        </w:rPr>
        <w:t xml:space="preserve">, </w:t>
      </w:r>
      <w:r w:rsidRPr="002D756D">
        <w:rPr>
          <w:rFonts w:ascii="Cambria" w:hAnsi="Cambria" w:cs="Times New Roman"/>
          <w:i/>
          <w:iCs/>
          <w:noProof/>
        </w:rPr>
        <w:t>73</w:t>
      </w:r>
      <w:r w:rsidRPr="002D756D">
        <w:rPr>
          <w:rFonts w:ascii="Cambria" w:hAnsi="Cambria" w:cs="Times New Roman"/>
          <w:noProof/>
        </w:rPr>
        <w:t>, 69–83. doi:10.1016/j.soilbio.2014.02.008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Marstorp, H., Guan, X., &amp; Gong, P. (2000). Relationship between dsDNA, chloroform labile C and ergosterol in soils of different organic matter contents and pH.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32</w:t>
      </w:r>
      <w:r w:rsidRPr="002D756D">
        <w:rPr>
          <w:rFonts w:ascii="Cambria" w:hAnsi="Cambria" w:cs="Times New Roman"/>
          <w:noProof/>
        </w:rPr>
        <w:t>(6), 879–882. doi:10.1016/S0038-0717(99)00210-2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Marstorp, H., &amp; Witter, E. (1999). Extractable dsDNA and product formation as measures of microbial growth in soil upon substrate addition.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31</w:t>
      </w:r>
      <w:r w:rsidRPr="002D756D">
        <w:rPr>
          <w:rFonts w:ascii="Cambria" w:hAnsi="Cambria" w:cs="Times New Roman"/>
          <w:noProof/>
        </w:rPr>
        <w:t>(10), 1443–1453. doi:10.1016/S0038-0717(99)00065-6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Mauter, M., Fait, A., Elimelech, M., &amp; Herzberg, M. (2013). Surface Cell Density Effects on Escherichia coli Gene Expression during Cell Attachment. </w:t>
      </w:r>
      <w:r w:rsidRPr="002D756D">
        <w:rPr>
          <w:rFonts w:ascii="Cambria" w:hAnsi="Cambria" w:cs="Times New Roman"/>
          <w:i/>
          <w:iCs/>
          <w:noProof/>
        </w:rPr>
        <w:t>Environmental Science &amp; Technology</w:t>
      </w:r>
      <w:r w:rsidRPr="002D756D">
        <w:rPr>
          <w:rFonts w:ascii="Cambria" w:hAnsi="Cambria" w:cs="Times New Roman"/>
          <w:noProof/>
        </w:rPr>
        <w:t xml:space="preserve">, </w:t>
      </w:r>
      <w:r w:rsidRPr="002D756D">
        <w:rPr>
          <w:rFonts w:ascii="Cambria" w:hAnsi="Cambria" w:cs="Times New Roman"/>
          <w:i/>
          <w:iCs/>
          <w:noProof/>
        </w:rPr>
        <w:t>47</w:t>
      </w:r>
      <w:r w:rsidRPr="002D756D">
        <w:rPr>
          <w:rFonts w:ascii="Cambria" w:hAnsi="Cambria" w:cs="Times New Roman"/>
          <w:noProof/>
        </w:rPr>
        <w:t>(12), 6223–6230. doi:10.1021/es3047069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Moyano, F. E., Vasilyeva, N., &amp; Menichetti, L. (2018). Diffusion limitations and Michaelis–Menten kinetics as drivers of combined temperature and moisture effects on carbon fluxes of mineral soils. </w:t>
      </w:r>
      <w:r w:rsidRPr="002D756D">
        <w:rPr>
          <w:rFonts w:ascii="Cambria" w:hAnsi="Cambria" w:cs="Times New Roman"/>
          <w:i/>
          <w:iCs/>
          <w:noProof/>
        </w:rPr>
        <w:t>Biogeosciences</w:t>
      </w:r>
      <w:r w:rsidRPr="002D756D">
        <w:rPr>
          <w:rFonts w:ascii="Cambria" w:hAnsi="Cambria" w:cs="Times New Roman"/>
          <w:noProof/>
        </w:rPr>
        <w:t xml:space="preserve">, </w:t>
      </w:r>
      <w:r w:rsidRPr="002D756D">
        <w:rPr>
          <w:rFonts w:ascii="Cambria" w:hAnsi="Cambria" w:cs="Times New Roman"/>
          <w:i/>
          <w:iCs/>
          <w:noProof/>
        </w:rPr>
        <w:t>15</w:t>
      </w:r>
      <w:r w:rsidRPr="002D756D">
        <w:rPr>
          <w:rFonts w:ascii="Cambria" w:hAnsi="Cambria" w:cs="Times New Roman"/>
          <w:noProof/>
        </w:rPr>
        <w:t>(16), 5031–5045. doi:10.5194/bg-15-5031-2018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lastRenderedPageBreak/>
        <w:t xml:space="preserve">Mullen, K., Ardia, D., Gil, D., Windover, D., &amp; Cline, J. (2011). “DEoptim”: An R Package for Global Optimization by Differential Evolution. </w:t>
      </w:r>
      <w:r w:rsidRPr="002D756D">
        <w:rPr>
          <w:rFonts w:ascii="Cambria" w:hAnsi="Cambria" w:cs="Times New Roman"/>
          <w:i/>
          <w:iCs/>
          <w:noProof/>
        </w:rPr>
        <w:t>Journal of Statistical Software</w:t>
      </w:r>
      <w:r w:rsidRPr="002D756D">
        <w:rPr>
          <w:rFonts w:ascii="Cambria" w:hAnsi="Cambria" w:cs="Times New Roman"/>
          <w:noProof/>
        </w:rPr>
        <w:t xml:space="preserve">, </w:t>
      </w:r>
      <w:r w:rsidRPr="002D756D">
        <w:rPr>
          <w:rFonts w:ascii="Cambria" w:hAnsi="Cambria" w:cs="Times New Roman"/>
          <w:i/>
          <w:iCs/>
          <w:noProof/>
        </w:rPr>
        <w:t>40</w:t>
      </w:r>
      <w:r w:rsidRPr="002D756D">
        <w:rPr>
          <w:rFonts w:ascii="Cambria" w:hAnsi="Cambria" w:cs="Times New Roman"/>
          <w:noProof/>
        </w:rPr>
        <w:t>(6), 1–26.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Nunan, N., Leloup, J., Ruamps, L. S., Pouteau, V., &amp; Chenu, C. (2017). Effects of habitat constraints on soil microbial community function. </w:t>
      </w:r>
      <w:r w:rsidRPr="002D756D">
        <w:rPr>
          <w:rFonts w:ascii="Cambria" w:hAnsi="Cambria" w:cs="Times New Roman"/>
          <w:i/>
          <w:iCs/>
          <w:noProof/>
        </w:rPr>
        <w:t>Scientific Reports</w:t>
      </w:r>
      <w:r w:rsidRPr="002D756D">
        <w:rPr>
          <w:rFonts w:ascii="Cambria" w:hAnsi="Cambria" w:cs="Times New Roman"/>
          <w:noProof/>
        </w:rPr>
        <w:t xml:space="preserve">, </w:t>
      </w:r>
      <w:r w:rsidRPr="002D756D">
        <w:rPr>
          <w:rFonts w:ascii="Cambria" w:hAnsi="Cambria" w:cs="Times New Roman"/>
          <w:i/>
          <w:iCs/>
          <w:noProof/>
        </w:rPr>
        <w:t>7</w:t>
      </w:r>
      <w:r w:rsidRPr="002D756D">
        <w:rPr>
          <w:rFonts w:ascii="Cambria" w:hAnsi="Cambria" w:cs="Times New Roman"/>
          <w:noProof/>
        </w:rPr>
        <w:t>(1), 4280. doi:10.1038/s41598-017-04485-z</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Oldfield, E. E., Crowther, T. W., &amp; Bradford, M. A. (2018). Substrate identity and amount overwhelm temperature effects on soil carbon formation.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124</w:t>
      </w:r>
      <w:r w:rsidRPr="002D756D">
        <w:rPr>
          <w:rFonts w:ascii="Cambria" w:hAnsi="Cambria" w:cs="Times New Roman"/>
          <w:noProof/>
        </w:rPr>
        <w:t>, 218–226. doi:10.1016/J.SOILBIO.2018.06.014</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Parton, W. J., Stewart, J. W. B., &amp; Cole, C. V. (1988). Dynamics of C, N, P and S in grassland soils: a model. </w:t>
      </w:r>
      <w:r w:rsidRPr="002D756D">
        <w:rPr>
          <w:rFonts w:ascii="Cambria" w:hAnsi="Cambria" w:cs="Times New Roman"/>
          <w:i/>
          <w:iCs/>
          <w:noProof/>
        </w:rPr>
        <w:t>Biogeochemistry</w:t>
      </w:r>
      <w:r w:rsidRPr="002D756D">
        <w:rPr>
          <w:rFonts w:ascii="Cambria" w:hAnsi="Cambria" w:cs="Times New Roman"/>
          <w:noProof/>
        </w:rPr>
        <w:t xml:space="preserve">, </w:t>
      </w:r>
      <w:r w:rsidRPr="002D756D">
        <w:rPr>
          <w:rFonts w:ascii="Cambria" w:hAnsi="Cambria" w:cs="Times New Roman"/>
          <w:i/>
          <w:iCs/>
          <w:noProof/>
        </w:rPr>
        <w:t>5</w:t>
      </w:r>
      <w:r w:rsidRPr="002D756D">
        <w:rPr>
          <w:rFonts w:ascii="Cambria" w:hAnsi="Cambria" w:cs="Times New Roman"/>
          <w:noProof/>
        </w:rPr>
        <w:t>(1), 109–131. doi:10.1007/BF02180320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R Development Core Team. (2014). R: A language and environment for statistical computing. (R. D. C. Team, Ed.), </w:t>
      </w:r>
      <w:r w:rsidRPr="002D756D">
        <w:rPr>
          <w:rFonts w:ascii="Cambria" w:hAnsi="Cambria" w:cs="Times New Roman"/>
          <w:i/>
          <w:iCs/>
          <w:noProof/>
        </w:rPr>
        <w:t>R Foundation for Statistical Computing, Vienna, Austria. URL Http://Www.R-Project.Org/</w:t>
      </w:r>
      <w:r w:rsidRPr="002D756D">
        <w:rPr>
          <w:rFonts w:ascii="Cambria" w:hAnsi="Cambria" w:cs="Times New Roman"/>
          <w:noProof/>
        </w:rPr>
        <w:t>. R Foundation for Statistical Computing. doi:10.1007/978-3-540-74686-7</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Roels, J. A. (1980). Application of macroscopic principles to microbial metabolism. </w:t>
      </w:r>
      <w:r w:rsidRPr="002D756D">
        <w:rPr>
          <w:rFonts w:ascii="Cambria" w:hAnsi="Cambria" w:cs="Times New Roman"/>
          <w:i/>
          <w:iCs/>
          <w:noProof/>
        </w:rPr>
        <w:t>Biotechnology and Bioengineering</w:t>
      </w:r>
      <w:r w:rsidRPr="002D756D">
        <w:rPr>
          <w:rFonts w:ascii="Cambria" w:hAnsi="Cambria" w:cs="Times New Roman"/>
          <w:noProof/>
        </w:rPr>
        <w:t xml:space="preserve">, </w:t>
      </w:r>
      <w:r w:rsidRPr="002D756D">
        <w:rPr>
          <w:rFonts w:ascii="Cambria" w:hAnsi="Cambria" w:cs="Times New Roman"/>
          <w:i/>
          <w:iCs/>
          <w:noProof/>
        </w:rPr>
        <w:t>22</w:t>
      </w:r>
      <w:r w:rsidRPr="002D756D">
        <w:rPr>
          <w:rFonts w:ascii="Cambria" w:hAnsi="Cambria" w:cs="Times New Roman"/>
          <w:noProof/>
        </w:rPr>
        <w:t>(12), 2457–2514. doi:10.1002/bit.260221202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Ross, D. J., &amp; Täte, K. R. (1993). Microbial C and N in litter and soil of a southern beech (Nothofagus) forest: Comparison of measurement procedures.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25</w:t>
      </w:r>
      <w:r w:rsidRPr="002D756D">
        <w:rPr>
          <w:rFonts w:ascii="Cambria" w:hAnsi="Cambria" w:cs="Times New Roman"/>
          <w:noProof/>
        </w:rPr>
        <w:t>(4), 467–475. doi:10.1016/0038-0717(93)90072-J</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Salazar, A., Sulman, B. N., &amp; Dukes, J. S. (2018). Microbial dormancy promotes microbial biomass and respiration across pulses of drying-wetting stress.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116</w:t>
      </w:r>
      <w:r w:rsidRPr="002D756D">
        <w:rPr>
          <w:rFonts w:ascii="Cambria" w:hAnsi="Cambria" w:cs="Times New Roman"/>
          <w:noProof/>
        </w:rPr>
        <w:t>, 237–244. doi:10.1016/J.SOILBIO.2017.10.017</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Schädel, C., Schuur, E. A. G., Bracho, R., Elberling, B., Knoblauch, C., Lee, H., … Turetsky, M. R. (2014). Circumpolar assessment of permafrost C quality and its vulnerability over time using long-term incubation data. </w:t>
      </w:r>
      <w:r w:rsidRPr="002D756D">
        <w:rPr>
          <w:rFonts w:ascii="Cambria" w:hAnsi="Cambria" w:cs="Times New Roman"/>
          <w:i/>
          <w:iCs/>
          <w:noProof/>
        </w:rPr>
        <w:t>Global Change Biology</w:t>
      </w:r>
      <w:r w:rsidRPr="002D756D">
        <w:rPr>
          <w:rFonts w:ascii="Cambria" w:hAnsi="Cambria" w:cs="Times New Roman"/>
          <w:noProof/>
        </w:rPr>
        <w:t xml:space="preserve">, </w:t>
      </w:r>
      <w:r w:rsidRPr="002D756D">
        <w:rPr>
          <w:rFonts w:ascii="Cambria" w:hAnsi="Cambria" w:cs="Times New Roman"/>
          <w:i/>
          <w:iCs/>
          <w:noProof/>
        </w:rPr>
        <w:t>20</w:t>
      </w:r>
      <w:r w:rsidRPr="002D756D">
        <w:rPr>
          <w:rFonts w:ascii="Cambria" w:hAnsi="Cambria" w:cs="Times New Roman"/>
          <w:noProof/>
        </w:rPr>
        <w:t>(2), 641–652. doi:10.1111/gcb.12417</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Schimel, J. P., Scott, W. J., &amp; Killham, K. (1989). Changes in cytoplasmic carbon and nitrogen pools in a soil bacterium and a fungus in response to salt stress. </w:t>
      </w:r>
      <w:r w:rsidRPr="002D756D">
        <w:rPr>
          <w:rFonts w:ascii="Cambria" w:hAnsi="Cambria" w:cs="Times New Roman"/>
          <w:i/>
          <w:iCs/>
          <w:noProof/>
        </w:rPr>
        <w:t>Applied and Environmental Microbiology</w:t>
      </w:r>
      <w:r w:rsidRPr="002D756D">
        <w:rPr>
          <w:rFonts w:ascii="Cambria" w:hAnsi="Cambria" w:cs="Times New Roman"/>
          <w:noProof/>
        </w:rPr>
        <w:t xml:space="preserve">, </w:t>
      </w:r>
      <w:r w:rsidRPr="002D756D">
        <w:rPr>
          <w:rFonts w:ascii="Cambria" w:hAnsi="Cambria" w:cs="Times New Roman"/>
          <w:i/>
          <w:iCs/>
          <w:noProof/>
        </w:rPr>
        <w:t>55</w:t>
      </w:r>
      <w:r w:rsidRPr="002D756D">
        <w:rPr>
          <w:rFonts w:ascii="Cambria" w:hAnsi="Cambria" w:cs="Times New Roman"/>
          <w:noProof/>
        </w:rPr>
        <w:t>(6), 1635–7. Retrieved from http://www.ncbi.nlm.nih.gov/pubmed/16347957</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Schimel, J. P., &amp; Weintraub, M. N. (2003). The implications of exoenzyme activity on microbial carbon and nitrogen limitation in soil: a theoretical model.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35</w:t>
      </w:r>
      <w:r w:rsidRPr="002D756D">
        <w:rPr>
          <w:rFonts w:ascii="Cambria" w:hAnsi="Cambria" w:cs="Times New Roman"/>
          <w:noProof/>
        </w:rPr>
        <w:t>(4), 549–563. doi:10.1016/s0038-0717(03)00015-4</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Schmidt, M. W. I., Torn, M. S., Abiven, S., Dittmar, T., Guggenberger, G., Janssens, I. A., … Trumbore, S. E. (2011). Persistence of soil organic matter as an ecosystem property. </w:t>
      </w:r>
      <w:r w:rsidRPr="002D756D">
        <w:rPr>
          <w:rFonts w:ascii="Cambria" w:hAnsi="Cambria" w:cs="Times New Roman"/>
          <w:i/>
          <w:iCs/>
          <w:noProof/>
        </w:rPr>
        <w:t>Nature</w:t>
      </w:r>
      <w:r w:rsidRPr="002D756D">
        <w:rPr>
          <w:rFonts w:ascii="Cambria" w:hAnsi="Cambria" w:cs="Times New Roman"/>
          <w:noProof/>
        </w:rPr>
        <w:t xml:space="preserve">, </w:t>
      </w:r>
      <w:r w:rsidRPr="002D756D">
        <w:rPr>
          <w:rFonts w:ascii="Cambria" w:hAnsi="Cambria" w:cs="Times New Roman"/>
          <w:i/>
          <w:iCs/>
          <w:noProof/>
        </w:rPr>
        <w:t>478</w:t>
      </w:r>
      <w:r w:rsidRPr="002D756D">
        <w:rPr>
          <w:rFonts w:ascii="Cambria" w:hAnsi="Cambria" w:cs="Times New Roman"/>
          <w:noProof/>
        </w:rPr>
        <w:t>(7367), 49–56. doi:10.1038/nature10386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Schnecker, J., Wild, B., Hofhansl, F., Alves, R. J. E., Barta, J., Capek, P., … Richter, A. (2014). </w:t>
      </w:r>
      <w:r w:rsidRPr="002D756D">
        <w:rPr>
          <w:rFonts w:ascii="Cambria" w:hAnsi="Cambria" w:cs="Times New Roman"/>
          <w:noProof/>
        </w:rPr>
        <w:lastRenderedPageBreak/>
        <w:t xml:space="preserve">Effects of Soil Organic Matter Properties and Microbial Community Composition on Enzyme Activities in Cryoturbated Arctic Soils. </w:t>
      </w:r>
      <w:r w:rsidRPr="002D756D">
        <w:rPr>
          <w:rFonts w:ascii="Cambria" w:hAnsi="Cambria" w:cs="Times New Roman"/>
          <w:i/>
          <w:iCs/>
          <w:noProof/>
        </w:rPr>
        <w:t>Plos One</w:t>
      </w:r>
      <w:r w:rsidRPr="002D756D">
        <w:rPr>
          <w:rFonts w:ascii="Cambria" w:hAnsi="Cambria" w:cs="Times New Roman"/>
          <w:noProof/>
        </w:rPr>
        <w:t xml:space="preserve">, </w:t>
      </w:r>
      <w:r w:rsidRPr="002D756D">
        <w:rPr>
          <w:rFonts w:ascii="Cambria" w:hAnsi="Cambria" w:cs="Times New Roman"/>
          <w:i/>
          <w:iCs/>
          <w:noProof/>
        </w:rPr>
        <w:t>9</w:t>
      </w:r>
      <w:r w:rsidRPr="002D756D">
        <w:rPr>
          <w:rFonts w:ascii="Cambria" w:hAnsi="Cambria" w:cs="Times New Roman"/>
          <w:noProof/>
        </w:rPr>
        <w:t>(4). doi:e9407610.1371/journal.pone.0094076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Sierra, C. A., Malghani, S., &amp; Müller, M. (2015). Model structure and parameter identification of soil organic matter models.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90</w:t>
      </w:r>
      <w:r w:rsidRPr="002D756D">
        <w:rPr>
          <w:rFonts w:ascii="Cambria" w:hAnsi="Cambria" w:cs="Times New Roman"/>
          <w:noProof/>
        </w:rPr>
        <w:t>, 197–203. doi:10.1016/j.soilbio.2015.08.012</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Sihi, D., Gerber, S., Inglett, P. W., &amp; Inglett, K. S. (2016). Comparing models of microbial–substrate interactions and their response to warming. </w:t>
      </w:r>
      <w:r w:rsidRPr="002D756D">
        <w:rPr>
          <w:rFonts w:ascii="Cambria" w:hAnsi="Cambria" w:cs="Times New Roman"/>
          <w:i/>
          <w:iCs/>
          <w:noProof/>
        </w:rPr>
        <w:t>Biogeosciences</w:t>
      </w:r>
      <w:r w:rsidRPr="002D756D">
        <w:rPr>
          <w:rFonts w:ascii="Cambria" w:hAnsi="Cambria" w:cs="Times New Roman"/>
          <w:noProof/>
        </w:rPr>
        <w:t xml:space="preserve">, </w:t>
      </w:r>
      <w:r w:rsidRPr="002D756D">
        <w:rPr>
          <w:rFonts w:ascii="Cambria" w:hAnsi="Cambria" w:cs="Times New Roman"/>
          <w:i/>
          <w:iCs/>
          <w:noProof/>
        </w:rPr>
        <w:t>13</w:t>
      </w:r>
      <w:r w:rsidRPr="002D756D">
        <w:rPr>
          <w:rFonts w:ascii="Cambria" w:hAnsi="Cambria" w:cs="Times New Roman"/>
          <w:noProof/>
        </w:rPr>
        <w:t>(6), 1733–1752. doi:10.5194/bg-13-1733-2016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Sinsabaugh, R. L., Manzoni, S., Moorhead, D. L., Richter, A., &amp; Elser, J. (2013). Carbon use efficiency of microbial communities: stoichiometry, methodology and modelling. </w:t>
      </w:r>
      <w:r w:rsidRPr="002D756D">
        <w:rPr>
          <w:rFonts w:ascii="Cambria" w:hAnsi="Cambria" w:cs="Times New Roman"/>
          <w:i/>
          <w:iCs/>
          <w:noProof/>
        </w:rPr>
        <w:t>Ecology Letters</w:t>
      </w:r>
      <w:r w:rsidRPr="002D756D">
        <w:rPr>
          <w:rFonts w:ascii="Cambria" w:hAnsi="Cambria" w:cs="Times New Roman"/>
          <w:noProof/>
        </w:rPr>
        <w:t xml:space="preserve">, </w:t>
      </w:r>
      <w:r w:rsidRPr="002D756D">
        <w:rPr>
          <w:rFonts w:ascii="Cambria" w:hAnsi="Cambria" w:cs="Times New Roman"/>
          <w:i/>
          <w:iCs/>
          <w:noProof/>
        </w:rPr>
        <w:t>16</w:t>
      </w:r>
      <w:r w:rsidRPr="002D756D">
        <w:rPr>
          <w:rFonts w:ascii="Cambria" w:hAnsi="Cambria" w:cs="Times New Roman"/>
          <w:noProof/>
        </w:rPr>
        <w:t>(7), 930–939. doi:10.1111/ele.12113</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Soetaert, K., &amp; Petzoldt, T. (2010). Inverse Modelling, Sensitivity and Monte Carlo Analysis in R Using Package FME. </w:t>
      </w:r>
      <w:r w:rsidRPr="002D756D">
        <w:rPr>
          <w:rFonts w:ascii="Cambria" w:hAnsi="Cambria" w:cs="Times New Roman"/>
          <w:i/>
          <w:iCs/>
          <w:noProof/>
        </w:rPr>
        <w:t>Journal of Statistical Software</w:t>
      </w:r>
      <w:r w:rsidRPr="002D756D">
        <w:rPr>
          <w:rFonts w:ascii="Cambria" w:hAnsi="Cambria" w:cs="Times New Roman"/>
          <w:noProof/>
        </w:rPr>
        <w:t xml:space="preserve">, </w:t>
      </w:r>
      <w:r w:rsidRPr="002D756D">
        <w:rPr>
          <w:rFonts w:ascii="Cambria" w:hAnsi="Cambria" w:cs="Times New Roman"/>
          <w:i/>
          <w:iCs/>
          <w:noProof/>
        </w:rPr>
        <w:t>33</w:t>
      </w:r>
      <w:r w:rsidRPr="002D756D">
        <w:rPr>
          <w:rFonts w:ascii="Cambria" w:hAnsi="Cambria" w:cs="Times New Roman"/>
          <w:noProof/>
        </w:rPr>
        <w:t>(3), 1–28.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Sparling, G. P., Feltham, C. W., Reynolds, J., West, A. W., &amp; Singleton, P. (1990). Estimation of soil microbial c by a fumigation-extraction method: use on soils of high organic matter content, and a reassessment of the kec-factor. </w:t>
      </w:r>
      <w:r w:rsidRPr="002D756D">
        <w:rPr>
          <w:rFonts w:ascii="Cambria" w:hAnsi="Cambria" w:cs="Times New Roman"/>
          <w:i/>
          <w:iCs/>
          <w:noProof/>
        </w:rPr>
        <w:t>Soil Biology and Biochemistry</w:t>
      </w:r>
      <w:r w:rsidRPr="002D756D">
        <w:rPr>
          <w:rFonts w:ascii="Cambria" w:hAnsi="Cambria" w:cs="Times New Roman"/>
          <w:noProof/>
        </w:rPr>
        <w:t xml:space="preserve">, </w:t>
      </w:r>
      <w:r w:rsidRPr="002D756D">
        <w:rPr>
          <w:rFonts w:ascii="Cambria" w:hAnsi="Cambria" w:cs="Times New Roman"/>
          <w:i/>
          <w:iCs/>
          <w:noProof/>
        </w:rPr>
        <w:t>22</w:t>
      </w:r>
      <w:r w:rsidRPr="002D756D">
        <w:rPr>
          <w:rFonts w:ascii="Cambria" w:hAnsi="Cambria" w:cs="Times New Roman"/>
          <w:noProof/>
        </w:rPr>
        <w:t>(3), 301–307. doi:10.1016/0038-0717(90)90104-8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Sparling, G., &amp; West, A. (1990). A comparison of gas-chromatography and differential respirometer methods to measure soil respiration and to estimate the soil microbial biomass. </w:t>
      </w:r>
      <w:r w:rsidRPr="002D756D">
        <w:rPr>
          <w:rFonts w:ascii="Cambria" w:hAnsi="Cambria" w:cs="Times New Roman"/>
          <w:i/>
          <w:iCs/>
          <w:noProof/>
        </w:rPr>
        <w:t>Pedobiologia</w:t>
      </w:r>
      <w:r w:rsidRPr="002D756D">
        <w:rPr>
          <w:rFonts w:ascii="Cambria" w:hAnsi="Cambria" w:cs="Times New Roman"/>
          <w:noProof/>
        </w:rPr>
        <w:t xml:space="preserve">, </w:t>
      </w:r>
      <w:r w:rsidRPr="002D756D">
        <w:rPr>
          <w:rFonts w:ascii="Cambria" w:hAnsi="Cambria" w:cs="Times New Roman"/>
          <w:i/>
          <w:iCs/>
          <w:noProof/>
        </w:rPr>
        <w:t>34</w:t>
      </w:r>
      <w:r w:rsidRPr="002D756D">
        <w:rPr>
          <w:rFonts w:ascii="Cambria" w:hAnsi="Cambria" w:cs="Times New Roman"/>
          <w:noProof/>
        </w:rPr>
        <w:t>(2), 103. Retrieved from https://eurekamag.com/research/001/736/001736146.php</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Stouthamer, A. H. (1973). A theoretical study on the amount of ATP required for synthesis of microbial cell material. </w:t>
      </w:r>
      <w:r w:rsidRPr="002D756D">
        <w:rPr>
          <w:rFonts w:ascii="Cambria" w:hAnsi="Cambria" w:cs="Times New Roman"/>
          <w:i/>
          <w:iCs/>
          <w:noProof/>
        </w:rPr>
        <w:t>Antonie van Leeuwenhoek</w:t>
      </w:r>
      <w:r w:rsidRPr="002D756D">
        <w:rPr>
          <w:rFonts w:ascii="Cambria" w:hAnsi="Cambria" w:cs="Times New Roman"/>
          <w:noProof/>
        </w:rPr>
        <w:t xml:space="preserve">, </w:t>
      </w:r>
      <w:r w:rsidRPr="002D756D">
        <w:rPr>
          <w:rFonts w:ascii="Cambria" w:hAnsi="Cambria" w:cs="Times New Roman"/>
          <w:i/>
          <w:iCs/>
          <w:noProof/>
        </w:rPr>
        <w:t>39</w:t>
      </w:r>
      <w:r w:rsidRPr="002D756D">
        <w:rPr>
          <w:rFonts w:ascii="Cambria" w:hAnsi="Cambria" w:cs="Times New Roman"/>
          <w:noProof/>
        </w:rPr>
        <w:t>(1), 545–565. doi:10.1007/BF02578899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Svensäter, G., Welin, J., Wilkins, J. C., Beighton, D., &amp; Hamilton, I. R. (2001). Protein expression by planktonic and biofilm cells of Streptococcus mutans. </w:t>
      </w:r>
      <w:r w:rsidRPr="002D756D">
        <w:rPr>
          <w:rFonts w:ascii="Cambria" w:hAnsi="Cambria" w:cs="Times New Roman"/>
          <w:i/>
          <w:iCs/>
          <w:noProof/>
        </w:rPr>
        <w:t>FEMS Microbiology Letters</w:t>
      </w:r>
      <w:r w:rsidRPr="002D756D">
        <w:rPr>
          <w:rFonts w:ascii="Cambria" w:hAnsi="Cambria" w:cs="Times New Roman"/>
          <w:noProof/>
        </w:rPr>
        <w:t xml:space="preserve">, </w:t>
      </w:r>
      <w:r w:rsidRPr="002D756D">
        <w:rPr>
          <w:rFonts w:ascii="Cambria" w:hAnsi="Cambria" w:cs="Times New Roman"/>
          <w:i/>
          <w:iCs/>
          <w:noProof/>
        </w:rPr>
        <w:t>205</w:t>
      </w:r>
      <w:r w:rsidRPr="002D756D">
        <w:rPr>
          <w:rFonts w:ascii="Cambria" w:hAnsi="Cambria" w:cs="Times New Roman"/>
          <w:noProof/>
        </w:rPr>
        <w:t>(1), 139–146. doi:10.1111/j.1574-6968.2001.tb10937.x</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Vance, E. D., Brookes, P. C., &amp; Jenkinson, D. S. (1987). An extraction method for measuring soil microbial biomass-C. </w:t>
      </w:r>
      <w:r w:rsidRPr="002D756D">
        <w:rPr>
          <w:rFonts w:ascii="Cambria" w:hAnsi="Cambria" w:cs="Times New Roman"/>
          <w:i/>
          <w:iCs/>
          <w:noProof/>
        </w:rPr>
        <w:t>Soil Biology &amp; Biochemistry</w:t>
      </w:r>
      <w:r w:rsidRPr="002D756D">
        <w:rPr>
          <w:rFonts w:ascii="Cambria" w:hAnsi="Cambria" w:cs="Times New Roman"/>
          <w:noProof/>
        </w:rPr>
        <w:t xml:space="preserve">, </w:t>
      </w:r>
      <w:r w:rsidRPr="002D756D">
        <w:rPr>
          <w:rFonts w:ascii="Cambria" w:hAnsi="Cambria" w:cs="Times New Roman"/>
          <w:i/>
          <w:iCs/>
          <w:noProof/>
        </w:rPr>
        <w:t>19</w:t>
      </w:r>
      <w:r w:rsidRPr="002D756D">
        <w:rPr>
          <w:rFonts w:ascii="Cambria" w:hAnsi="Cambria" w:cs="Times New Roman"/>
          <w:noProof/>
        </w:rPr>
        <w:t>(6), 703–707. doi:10.1016/0038-0717(87)90052-6</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Vogel, L. E., Makowski, D., Garnier, P., Vieublé-Gonod, L., Coquet, Y., Raynaud, X., … Pot, V. (2015). Modeling the effect of soil meso- and macropores topology on the biodegradation of a soluble carbon substrate. </w:t>
      </w:r>
      <w:r w:rsidRPr="002D756D">
        <w:rPr>
          <w:rFonts w:ascii="Cambria" w:hAnsi="Cambria" w:cs="Times New Roman"/>
          <w:i/>
          <w:iCs/>
          <w:noProof/>
        </w:rPr>
        <w:t>Advances in Water Resources</w:t>
      </w:r>
      <w:r w:rsidRPr="002D756D">
        <w:rPr>
          <w:rFonts w:ascii="Cambria" w:hAnsi="Cambria" w:cs="Times New Roman"/>
          <w:noProof/>
        </w:rPr>
        <w:t xml:space="preserve">, </w:t>
      </w:r>
      <w:r w:rsidRPr="002D756D">
        <w:rPr>
          <w:rFonts w:ascii="Cambria" w:hAnsi="Cambria" w:cs="Times New Roman"/>
          <w:i/>
          <w:iCs/>
          <w:noProof/>
        </w:rPr>
        <w:t>83</w:t>
      </w:r>
      <w:r w:rsidRPr="002D756D">
        <w:rPr>
          <w:rFonts w:ascii="Cambria" w:hAnsi="Cambria" w:cs="Times New Roman"/>
          <w:noProof/>
        </w:rPr>
        <w:t>, 123–136. doi:10.1016/J.ADVWATRES.2015.05.020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Vrede, T., Dobberfuhl, D. R., Kooijman, S., &amp; Elser, J. J. (2004). Fundamental connections among organism C : N : P stoichiometry, macromolecular composition, and growth. </w:t>
      </w:r>
      <w:r w:rsidRPr="002D756D">
        <w:rPr>
          <w:rFonts w:ascii="Cambria" w:hAnsi="Cambria" w:cs="Times New Roman"/>
          <w:i/>
          <w:iCs/>
          <w:noProof/>
        </w:rPr>
        <w:t>Ecology</w:t>
      </w:r>
      <w:r w:rsidRPr="002D756D">
        <w:rPr>
          <w:rFonts w:ascii="Cambria" w:hAnsi="Cambria" w:cs="Times New Roman"/>
          <w:noProof/>
        </w:rPr>
        <w:t xml:space="preserve">, </w:t>
      </w:r>
      <w:r w:rsidRPr="002D756D">
        <w:rPr>
          <w:rFonts w:ascii="Cambria" w:hAnsi="Cambria" w:cs="Times New Roman"/>
          <w:i/>
          <w:iCs/>
          <w:noProof/>
        </w:rPr>
        <w:t>85</w:t>
      </w:r>
      <w:r w:rsidRPr="002D756D">
        <w:rPr>
          <w:rFonts w:ascii="Cambria" w:hAnsi="Cambria" w:cs="Times New Roman"/>
          <w:noProof/>
        </w:rPr>
        <w:t>(5), 1217–1229.</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lastRenderedPageBreak/>
        <w:t xml:space="preserve">Wang, G., Post, W. M., &amp; Mayes, M. A. (2013). Development of microbial-enzyme-mediated decomposition model parameters through steady-state and dynamic analyses. </w:t>
      </w:r>
      <w:r w:rsidRPr="002D756D">
        <w:rPr>
          <w:rFonts w:ascii="Cambria" w:hAnsi="Cambria" w:cs="Times New Roman"/>
          <w:i/>
          <w:iCs/>
          <w:noProof/>
        </w:rPr>
        <w:t>Ecological Applications</w:t>
      </w:r>
      <w:r w:rsidRPr="002D756D">
        <w:rPr>
          <w:rFonts w:ascii="Cambria" w:hAnsi="Cambria" w:cs="Times New Roman"/>
          <w:noProof/>
        </w:rPr>
        <w:t xml:space="preserve">, </w:t>
      </w:r>
      <w:r w:rsidRPr="002D756D">
        <w:rPr>
          <w:rFonts w:ascii="Cambria" w:hAnsi="Cambria" w:cs="Times New Roman"/>
          <w:i/>
          <w:iCs/>
          <w:noProof/>
        </w:rPr>
        <w:t>23</w:t>
      </w:r>
      <w:r w:rsidRPr="002D756D">
        <w:rPr>
          <w:rFonts w:ascii="Cambria" w:hAnsi="Cambria" w:cs="Times New Roman"/>
          <w:noProof/>
        </w:rPr>
        <w:t>(1), 255–272. doi:10.1890/12-0681.1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Wang, G. S., Jagadamma, S., Mayes, M. A., Schadt, C. W., Steinweg, J. M., Gu, L. H., &amp; Post, W. M. (2015). Microbial dormancy improves development and experimental validation of ecosystem model. </w:t>
      </w:r>
      <w:r w:rsidRPr="002D756D">
        <w:rPr>
          <w:rFonts w:ascii="Cambria" w:hAnsi="Cambria" w:cs="Times New Roman"/>
          <w:i/>
          <w:iCs/>
          <w:noProof/>
        </w:rPr>
        <w:t>Isme Journal</w:t>
      </w:r>
      <w:r w:rsidRPr="002D756D">
        <w:rPr>
          <w:rFonts w:ascii="Cambria" w:hAnsi="Cambria" w:cs="Times New Roman"/>
          <w:noProof/>
        </w:rPr>
        <w:t xml:space="preserve">, </w:t>
      </w:r>
      <w:r w:rsidRPr="002D756D">
        <w:rPr>
          <w:rFonts w:ascii="Cambria" w:hAnsi="Cambria" w:cs="Times New Roman"/>
          <w:i/>
          <w:iCs/>
          <w:noProof/>
        </w:rPr>
        <w:t>9</w:t>
      </w:r>
      <w:r w:rsidRPr="002D756D">
        <w:rPr>
          <w:rFonts w:ascii="Cambria" w:hAnsi="Cambria" w:cs="Times New Roman"/>
          <w:noProof/>
        </w:rPr>
        <w:t>(1), 226–37. doi:10.1038/ismej.2014.120</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Wang, Y. P., Chen, B. C., Wieder, W. R., Leite, M., Medlyn, B. E., Rasmussen, M., … Luo, Y. Q. (2014). Oscillatory behavior of two nonlinear microbial models of soil carbon decomposition. </w:t>
      </w:r>
      <w:r w:rsidRPr="002D756D">
        <w:rPr>
          <w:rFonts w:ascii="Cambria" w:hAnsi="Cambria" w:cs="Times New Roman"/>
          <w:i/>
          <w:iCs/>
          <w:noProof/>
        </w:rPr>
        <w:t>Biogeosciences</w:t>
      </w:r>
      <w:r w:rsidRPr="002D756D">
        <w:rPr>
          <w:rFonts w:ascii="Cambria" w:hAnsi="Cambria" w:cs="Times New Roman"/>
          <w:noProof/>
        </w:rPr>
        <w:t xml:space="preserve">, </w:t>
      </w:r>
      <w:r w:rsidRPr="002D756D">
        <w:rPr>
          <w:rFonts w:ascii="Cambria" w:hAnsi="Cambria" w:cs="Times New Roman"/>
          <w:i/>
          <w:iCs/>
          <w:noProof/>
        </w:rPr>
        <w:t>11</w:t>
      </w:r>
      <w:r w:rsidRPr="002D756D">
        <w:rPr>
          <w:rFonts w:ascii="Cambria" w:hAnsi="Cambria" w:cs="Times New Roman"/>
          <w:noProof/>
        </w:rPr>
        <w:t>(7), 1817–1831. doi:10.5194/bg-11-1817-2014</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Wieder, W. R., Allison, S. D., Davidson, E. A., Georgiou, K., Hararuk, O., He, Y., … Xu, X. (2015). Explicitly representing soil microbial processes in Earth system models. </w:t>
      </w:r>
      <w:r w:rsidRPr="002D756D">
        <w:rPr>
          <w:rFonts w:ascii="Cambria" w:hAnsi="Cambria" w:cs="Times New Roman"/>
          <w:i/>
          <w:iCs/>
          <w:noProof/>
        </w:rPr>
        <w:t>Global Biogeochemical Cycles</w:t>
      </w:r>
      <w:r w:rsidRPr="002D756D">
        <w:rPr>
          <w:rFonts w:ascii="Cambria" w:hAnsi="Cambria" w:cs="Times New Roman"/>
          <w:noProof/>
        </w:rPr>
        <w:t xml:space="preserve">, </w:t>
      </w:r>
      <w:r w:rsidRPr="002D756D">
        <w:rPr>
          <w:rFonts w:ascii="Cambria" w:hAnsi="Cambria" w:cs="Times New Roman"/>
          <w:i/>
          <w:iCs/>
          <w:noProof/>
        </w:rPr>
        <w:t>29</w:t>
      </w:r>
      <w:r w:rsidRPr="002D756D">
        <w:rPr>
          <w:rFonts w:ascii="Cambria" w:hAnsi="Cambria" w:cs="Times New Roman"/>
          <w:noProof/>
        </w:rPr>
        <w:t>(10), 1782–1800. doi:10.1002/2015GB005188</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Wieder, W. R., Bonan, G. B., &amp; Allison, S. D. (2013). Global soil carbon projections are improved by modelling microbial processes. </w:t>
      </w:r>
      <w:r w:rsidRPr="002D756D">
        <w:rPr>
          <w:rFonts w:ascii="Cambria" w:hAnsi="Cambria" w:cs="Times New Roman"/>
          <w:i/>
          <w:iCs/>
          <w:noProof/>
        </w:rPr>
        <w:t>Nature Climate Change</w:t>
      </w:r>
      <w:r w:rsidRPr="002D756D">
        <w:rPr>
          <w:rFonts w:ascii="Cambria" w:hAnsi="Cambria" w:cs="Times New Roman"/>
          <w:noProof/>
        </w:rPr>
        <w:t xml:space="preserve">, </w:t>
      </w:r>
      <w:r w:rsidRPr="002D756D">
        <w:rPr>
          <w:rFonts w:ascii="Cambria" w:hAnsi="Cambria" w:cs="Times New Roman"/>
          <w:i/>
          <w:iCs/>
          <w:noProof/>
        </w:rPr>
        <w:t>3</w:t>
      </w:r>
      <w:r w:rsidRPr="002D756D">
        <w:rPr>
          <w:rFonts w:ascii="Cambria" w:hAnsi="Cambria" w:cs="Times New Roman"/>
          <w:noProof/>
        </w:rPr>
        <w:t>(10), 909–912. doi:10.1038/nclimate1951</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Wieder, W. R., Grandy, A. S., Kallenbach, C. M., &amp; Bonan, G. B. (2014). Integrating microbial physiology and physio-chemical principles in soils with the MIcrobial-MIneral Carbon Stabilization (MIMICS) model. </w:t>
      </w:r>
      <w:r w:rsidRPr="002D756D">
        <w:rPr>
          <w:rFonts w:ascii="Cambria" w:hAnsi="Cambria" w:cs="Times New Roman"/>
          <w:i/>
          <w:iCs/>
          <w:noProof/>
        </w:rPr>
        <w:t>Biogeosciences</w:t>
      </w:r>
      <w:r w:rsidRPr="002D756D">
        <w:rPr>
          <w:rFonts w:ascii="Cambria" w:hAnsi="Cambria" w:cs="Times New Roman"/>
          <w:noProof/>
        </w:rPr>
        <w:t xml:space="preserve">, </w:t>
      </w:r>
      <w:r w:rsidRPr="002D756D">
        <w:rPr>
          <w:rFonts w:ascii="Cambria" w:hAnsi="Cambria" w:cs="Times New Roman"/>
          <w:i/>
          <w:iCs/>
          <w:noProof/>
        </w:rPr>
        <w:t>11</w:t>
      </w:r>
      <w:r w:rsidRPr="002D756D">
        <w:rPr>
          <w:rFonts w:ascii="Cambria" w:hAnsi="Cambria" w:cs="Times New Roman"/>
          <w:noProof/>
        </w:rPr>
        <w:t>(14), 3899–3917. doi:10.5194/bg-11-3899-2014</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Wieder, W. R., Grandy, A. S., Kallenbach, C. M., Taylor, P. G., &amp; Bonan, G. B. (2015). Representing life in the Earth system with soil microbial functional traits in the MIMICS model. </w:t>
      </w:r>
      <w:r w:rsidRPr="002D756D">
        <w:rPr>
          <w:rFonts w:ascii="Cambria" w:hAnsi="Cambria" w:cs="Times New Roman"/>
          <w:i/>
          <w:iCs/>
          <w:noProof/>
        </w:rPr>
        <w:t>Geoscientific Model Development</w:t>
      </w:r>
      <w:r w:rsidRPr="002D756D">
        <w:rPr>
          <w:rFonts w:ascii="Cambria" w:hAnsi="Cambria" w:cs="Times New Roman"/>
          <w:noProof/>
        </w:rPr>
        <w:t xml:space="preserve">, </w:t>
      </w:r>
      <w:r w:rsidRPr="002D756D">
        <w:rPr>
          <w:rFonts w:ascii="Cambria" w:hAnsi="Cambria" w:cs="Times New Roman"/>
          <w:i/>
          <w:iCs/>
          <w:noProof/>
        </w:rPr>
        <w:t>8</w:t>
      </w:r>
      <w:r w:rsidRPr="002D756D">
        <w:rPr>
          <w:rFonts w:ascii="Cambria" w:hAnsi="Cambria" w:cs="Times New Roman"/>
          <w:noProof/>
        </w:rPr>
        <w:t>(6), 1789–1808. doi:10.5194/gmd-8-1789-2015</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Xu, X. F., Schimel, J. P., Thornton, P. E., Song, X., Yuan, F. M., &amp; Goswami, S. (2014). Substrate and environmental controls on microbial assimilation of soil organic carbon: a framework for Earth system models. </w:t>
      </w:r>
      <w:r w:rsidRPr="002D756D">
        <w:rPr>
          <w:rFonts w:ascii="Cambria" w:hAnsi="Cambria" w:cs="Times New Roman"/>
          <w:i/>
          <w:iCs/>
          <w:noProof/>
        </w:rPr>
        <w:t>Ecology Letters</w:t>
      </w:r>
      <w:r w:rsidRPr="002D756D">
        <w:rPr>
          <w:rFonts w:ascii="Cambria" w:hAnsi="Cambria" w:cs="Times New Roman"/>
          <w:noProof/>
        </w:rPr>
        <w:t xml:space="preserve">, </w:t>
      </w:r>
      <w:r w:rsidRPr="002D756D">
        <w:rPr>
          <w:rFonts w:ascii="Cambria" w:hAnsi="Cambria" w:cs="Times New Roman"/>
          <w:i/>
          <w:iCs/>
          <w:noProof/>
        </w:rPr>
        <w:t>17</w:t>
      </w:r>
      <w:r w:rsidRPr="002D756D">
        <w:rPr>
          <w:rFonts w:ascii="Cambria" w:hAnsi="Cambria" w:cs="Times New Roman"/>
          <w:noProof/>
        </w:rPr>
        <w:t>(5), 547–555. doi:10.1111/ele.12254</w:t>
      </w:r>
    </w:p>
    <w:p w:rsidR="002D756D" w:rsidRPr="002D756D" w:rsidRDefault="002D756D" w:rsidP="002D756D">
      <w:pPr>
        <w:widowControl w:val="0"/>
        <w:autoSpaceDE w:val="0"/>
        <w:autoSpaceDN w:val="0"/>
        <w:adjustRightInd w:val="0"/>
        <w:ind w:left="480" w:hanging="480"/>
        <w:rPr>
          <w:rFonts w:ascii="Cambria" w:hAnsi="Cambria" w:cs="Times New Roman"/>
          <w:noProof/>
        </w:rPr>
      </w:pPr>
      <w:r w:rsidRPr="002D756D">
        <w:rPr>
          <w:rFonts w:ascii="Cambria" w:hAnsi="Cambria" w:cs="Times New Roman"/>
          <w:noProof/>
        </w:rPr>
        <w:t xml:space="preserve">Yokoyama, S., Yuri, K., Nomi, T., Komine, M., Nakamura, S., Hattori, H., &amp; Rai, H. (2017). The high correlation between DNA and chloroform-labile N in various types of soil. </w:t>
      </w:r>
      <w:r w:rsidRPr="002D756D">
        <w:rPr>
          <w:rFonts w:ascii="Cambria" w:hAnsi="Cambria" w:cs="Times New Roman"/>
          <w:i/>
          <w:iCs/>
          <w:noProof/>
        </w:rPr>
        <w:t>Applied Soil Ecology</w:t>
      </w:r>
      <w:r w:rsidRPr="002D756D">
        <w:rPr>
          <w:rFonts w:ascii="Cambria" w:hAnsi="Cambria" w:cs="Times New Roman"/>
          <w:noProof/>
        </w:rPr>
        <w:t xml:space="preserve">, </w:t>
      </w:r>
      <w:r w:rsidRPr="002D756D">
        <w:rPr>
          <w:rFonts w:ascii="Cambria" w:hAnsi="Cambria" w:cs="Times New Roman"/>
          <w:i/>
          <w:iCs/>
          <w:noProof/>
        </w:rPr>
        <w:t>117</w:t>
      </w:r>
      <w:r w:rsidRPr="002D756D">
        <w:rPr>
          <w:rFonts w:ascii="Cambria" w:hAnsi="Cambria" w:cs="Times New Roman"/>
          <w:noProof/>
        </w:rPr>
        <w:t>–</w:t>
      </w:r>
      <w:r w:rsidRPr="002D756D">
        <w:rPr>
          <w:rFonts w:ascii="Cambria" w:hAnsi="Cambria" w:cs="Times New Roman"/>
          <w:i/>
          <w:iCs/>
          <w:noProof/>
        </w:rPr>
        <w:t>118</w:t>
      </w:r>
      <w:r w:rsidRPr="002D756D">
        <w:rPr>
          <w:rFonts w:ascii="Cambria" w:hAnsi="Cambria" w:cs="Times New Roman"/>
          <w:noProof/>
        </w:rPr>
        <w:t>, 1–9. doi:10.1016/J.APSOIL.2017.04.002</w:t>
      </w:r>
    </w:p>
    <w:p w:rsidR="002D756D" w:rsidRPr="002D756D" w:rsidRDefault="002D756D" w:rsidP="002D756D">
      <w:pPr>
        <w:widowControl w:val="0"/>
        <w:autoSpaceDE w:val="0"/>
        <w:autoSpaceDN w:val="0"/>
        <w:adjustRightInd w:val="0"/>
        <w:ind w:left="480" w:hanging="480"/>
        <w:rPr>
          <w:rFonts w:ascii="Cambria" w:hAnsi="Cambria"/>
          <w:noProof/>
        </w:rPr>
      </w:pPr>
      <w:r w:rsidRPr="002D756D">
        <w:rPr>
          <w:rFonts w:ascii="Cambria" w:hAnsi="Cambria" w:cs="Times New Roman"/>
          <w:noProof/>
        </w:rPr>
        <w:t xml:space="preserve">Zipper, H., Buta, C., Lämmle, K., Brunner, H., Bernhagen, J., &amp; Vitzthum, F. (2003). Mechanisms underlying the impact of humic acids on DNA quantification by SYBR Green I and consequences for the analysis of soils and aquatic sediments. </w:t>
      </w:r>
      <w:r w:rsidRPr="002D756D">
        <w:rPr>
          <w:rFonts w:ascii="Cambria" w:hAnsi="Cambria" w:cs="Times New Roman"/>
          <w:i/>
          <w:iCs/>
          <w:noProof/>
        </w:rPr>
        <w:t>Nucleic Acids Research</w:t>
      </w:r>
      <w:r w:rsidRPr="002D756D">
        <w:rPr>
          <w:rFonts w:ascii="Cambria" w:hAnsi="Cambria" w:cs="Times New Roman"/>
          <w:noProof/>
        </w:rPr>
        <w:t xml:space="preserve">, </w:t>
      </w:r>
      <w:r w:rsidRPr="002D756D">
        <w:rPr>
          <w:rFonts w:ascii="Cambria" w:hAnsi="Cambria" w:cs="Times New Roman"/>
          <w:i/>
          <w:iCs/>
          <w:noProof/>
        </w:rPr>
        <w:t>31</w:t>
      </w:r>
      <w:r w:rsidRPr="002D756D">
        <w:rPr>
          <w:rFonts w:ascii="Cambria" w:hAnsi="Cambria" w:cs="Times New Roman"/>
          <w:noProof/>
        </w:rPr>
        <w:t>(7), e39. Retrieved from http://www.ncbi.nlm.nih.gov/pubmed/12655027</w:t>
      </w:r>
    </w:p>
    <w:p w:rsidR="002D756D" w:rsidRPr="002D756D" w:rsidRDefault="002D756D" w:rsidP="002D756D">
      <w:r>
        <w:fldChar w:fldCharType="end"/>
      </w:r>
      <w:bookmarkEnd w:id="29"/>
    </w:p>
    <w:sectPr w:rsidR="002D756D" w:rsidRPr="002D756D" w:rsidSect="00BE5BB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0CE4408"/>
    <w:multiLevelType w:val="multilevel"/>
    <w:tmpl w:val="C7F6B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2A9718F"/>
    <w:multiLevelType w:val="hybridMultilevel"/>
    <w:tmpl w:val="4CAE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C7F1D"/>
    <w:multiLevelType w:val="multilevel"/>
    <w:tmpl w:val="022002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9CE718E"/>
    <w:multiLevelType w:val="hybridMultilevel"/>
    <w:tmpl w:val="635AD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a0MLE0MzQ0NTM1NDU1NjZQ0lEKTi0uzszPAykwqgUAZ6xOYywAAAA="/>
  </w:docVars>
  <w:rsids>
    <w:rsidRoot w:val="00590D07"/>
    <w:rsid w:val="00011C8B"/>
    <w:rsid w:val="00032C55"/>
    <w:rsid w:val="00273863"/>
    <w:rsid w:val="002D756D"/>
    <w:rsid w:val="00424F1C"/>
    <w:rsid w:val="004E29B3"/>
    <w:rsid w:val="00590D07"/>
    <w:rsid w:val="00630AF4"/>
    <w:rsid w:val="006A4DF4"/>
    <w:rsid w:val="00701206"/>
    <w:rsid w:val="00773B1C"/>
    <w:rsid w:val="00784D58"/>
    <w:rsid w:val="008D6863"/>
    <w:rsid w:val="00B86B75"/>
    <w:rsid w:val="00BC48D5"/>
    <w:rsid w:val="00BE5BB4"/>
    <w:rsid w:val="00C36279"/>
    <w:rsid w:val="00C6448D"/>
    <w:rsid w:val="00D30683"/>
    <w:rsid w:val="00E315A3"/>
    <w:rsid w:val="00F71E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AD386A-58C3-4503-BFDB-36341CCE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BE5BB4"/>
  </w:style>
  <w:style w:type="character" w:styleId="Hyperlink">
    <w:name w:val="Hyperlink"/>
    <w:basedOn w:val="DefaultParagraphFont"/>
    <w:rsid w:val="00BE5BB4"/>
    <w:rPr>
      <w:color w:val="0000FF" w:themeColor="hyperlink"/>
      <w:u w:val="single"/>
    </w:rPr>
  </w:style>
  <w:style w:type="paragraph" w:styleId="ListParagraph">
    <w:name w:val="List Paragraph"/>
    <w:basedOn w:val="Normal"/>
    <w:rsid w:val="00630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etr.capek@pnnl.gov"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6E4BC-154B-4526-A3B6-6307AC97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35</Pages>
  <Words>56110</Words>
  <Characters>319832</Characters>
  <Application>Microsoft Office Word</Application>
  <DocSecurity>0</DocSecurity>
  <Lines>2665</Lines>
  <Paragraphs>750</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375192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Capek, Petr</cp:lastModifiedBy>
  <cp:revision>4</cp:revision>
  <dcterms:created xsi:type="dcterms:W3CDTF">2018-10-25T17:12:00Z</dcterms:created>
  <dcterms:modified xsi:type="dcterms:W3CDTF">2018-11-27T22:02:00Z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http://csl.mendeley.com/styles/456934231/ecology-letters</vt:lpwstr>
  </property>
  <property fmtid="{D5CDD505-2E9C-101B-9397-08002B2CF9AE}" pid="15" name="Mendeley Recent Style Name 6_1">
    <vt:lpwstr>Ecology Letters - Petr Capek</vt:lpwstr>
  </property>
  <property fmtid="{D5CDD505-2E9C-101B-9397-08002B2CF9AE}" pid="16" name="Mendeley Recent Style Id 7_1">
    <vt:lpwstr>http://www.zotero.org/styles/functional-ecology</vt:lpwstr>
  </property>
  <property fmtid="{D5CDD505-2E9C-101B-9397-08002B2CF9AE}" pid="17" name="Mendeley Recent Style Name 7_1">
    <vt:lpwstr>Functional Ecology</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8d74fb8c-ebd8-3a36-b0ac-57663f7188ae</vt:lpwstr>
  </property>
  <property fmtid="{D5CDD505-2E9C-101B-9397-08002B2CF9AE}" pid="24" name="Mendeley Citation Style_1">
    <vt:lpwstr>http://www.zotero.org/styles/functional-ecology</vt:lpwstr>
  </property>
</Properties>
</file>