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38.png" ContentType="image/png"/>
  <Override PartName="/word/media/rId40.png" ContentType="image/png"/>
  <Override PartName="/word/media/rId43.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Title</w:t>
      </w:r>
    </w:p>
    <w:p>
      <w:pPr>
        <w:pStyle w:val="Author"/>
      </w:pPr>
      <w:r>
        <w:rPr>
          <w:vertAlign w:val="superscript"/>
        </w:rPr>
        <w:t xml:space="preserve">1</w:t>
      </w:r>
      <w:r>
        <w:t xml:space="preserve">Petr</w:t>
      </w:r>
      <w:r>
        <w:t xml:space="preserve"> </w:t>
      </w:r>
      <w:r>
        <w:t xml:space="preserve">Capek*,</w:t>
      </w:r>
      <w:r>
        <w:t xml:space="preserve"> </w:t>
      </w:r>
      <w:r>
        <w:rPr>
          <w:vertAlign w:val="superscript"/>
        </w:rPr>
        <w:t xml:space="preserve">1</w:t>
      </w:r>
      <w:r>
        <w:t xml:space="preserve">Katherine</w:t>
      </w:r>
      <w:r>
        <w:t xml:space="preserve"> </w:t>
      </w:r>
      <w:r>
        <w:t xml:space="preserve">Todd-Brown,</w:t>
      </w:r>
      <w:r>
        <w:t xml:space="preserve"> </w:t>
      </w:r>
      <w:r>
        <w:rPr>
          <w:vertAlign w:val="superscript"/>
        </w:rPr>
        <w:t xml:space="preserve">1</w:t>
      </w:r>
      <w:r>
        <w:t xml:space="preserve">Natalie</w:t>
      </w:r>
      <w:r>
        <w:t xml:space="preserve"> </w:t>
      </w:r>
      <w:r>
        <w:t xml:space="preserve">Sadler,</w:t>
      </w:r>
      <w:r>
        <w:t xml:space="preserve"> </w:t>
      </w:r>
      <w:r>
        <w:rPr>
          <w:vertAlign w:val="superscript"/>
        </w:rPr>
        <w:t xml:space="preserve">1</w:t>
      </w:r>
      <w:r>
        <w:t xml:space="preserve">Nancy</w:t>
      </w:r>
      <w:r>
        <w:t xml:space="preserve"> </w:t>
      </w:r>
      <w:r>
        <w:t xml:space="preserve">Hess,</w:t>
      </w:r>
      <w:r>
        <w:t xml:space="preserve"> </w:t>
      </w:r>
      <w:r>
        <w:rPr>
          <w:vertAlign w:val="superscript"/>
        </w:rPr>
        <w:t xml:space="preserve">1</w:t>
      </w:r>
      <w:r>
        <w:t xml:space="preserve">Kirsten</w:t>
      </w:r>
      <w:r>
        <w:t xml:space="preserve"> </w:t>
      </w:r>
      <w:r>
        <w:t xml:space="preserve">Hofmockel</w:t>
      </w:r>
    </w:p>
    <w:p>
      <w:pPr>
        <w:pStyle w:val="Date"/>
      </w:pPr>
      <w:r>
        <w:t xml:space="preserve">July</w:t>
      </w:r>
      <w:r>
        <w:t xml:space="preserve"> </w:t>
      </w:r>
      <w:r>
        <w:t xml:space="preserve">24,</w:t>
      </w:r>
      <w:r>
        <w:t xml:space="preserve"> </w:t>
      </w:r>
      <w:r>
        <w:t xml:space="preserve">2018</w:t>
      </w:r>
    </w:p>
    <w:p>
      <w:pPr>
        <w:pStyle w:val="FirstParagraph"/>
      </w:pPr>
      <w:r>
        <w:rPr>
          <w:vertAlign w:val="superscript"/>
          <w:i/>
        </w:rPr>
        <w:t xml:space="preserve">1</w:t>
      </w:r>
      <w:r>
        <w:rPr>
          <w:i/>
        </w:rPr>
        <w:t xml:space="preserve">Pacific Northwest National Laboratory, Environmental Molecular Sciences Laboratory, Richland, WA USA</w:t>
      </w:r>
    </w:p>
    <w:p>
      <w:pPr>
        <w:pStyle w:val="Heading2"/>
      </w:pPr>
      <w:bookmarkStart w:id="21" w:name="abstract"/>
      <w:bookmarkEnd w:id="21"/>
      <w:r>
        <w:t xml:space="preserve">Abstract</w:t>
      </w:r>
    </w:p>
    <w:p>
      <w:pPr>
        <w:pStyle w:val="Heading2"/>
      </w:pPr>
      <w:bookmarkStart w:id="22" w:name="introduction"/>
      <w:bookmarkEnd w:id="22"/>
      <w:r>
        <w:t xml:space="preserve">Introduction</w:t>
      </w:r>
    </w:p>
    <w:p>
      <w:pPr>
        <w:pStyle w:val="Heading2"/>
      </w:pPr>
      <w:bookmarkStart w:id="23" w:name="material-and-methods"/>
      <w:bookmarkEnd w:id="23"/>
      <w:r>
        <w:t xml:space="preserve">Material and Methods</w:t>
      </w:r>
    </w:p>
    <w:p>
      <w:pPr>
        <w:pStyle w:val="Heading3"/>
      </w:pPr>
      <w:bookmarkStart w:id="24" w:name="experimental-design"/>
      <w:bookmarkEnd w:id="24"/>
      <w:r>
        <w:t xml:space="preserve">Experimental design</w:t>
      </w:r>
    </w:p>
    <w:p>
      <w:pPr>
        <w:pStyle w:val="FirstParagraph"/>
      </w:pPr>
      <w:r>
        <w:t xml:space="preserve">Microbial culture obtained from the soil (see later) was incubated in liquid batch culture microcosms at 24°C in the dark for five days under nine different experimental treatments. These treatments include three different organic substrates as a sole source of carbon for microbial culture and three different levels of microcosm structural complexity in fully factorial design. The three organic substrates were glucose, cellobiose and mixture of glucose, cellobiose and cellulose. The three levels of structural complexity were represented by</w:t>
      </w:r>
      <w:r>
        <w:t xml:space="preserve"> </w:t>
      </w:r>
      <w:r>
        <w:rPr>
          <w:i/>
          <w:b/>
        </w:rPr>
        <w:t xml:space="preserve">??34 ml??</w:t>
      </w:r>
      <w:r>
        <w:t xml:space="preserve"> </w:t>
      </w:r>
      <w:r>
        <w:t xml:space="preserve">incubation vials with liquid medium only (denoted as</w:t>
      </w:r>
      <w:r>
        <w:t xml:space="preserve"> </w:t>
      </w:r>
      <w:r>
        <w:rPr>
          <w:b/>
        </w:rPr>
        <w:t xml:space="preserve">“</w:t>
      </w:r>
      <w:r>
        <w:rPr>
          <w:b/>
        </w:rPr>
        <w:t xml:space="preserve">BROTH</w:t>
      </w:r>
      <w:r>
        <w:rPr>
          <w:b/>
        </w:rPr>
        <w:t xml:space="preserve">”</w:t>
      </w:r>
      <w:r>
        <w:t xml:space="preserve"> </w:t>
      </w:r>
      <w:r>
        <w:t xml:space="preserve">further in the text), with liquid medium and mixture of 2.7, 0.1 and 0.1 mm glass beads (5 g of 2.7 mm Biospec glass beads, 2 g of 1.0 mm Biospec glass beads and 1 g of 0.1 mm Next-Advanced glass beads; denoted as</w:t>
      </w:r>
      <w:r>
        <w:t xml:space="preserve"> </w:t>
      </w:r>
      <w:r>
        <w:rPr>
          <w:b/>
        </w:rPr>
        <w:t xml:space="preserve">“</w:t>
      </w:r>
      <w:r>
        <w:rPr>
          <w:b/>
        </w:rPr>
        <w:t xml:space="preserve">GLASS</w:t>
      </w:r>
      <w:r>
        <w:rPr>
          <w:b/>
        </w:rPr>
        <w:t xml:space="preserve">”</w:t>
      </w:r>
      <w:r>
        <w:t xml:space="preserve"> </w:t>
      </w:r>
      <w:r>
        <w:t xml:space="preserve">further in the text) and with liquid medium and glass wool (0.2 g of Pyrex fiber glass wool cutted to ~0.25 cm pieces; denoted as</w:t>
      </w:r>
      <w:r>
        <w:t xml:space="preserve"> </w:t>
      </w:r>
      <w:r>
        <w:rPr>
          <w:b/>
        </w:rPr>
        <w:t xml:space="preserve">“</w:t>
      </w:r>
      <w:r>
        <w:rPr>
          <w:b/>
        </w:rPr>
        <w:t xml:space="preserve">WOOL</w:t>
      </w:r>
      <w:r>
        <w:rPr>
          <w:b/>
        </w:rPr>
        <w:t xml:space="preserve">”</w:t>
      </w:r>
      <w:r>
        <w:t xml:space="preserve"> </w:t>
      </w:r>
      <w:r>
        <w:t xml:space="preserve">further in the text). All experimental treatments were replicated four times</w:t>
      </w:r>
      <w:r>
        <w:t xml:space="preserve"> </w:t>
      </w:r>
      <w:r>
        <w:rPr>
          <w:i/>
          <w:b/>
        </w:rPr>
        <w:t xml:space="preserve">but this is probably not true since the sampling was destructive</w:t>
      </w:r>
      <w:r>
        <w:t xml:space="preserve">.</w:t>
      </w:r>
    </w:p>
    <w:p>
      <w:pPr>
        <w:pStyle w:val="Heading3"/>
      </w:pPr>
      <w:bookmarkStart w:id="25" w:name="microbial-culture"/>
      <w:bookmarkEnd w:id="25"/>
      <w:r>
        <w:t xml:space="preserve">Microbial culture</w:t>
      </w:r>
    </w:p>
    <w:p>
      <w:pPr>
        <w:pStyle w:val="FirstParagraph"/>
      </w:pPr>
      <w:r>
        <w:t xml:space="preserve">Microbial culture used in the experiment was obtained by imbibement of the</w:t>
      </w:r>
      <w:r>
        <w:t xml:space="preserve"> </w:t>
      </w:r>
      <w:r>
        <w:rPr>
          <w:i/>
          <w:b/>
        </w:rPr>
        <w:t xml:space="preserve">??prosser soil?? (is it correct)</w:t>
      </w:r>
      <w:r>
        <w:t xml:space="preserve">,</w:t>
      </w:r>
      <w:r>
        <w:t xml:space="preserve"> </w:t>
      </w:r>
      <w:r>
        <w:rPr>
          <w:i/>
        </w:rPr>
        <w:t xml:space="preserve">short characteristic of soil</w:t>
      </w:r>
      <w:r>
        <w:t xml:space="preserve"> </w:t>
      </w:r>
      <w:r>
        <w:t xml:space="preserve">… with the growth medium. One gram of air dried soil was supplemented by the 10 ml of sterile Cellulose Degrader M9 Media (see later) with 6.25 ml of lysogeny broth. The final organic carbon concentration of added medium was ~40 mmol l</w:t>
      </w:r>
      <w:r>
        <w:rPr>
          <w:vertAlign w:val="superscript"/>
        </w:rPr>
        <w:t xml:space="preserve">-1</w:t>
      </w:r>
      <w:r>
        <w:t xml:space="preserve"> </w:t>
      </w:r>
      <w:r>
        <w:t xml:space="preserve">(0.4 mmol g(DW)</w:t>
      </w:r>
      <w:r>
        <w:rPr>
          <w:vertAlign w:val="superscript"/>
        </w:rPr>
        <w:t xml:space="preserve">-1</w:t>
      </w:r>
      <w:r>
        <w:t xml:space="preserve">). The soil with medium was incubated seven days at 24°C in dark. At the end of incubation, soil-medium suspension was shaken with ~ten 2.7 mm glass beats for ten minutes. The suspension was transferred to sterile flask and soil particles were allowed to settle down. The liquid phase was further transferred to new sterile flask and used to inoculate a microcosms.</w:t>
      </w:r>
    </w:p>
    <w:p>
      <w:pPr>
        <w:pStyle w:val="Heading3"/>
      </w:pPr>
      <w:bookmarkStart w:id="26" w:name="microcosm"/>
      <w:bookmarkEnd w:id="26"/>
      <w:r>
        <w:t xml:space="preserve">Microcosm</w:t>
      </w:r>
    </w:p>
    <w:p>
      <w:pPr>
        <w:pStyle w:val="FirstParagraph"/>
      </w:pPr>
      <w:r>
        <w:rPr>
          <w:i/>
          <w:b/>
        </w:rPr>
        <w:t xml:space="preserve">??34 ml??</w:t>
      </w:r>
      <w:r>
        <w:t xml:space="preserve"> </w:t>
      </w:r>
      <w:r>
        <w:t xml:space="preserve">incubation vials with glass beads, glass wool or empty were filled with 3 ml of sterile medium and 1 ml of microbial culture. The medium was composed of Cellulose Degrader M9 Media and organic substrate (the final concentration 1 g of organic substrate per one liter of medium). Cellulose Degrader M9 Media was prepared by mixing 300 ml of M9 Minimal Media 10X stock solution (59.623 g anhydrous</w:t>
      </w:r>
      <w:r>
        <w:t xml:space="preserve"> </w:t>
      </w:r>
      <m:oMath>
        <m:r>
          <m:t>N</m:t>
        </m:r>
        <m:r>
          <m:t>a</m:t>
        </m:r>
        <m:sSub>
          <m:e>
            <m:r>
              <m:t>H</m:t>
            </m:r>
          </m:e>
          <m:sub>
            <m:r>
              <m:t>2</m:t>
            </m:r>
          </m:sub>
        </m:sSub>
        <m:r>
          <m:t>P</m:t>
        </m:r>
        <m:sSub>
          <m:e>
            <m:r>
              <m:t>O</m:t>
            </m:r>
          </m:e>
          <m:sub>
            <m:r>
              <m:t>4</m:t>
            </m:r>
          </m:sub>
        </m:sSub>
      </m:oMath>
      <w:r>
        <w:t xml:space="preserve">, 29.938 g</w:t>
      </w:r>
      <w:r>
        <w:t xml:space="preserve"> </w:t>
      </w:r>
      <m:oMath>
        <m:r>
          <m:t>K</m:t>
        </m:r>
        <m:sSub>
          <m:e>
            <m:r>
              <m:t>H</m:t>
            </m:r>
          </m:e>
          <m:sub>
            <m:r>
              <m:t>2</m:t>
            </m:r>
          </m:sub>
        </m:sSub>
        <m:r>
          <m:t>P</m:t>
        </m:r>
        <m:sSub>
          <m:e>
            <m:r>
              <m:t>O</m:t>
            </m:r>
          </m:e>
          <m:sub>
            <m:r>
              <m:t>4</m:t>
            </m:r>
          </m:sub>
        </m:sSub>
      </m:oMath>
      <w:r>
        <w:t xml:space="preserve">, 4.967 g NaCl, 10.003 g</w:t>
      </w:r>
      <w:r>
        <w:t xml:space="preserve"> </w:t>
      </w:r>
      <m:oMath>
        <m:r>
          <m:t>N</m:t>
        </m:r>
        <m:sSub>
          <m:e>
            <m:r>
              <m:t>H</m:t>
            </m:r>
          </m:e>
          <m:sub>
            <m:r>
              <m:t>4</m:t>
            </m:r>
          </m:sub>
        </m:sSub>
        <m:r>
          <m:t>C</m:t>
        </m:r>
        <m:r>
          <m:t>l</m:t>
        </m:r>
      </m:oMath>
      <w:r>
        <w:t xml:space="preserve">, 1.204 g anhydrous</w:t>
      </w:r>
      <w:r>
        <w:t xml:space="preserve"> </w:t>
      </w:r>
      <m:oMath>
        <m:r>
          <m:t>M</m:t>
        </m:r>
        <m:r>
          <m:t>g</m:t>
        </m:r>
        <m:r>
          <m:t>S</m:t>
        </m:r>
        <m:sSub>
          <m:e>
            <m:r>
              <m:t>O</m:t>
            </m:r>
          </m:e>
          <m:sub>
            <m:r>
              <m:t>4</m:t>
            </m:r>
          </m:sub>
        </m:sSub>
      </m:oMath>
      <w:r>
        <w:t xml:space="preserve"> </w:t>
      </w:r>
      <w:r>
        <w:t xml:space="preserve">and 0.140 g</w:t>
      </w:r>
      <w:r>
        <w:t xml:space="preserve"> </w:t>
      </w:r>
      <m:oMath>
        <m:r>
          <m:t>C</m:t>
        </m:r>
        <m:r>
          <m:t>a</m:t>
        </m:r>
        <m:r>
          <m:t>C</m:t>
        </m:r>
        <m:sSub>
          <m:e>
            <m:r>
              <m:t>l</m:t>
            </m:r>
          </m:e>
          <m:sub>
            <m:r>
              <m:t>2</m:t>
            </m:r>
          </m:sub>
        </m:sSub>
        <m:r>
          <m:t>⋅</m:t>
        </m:r>
        <m:r>
          <m:t>2</m:t>
        </m:r>
        <m:sSub>
          <m:e>
            <m:r>
              <m:t>H</m:t>
            </m:r>
          </m:e>
          <m:sub>
            <m:r>
              <m:t>2</m:t>
            </m:r>
          </m:sub>
        </m:sSub>
        <m:r>
          <m:t>0</m:t>
        </m:r>
      </m:oMath>
      <w:r>
        <w:t xml:space="preserve"> </w:t>
      </w:r>
      <w:r>
        <w:t xml:space="preserve">in 1 l of ultra pure water), 10 ml of Hutner’s Trace Element Solution (10 g</w:t>
      </w:r>
      <w:r>
        <w:t xml:space="preserve"> </w:t>
      </w:r>
      <m:oMath>
        <m:sSub>
          <m:e>
            <m:r>
              <m:t>C</m:t>
            </m:r>
          </m:e>
          <m:sub>
            <m:r>
              <m:t>6</m:t>
            </m:r>
          </m:sub>
        </m:sSub>
        <m:sSub>
          <m:e>
            <m:r>
              <m:t>H</m:t>
            </m:r>
          </m:e>
          <m:sub>
            <m:r>
              <m:t>9</m:t>
            </m:r>
          </m:sub>
        </m:sSub>
        <m:r>
          <m:t>N</m:t>
        </m:r>
        <m:sSub>
          <m:e>
            <m:r>
              <m:t>O</m:t>
            </m:r>
          </m:e>
          <m:sub>
            <m:r>
              <m:t>6</m:t>
            </m:r>
          </m:sub>
        </m:sSub>
      </m:oMath>
      <w:r>
        <w:t xml:space="preserve">, 7.3 g KOH, 14.45 g</w:t>
      </w:r>
      <w:r>
        <w:t xml:space="preserve"> </w:t>
      </w:r>
      <m:oMath>
        <m:r>
          <m:t>M</m:t>
        </m:r>
        <m:r>
          <m:t>g</m:t>
        </m:r>
        <m:r>
          <m:t>S</m:t>
        </m:r>
        <m:sSub>
          <m:e>
            <m:r>
              <m:t>O</m:t>
            </m:r>
          </m:e>
          <m:sub>
            <m:r>
              <m:t>4</m:t>
            </m:r>
          </m:sub>
        </m:sSub>
      </m:oMath>
      <w:r>
        <w:t xml:space="preserve">, 3.335 g</w:t>
      </w:r>
      <w:r>
        <w:t xml:space="preserve"> </w:t>
      </w:r>
      <m:oMath>
        <m:r>
          <m:t>C</m:t>
        </m:r>
        <m:r>
          <m:t>a</m:t>
        </m:r>
        <m:r>
          <m:t>C</m:t>
        </m:r>
        <m:sSub>
          <m:e>
            <m:r>
              <m:t>l</m:t>
            </m:r>
          </m:e>
          <m:sub>
            <m:r>
              <m:t>2</m:t>
            </m:r>
          </m:sub>
        </m:sSub>
        <m:r>
          <m:t>⋅</m:t>
        </m:r>
        <m:r>
          <m:t>2</m:t>
        </m:r>
        <m:sSub>
          <m:e>
            <m:r>
              <m:t>H</m:t>
            </m:r>
          </m:e>
          <m:sub>
            <m:r>
              <m:t>2</m:t>
            </m:r>
          </m:sub>
        </m:sSub>
        <m:r>
          <m:t>0</m:t>
        </m:r>
      </m:oMath>
      <w:r>
        <w:t xml:space="preserve">, 0.00925 g</w:t>
      </w:r>
      <w:r>
        <w:t xml:space="preserve"> </w:t>
      </w:r>
      <m:oMath>
        <m:r>
          <m:t>(</m:t>
        </m:r>
        <m:r>
          <m:t>N</m:t>
        </m:r>
        <m:sSub>
          <m:e>
            <m:r>
              <m:t>H</m:t>
            </m:r>
          </m:e>
          <m:sub>
            <m:r>
              <m:t>4</m:t>
            </m:r>
          </m:sub>
        </m:sSub>
        <m:sSub>
          <m:e>
            <m:r>
              <m:t>)</m:t>
            </m:r>
          </m:e>
          <m:sub>
            <m:r>
              <m:t>6</m:t>
            </m:r>
          </m:sub>
        </m:sSub>
        <m:r>
          <m:t>M</m:t>
        </m:r>
        <m:sSub>
          <m:e>
            <m:r>
              <m:t>o</m:t>
            </m:r>
          </m:e>
          <m:sub>
            <m:r>
              <m:t>7</m:t>
            </m:r>
          </m:sub>
        </m:sSub>
        <m:sSub>
          <m:e>
            <m:r>
              <m:t>O</m:t>
            </m:r>
          </m:e>
          <m:sub>
            <m:r>
              <m:t>24</m:t>
            </m:r>
          </m:sub>
        </m:sSub>
        <m:r>
          <m:t>⋅</m:t>
        </m:r>
        <m:r>
          <m:t>4</m:t>
        </m:r>
        <m:sSub>
          <m:e>
            <m:r>
              <m:t>H</m:t>
            </m:r>
          </m:e>
          <m:sub>
            <m:r>
              <m:t>2</m:t>
            </m:r>
          </m:sub>
        </m:sSub>
        <m:r>
          <m:t>0</m:t>
        </m:r>
      </m:oMath>
      <w:r>
        <w:t xml:space="preserve">, 0.099 g</w:t>
      </w:r>
      <w:r>
        <w:t xml:space="preserve"> </w:t>
      </w:r>
      <m:oMath>
        <m:r>
          <m:t>F</m:t>
        </m:r>
        <m:r>
          <m:t>e</m:t>
        </m:r>
        <m:r>
          <m:t>S</m:t>
        </m:r>
        <m:sSub>
          <m:e>
            <m:r>
              <m:t>O</m:t>
            </m:r>
          </m:e>
          <m:sub>
            <m:r>
              <m:t>4</m:t>
            </m:r>
          </m:sub>
        </m:sSub>
        <m:r>
          <m:t>⋅</m:t>
        </m:r>
        <m:r>
          <m:t>7</m:t>
        </m:r>
        <m:sSub>
          <m:e>
            <m:r>
              <m:t>H</m:t>
            </m:r>
          </m:e>
          <m:sub>
            <m:r>
              <m:t>2</m:t>
            </m:r>
          </m:sub>
        </m:sSub>
        <m:r>
          <m:t>0</m:t>
        </m:r>
      </m:oMath>
      <w:r>
        <w:t xml:space="preserve"> </w:t>
      </w:r>
      <w:r>
        <w:t xml:space="preserve">and 50 mL of Hutner’s Stock Salt Solution in 1 l of ultra pure water), 1 ml of Biotin (1 g</w:t>
      </w:r>
      <w:r>
        <w:t xml:space="preserve"> </w:t>
      </w:r>
      <m:oMath>
        <m:sSup>
          <m:e>
            <m:r>
              <m:t>l</m:t>
            </m:r>
          </m:e>
          <m:sup>
            <m:r>
              <m:t>−</m:t>
            </m:r>
            <m:r>
              <m:t>1</m:t>
            </m:r>
          </m:sup>
        </m:sSup>
      </m:oMath>
      <w:r>
        <w:t xml:space="preserve">), 1 ml of Thiamin (1 g</w:t>
      </w:r>
      <w:r>
        <w:t xml:space="preserve"> </w:t>
      </w:r>
      <m:oMath>
        <m:sSup>
          <m:e>
            <m:r>
              <m:t>l</m:t>
            </m:r>
          </m:e>
          <m:sup>
            <m:r>
              <m:t>−</m:t>
            </m:r>
            <m:r>
              <m:t>1</m:t>
            </m:r>
          </m:sup>
        </m:sSup>
      </m:oMath>
      <w:r>
        <w:t xml:space="preserve">) and ultra pure water to 1 l. Accounting for the dilution by the inoculum with assumed organic carbon concentration nearly zero, initial organic carbon concentration of the microcosms was 25 mmol</w:t>
      </w:r>
      <w:r>
        <w:t xml:space="preserve"> </w:t>
      </w:r>
      <m:oMath>
        <m:sSup>
          <m:e>
            <m:r>
              <m:t>l</m:t>
            </m:r>
          </m:e>
          <m:sup>
            <m:r>
              <m:t>−</m:t>
            </m:r>
            <m:r>
              <m:t>1</m:t>
            </m:r>
          </m:sup>
        </m:sSup>
      </m:oMath>
      <w:r>
        <w:t xml:space="preserve">. Initial microbial biomass concentration of the microocosm was measured (see later) to be 7 mmol of microbial carbon per liter. Incubation vials were kept covered by Breathe-Easy sealing membrane secured with the aluminium cap at all times the respiration rate was not measured.</w:t>
      </w:r>
      <w:r>
        <w:t xml:space="preserve"> </w:t>
      </w:r>
      <w:r>
        <w:rPr>
          <w:i/>
          <w:b/>
        </w:rPr>
        <w:t xml:space="preserve">(short decription of the incubator)</w:t>
      </w:r>
      <w:r>
        <w:t xml:space="preserve">.</w:t>
      </w:r>
    </w:p>
    <w:p>
      <w:pPr>
        <w:pStyle w:val="Heading3"/>
      </w:pPr>
      <w:bookmarkStart w:id="27" w:name="respiration-rate"/>
      <w:bookmarkEnd w:id="27"/>
      <w:r>
        <w:t xml:space="preserve">Respiration rate</w:t>
      </w:r>
    </w:p>
    <w:p>
      <w:pPr>
        <w:pStyle w:val="FirstParagraph"/>
      </w:pPr>
      <w:r>
        <w:t xml:space="preserve">Microbial respiration rate was measured at the beginning of the experiment and each following day (six times in total). Approximately two hours before the headspace</w:t>
      </w:r>
      <w:r>
        <w:t xml:space="preserve"> </w:t>
      </w:r>
      <m:oMath>
        <m:r>
          <m:t>C</m:t>
        </m:r>
        <m:sSub>
          <m:e>
            <m:r>
              <m:t>O</m:t>
            </m:r>
          </m:e>
          <m:sub>
            <m:r>
              <m:t>2</m:t>
            </m:r>
          </m:sub>
        </m:sSub>
      </m:oMath>
      <w:r>
        <w:t xml:space="preserve"> </w:t>
      </w:r>
      <w:r>
        <w:t xml:space="preserve">concentration measurement, Breathe-Easy sealing membranes were removed from the incubation vials and replaced by the ruber septa secured with the alluminium cap. Vials headspace was exhcanged for the</w:t>
      </w:r>
      <w:r>
        <w:t xml:space="preserve"> </w:t>
      </w:r>
      <m:oMath>
        <m:r>
          <m:t>C</m:t>
        </m:r>
        <m:sSub>
          <m:e>
            <m:r>
              <m:t>O</m:t>
            </m:r>
          </m:e>
          <m:sub>
            <m:r>
              <m:t>2</m:t>
            </m:r>
          </m:sub>
        </m:sSub>
      </m:oMath>
      <w:r>
        <w:t xml:space="preserve">-free air and incubated. Headspace was sampled using 5 ml gas tight syringe. 1.5 ml of well mixed headspace air was sampled and directly injected to Li-Cor Li 7000 (LI-COR, Inc., Lincoln, Nebraska, USA).</w:t>
      </w:r>
      <w:r>
        <w:t xml:space="preserve"> </w:t>
      </w:r>
      <m:oMath>
        <m:r>
          <m:t>C</m:t>
        </m:r>
        <m:sSub>
          <m:e>
            <m:r>
              <m:t>O</m:t>
            </m:r>
          </m:e>
          <m:sub>
            <m:r>
              <m:t>2</m:t>
            </m:r>
          </m:sub>
        </m:sSub>
      </m:oMath>
      <w:r>
        <w:t xml:space="preserve"> </w:t>
      </w:r>
      <w:r>
        <w:t xml:space="preserve">concentration was calculated against the calibartion standard gas of the</w:t>
      </w:r>
      <w:r>
        <w:t xml:space="preserve"> </w:t>
      </w:r>
      <m:oMath>
        <m:r>
          <m:t>C</m:t>
        </m:r>
        <m:sSub>
          <m:e>
            <m:r>
              <m:t>O</m:t>
            </m:r>
          </m:e>
          <m:sub>
            <m:r>
              <m:t>2</m:t>
            </m:r>
          </m:sub>
        </m:sSub>
      </m:oMath>
      <w:r>
        <w:t xml:space="preserve"> </w:t>
      </w:r>
      <w:r>
        <w:t xml:space="preserve">concentration 2000 ppm.</w:t>
      </w:r>
      <w:r>
        <w:t xml:space="preserve"> </w:t>
      </w:r>
      <m:oMath>
        <m:r>
          <m:t>C</m:t>
        </m:r>
        <m:sSub>
          <m:e>
            <m:r>
              <m:t>O</m:t>
            </m:r>
          </m:e>
          <m:sub>
            <m:r>
              <m:t>2</m:t>
            </m:r>
          </m:sub>
        </m:sSub>
      </m:oMath>
      <w:r>
        <w:t xml:space="preserve"> </w:t>
      </w:r>
      <w:r>
        <w:t xml:space="preserve">concentration was corrected for the</w:t>
      </w:r>
      <w:r>
        <w:t xml:space="preserve"> </w:t>
      </w:r>
      <m:oMath>
        <m:r>
          <m:t>C</m:t>
        </m:r>
        <m:sSub>
          <m:e>
            <m:r>
              <m:t>O</m:t>
            </m:r>
          </m:e>
          <m:sub>
            <m:r>
              <m:t>2</m:t>
            </m:r>
          </m:sub>
        </m:sSub>
      </m:oMath>
      <w:r>
        <w:t xml:space="preserve"> </w:t>
      </w:r>
      <w:r>
        <w:t xml:space="preserve">dissolution in liquid media according to Sparling and West</w:t>
      </w:r>
      <w:r>
        <w:t xml:space="preserve"> </w:t>
      </w:r>
      <w:r>
        <w:t xml:space="preserve">(1990)</w:t>
      </w:r>
      <w:r>
        <w:t xml:space="preserve">. Respiration rate was further calculated as corrected</w:t>
      </w:r>
      <w:r>
        <w:t xml:space="preserve"> </w:t>
      </w:r>
      <m:oMath>
        <m:r>
          <m:t>C</m:t>
        </m:r>
        <m:sSub>
          <m:e>
            <m:r>
              <m:t>O</m:t>
            </m:r>
          </m:e>
          <m:sub>
            <m:r>
              <m:t>2</m:t>
            </m:r>
          </m:sub>
        </m:sSub>
      </m:oMath>
      <w:r>
        <w:t xml:space="preserve"> </w:t>
      </w:r>
      <w:r>
        <w:t xml:space="preserve">concentration divided by the time since the vials were closed.</w:t>
      </w:r>
    </w:p>
    <w:p>
      <w:pPr>
        <w:pStyle w:val="Heading3"/>
      </w:pPr>
      <w:bookmarkStart w:id="28" w:name="dna-isolation-and-quantification"/>
      <w:bookmarkEnd w:id="28"/>
      <w:r>
        <w:t xml:space="preserve">DNA isolation and quantification</w:t>
      </w:r>
    </w:p>
    <w:p>
      <w:pPr>
        <w:pStyle w:val="FirstParagraph"/>
      </w:pPr>
      <w:r>
        <w:t xml:space="preserve">To quantify microbial biomass in the microcosms, DNA was isolated from samples before the start of the experiment, first, second and last day of incubation. The sampling was destructive. The whole volume of microcosm containing microbial cells was quantitatively transfered to 15 ml falcon tubes. Cell scraper was used to detach microbial cells from surface of microcosm or from glass beads/wool. Two ml of phosphate buffer was added and the final solution thoroughly mixed. The final solution was centrifuged at 4,700 g for ten minutes at 4°C and pelet was separated from supernatant. Supernatant was anaylzed for protein concentration (see later). Pellet was resuspended in 0.5 ml and kept deep frozen (-80°C) until the assay was conducted.</w:t>
      </w:r>
      <w:r>
        <w:t xml:space="preserve"> </w:t>
      </w:r>
      <w:r>
        <w:t xml:space="preserve">Cell pelet was bead beated in ethanol solution for 5 minutes to lyse the cells. To isolate DNA from the cell lysate, DNeasy PowerSoil Kit (QIAGEN, Venlo, Netherland) was used. DNA concentration was measured by a Nanodrop meter</w:t>
      </w:r>
      <w:r>
        <w:t xml:space="preserve"> </w:t>
      </w:r>
      <w:r>
        <w:rPr>
          <w:i/>
          <w:b/>
        </w:rPr>
        <w:t xml:space="preserve">(specification)</w:t>
      </w:r>
      <w:r>
        <w:t xml:space="preserve">. DNA concentration was conversed to microbial biomass carbon using several conversion factors published in literature (see Fig. 1)</w:t>
      </w:r>
    </w:p>
    <w:p>
      <w:pPr>
        <w:pStyle w:val="Heading3"/>
      </w:pPr>
      <w:bookmarkStart w:id="29" w:name="cellular-protein-quantification"/>
      <w:bookmarkEnd w:id="29"/>
      <w:r>
        <w:t xml:space="preserve">Cellular protein quantification</w:t>
      </w:r>
    </w:p>
    <w:p>
      <w:pPr>
        <w:pStyle w:val="FirstParagraph"/>
      </w:pPr>
      <w:r>
        <w:t xml:space="preserve">As a complementary method for microbial biomass quantification, protein concentration was assesed in cell lysate by bicinchoninic acid assay.</w:t>
      </w:r>
      <w:r>
        <w:t xml:space="preserve"> </w:t>
      </w:r>
      <w:r>
        <w:rPr>
          <w:i/>
          <w:b/>
        </w:rPr>
        <w:t xml:space="preserve">(specification of spectrophotometer)</w:t>
      </w:r>
      <w:r>
        <w:t xml:space="preserve"> </w:t>
      </w:r>
      <w:r>
        <w:t xml:space="preserve">was used to measure protein concentration. Alike DNA, protein concentration was conversed to microbial biomass carbon using several conversion factors published in literature (see Fig. 1)</w:t>
      </w:r>
    </w:p>
    <w:p>
      <w:pPr>
        <w:pStyle w:val="Heading3"/>
      </w:pPr>
      <w:bookmarkStart w:id="30" w:name="extracellular-protein-concentration"/>
      <w:bookmarkEnd w:id="30"/>
      <w:r>
        <w:t xml:space="preserve">Extracellular protein concentration</w:t>
      </w:r>
    </w:p>
    <w:p>
      <w:pPr>
        <w:pStyle w:val="FirstParagraph"/>
      </w:pPr>
      <w:r>
        <w:t xml:space="preserve">Protein concentration was further assesed in the supernatant (see above). Before the analysis, supernatant was filtered through 10 kDa Supor membrane. Protein concentration was measured in &gt;10 kDa fraction. This fraction is assumed to be dominated be extracellular enzymes produced by microbial cells. Extracellular enzymes are assumed to contain 46% of carbon</w:t>
      </w:r>
      <w:r>
        <w:t xml:space="preserve"> </w:t>
      </w:r>
      <w:r>
        <w:t xml:space="preserve">(Vrede et al. 2004)</w:t>
      </w:r>
      <w:r>
        <w:t xml:space="preserve">.</w:t>
      </w:r>
    </w:p>
    <w:p>
      <w:pPr>
        <w:pStyle w:val="Heading3"/>
      </w:pPr>
      <w:bookmarkStart w:id="31" w:name="mathematical-description"/>
      <w:bookmarkEnd w:id="31"/>
      <w:r>
        <w:t xml:space="preserve">Mathematical description</w:t>
      </w:r>
    </w:p>
    <w:p>
      <w:pPr>
        <w:pStyle w:val="FirstParagraph"/>
      </w:pPr>
      <w:r>
        <w:t xml:space="preserve">Five models of different complexity were used to predict patterns of respiration rate, microbial biomass carbon (</w:t>
      </w:r>
      <m:oMath>
        <m:sSub>
          <m:e>
            <m:r>
              <m:t>C</m:t>
            </m:r>
          </m:e>
          <m:sub>
            <m:r>
              <m:t>M</m:t>
            </m:r>
            <m:r>
              <m:t>B</m:t>
            </m:r>
          </m:sub>
        </m:sSub>
      </m:oMath>
      <w:r>
        <w:t xml:space="preserve">) or extracellular enzyme concentration (</w:t>
      </w:r>
      <m:oMath>
        <m:sSub>
          <m:e>
            <m:r>
              <m:t>C</m:t>
            </m:r>
          </m:e>
          <m:sub>
            <m:r>
              <m:t>E</m:t>
            </m:r>
            <m:r>
              <m:t>n</m:t>
            </m:r>
            <m:r>
              <m:t>z</m:t>
            </m:r>
          </m:sub>
        </m:sSub>
      </m:oMath>
      <w:r>
        <w:t xml:space="preserve">) during the experiment. The emphasis is given to respiration rate prediction.</w:t>
      </w:r>
    </w:p>
    <w:p>
      <w:pPr>
        <w:pStyle w:val="Heading4"/>
      </w:pPr>
      <w:bookmarkStart w:id="32" w:name="first-order-decay-fig.-1a"/>
      <w:bookmarkEnd w:id="32"/>
      <w:r>
        <w:t xml:space="preserve">First order decay (Fig. 1a)</w:t>
      </w:r>
    </w:p>
    <w:p>
      <w:pPr>
        <w:pStyle w:val="FirstParagraph"/>
      </w:pPr>
      <w:r>
        <w:t xml:space="preserve">In this simplest model, organic carbon (</w:t>
      </w:r>
      <m:oMath>
        <m:sSub>
          <m:e>
            <m:r>
              <m:t>C</m:t>
            </m:r>
          </m:e>
          <m:sub>
            <m:r>
              <m:t>S</m:t>
            </m:r>
          </m:sub>
        </m:sSub>
      </m:oMath>
      <w:r>
        <w:t xml:space="preserve">) decays into</w:t>
      </w:r>
      <w:r>
        <w:t xml:space="preserve"> </w:t>
      </w:r>
      <m:oMath>
        <m:r>
          <m:t>C</m:t>
        </m:r>
        <m:sSub>
          <m:e>
            <m:r>
              <m:t>O</m:t>
            </m:r>
          </m:e>
          <m:sub>
            <m:r>
              <m:t>2</m:t>
            </m:r>
          </m:sub>
        </m:sSub>
      </m:oMath>
      <w:r>
        <w:t xml:space="preserve"> </w:t>
      </w:r>
      <w:r>
        <w:t xml:space="preserve">at the constant rate (k):</w:t>
      </w:r>
    </w:p>
    <w:p>
      <w:pPr>
        <w:pStyle w:val="BodyText"/>
      </w:pPr>
      <w:r>
        <w:t xml:space="preserve">[1]</w:t>
      </w:r>
      <w:r>
        <w:t xml:space="preserve"> </w:t>
      </w:r>
      <m:oMath>
        <m:r>
          <m:t> </m:t>
        </m:r>
        <m:r>
          <m:t> </m:t>
        </m:r>
        <m:r>
          <m:t> </m:t>
        </m:r>
        <m:r>
          <m:t> </m:t>
        </m:r>
        <m:r>
          <m:t> </m:t>
        </m:r>
        <m:r>
          <m:t> </m:t>
        </m:r>
        <m:r>
          <m:t> </m:t>
        </m:r>
        <m:r>
          <m:t> </m:t>
        </m:r>
        <m:r>
          <m:t> </m:t>
        </m:r>
        <m:r>
          <m:t> </m:t>
        </m:r>
        <m:f>
          <m:fPr>
            <m:type m:val="bar"/>
          </m:fPr>
          <m:num>
            <m:r>
              <m:t>d</m:t>
            </m:r>
            <m:sSub>
              <m:e>
                <m:r>
                  <m:t>C</m:t>
                </m:r>
              </m:e>
              <m:sub>
                <m:r>
                  <m:t>S</m:t>
                </m:r>
              </m:sub>
            </m:sSub>
          </m:num>
          <m:den>
            <m:r>
              <m:t>d</m:t>
            </m:r>
            <m:r>
              <m:t>t</m:t>
            </m:r>
          </m:den>
        </m:f>
        <m:r>
          <m:t> </m:t>
        </m:r>
        <m:r>
          <m:t>=</m:t>
        </m:r>
        <m:r>
          <m:t> </m:t>
        </m:r>
        <m:r>
          <m:t>k</m:t>
        </m:r>
        <m:r>
          <m:t> </m:t>
        </m:r>
        <m:r>
          <m:t>×</m:t>
        </m:r>
        <m:r>
          <m:t> </m:t>
        </m:r>
        <m:sSub>
          <m:e>
            <m:r>
              <m:t>C</m:t>
            </m:r>
          </m:e>
          <m:sub>
            <m:r>
              <m:t>S</m:t>
            </m:r>
          </m:sub>
        </m:sSub>
      </m:oMath>
      <w:r>
        <w:t xml:space="preserve">,</w:t>
      </w:r>
    </w:p>
    <w:p>
      <w:pPr>
        <w:pStyle w:val="BodyText"/>
      </w:pPr>
      <w:r>
        <w:t xml:space="preserve">organic substrate (glucose, cellobiose or their mixture) and the microbial biomass are considered as</w:t>
      </w:r>
      <w:r>
        <w:t xml:space="preserve"> </w:t>
      </w:r>
      <m:oMath>
        <m:sSub>
          <m:e>
            <m:r>
              <m:t>C</m:t>
            </m:r>
          </m:e>
          <m:sub>
            <m:r>
              <m:t>S</m:t>
            </m:r>
          </m:sub>
        </m:sSub>
      </m:oMath>
      <w:r>
        <w:t xml:space="preserve"> </w:t>
      </w:r>
      <w:r>
        <w:t xml:space="preserve">in this model.</w:t>
      </w:r>
      <w:r>
        <w:t xml:space="preserve"> </w:t>
      </w:r>
      <m:oMath>
        <m:sSub>
          <m:e>
            <m:r>
              <m:t>C</m:t>
            </m:r>
          </m:e>
          <m:sub>
            <m:r>
              <m:t>M</m:t>
            </m:r>
            <m:r>
              <m:t>B</m:t>
            </m:r>
          </m:sub>
        </m:sSub>
      </m:oMath>
      <w:r>
        <w:t xml:space="preserve"> </w:t>
      </w:r>
      <w:r>
        <w:t xml:space="preserve">and</w:t>
      </w:r>
      <w:r>
        <w:t xml:space="preserve"> </w:t>
      </w:r>
      <m:oMath>
        <m:sSub>
          <m:e>
            <m:r>
              <m:t>C</m:t>
            </m:r>
          </m:e>
          <m:sub>
            <m:r>
              <m:t>E</m:t>
            </m:r>
            <m:r>
              <m:t>n</m:t>
            </m:r>
            <m:r>
              <m:t>z</m:t>
            </m:r>
          </m:sub>
        </m:sSub>
      </m:oMath>
      <w:r>
        <w:t xml:space="preserve"> </w:t>
      </w:r>
      <w:r>
        <w:t xml:space="preserve">cannot be predicted by the model since they are not explicitely assumed to affect the respiration rate.</w:t>
      </w:r>
    </w:p>
    <w:p>
      <w:pPr>
        <w:pStyle w:val="Heading4"/>
      </w:pPr>
      <w:bookmarkStart w:id="33" w:name="monod-growth-fig.-1b"/>
      <w:bookmarkEnd w:id="33"/>
      <w:r>
        <w:t xml:space="preserve">Monod growth (Fig. 1b)</w:t>
      </w:r>
    </w:p>
    <w:p>
      <w:pPr>
        <w:pStyle w:val="FirstParagraph"/>
      </w:pPr>
      <w:r>
        <w:t xml:space="preserve">In this model,</w:t>
      </w:r>
      <w:r>
        <w:t xml:space="preserve"> </w:t>
      </w:r>
      <m:oMath>
        <m:sSub>
          <m:e>
            <m:r>
              <m:t>C</m:t>
            </m:r>
          </m:e>
          <m:sub>
            <m:r>
              <m:t>S</m:t>
            </m:r>
          </m:sub>
        </m:sSub>
      </m:oMath>
      <w:r>
        <w:t xml:space="preserve"> </w:t>
      </w:r>
      <w:r>
        <w:t xml:space="preserve">is consumed by microbial biomass and transformed to</w:t>
      </w:r>
      <w:r>
        <w:t xml:space="preserve"> </w:t>
      </w:r>
      <m:oMath>
        <m:r>
          <m:t>C</m:t>
        </m:r>
        <m:sSub>
          <m:e>
            <m:r>
              <m:t>O</m:t>
            </m:r>
          </m:e>
          <m:sub>
            <m:r>
              <m:t>2</m:t>
            </m:r>
          </m:sub>
        </m:sSub>
      </m:oMath>
      <w:r>
        <w:t xml:space="preserve"> </w:t>
      </w:r>
      <w:r>
        <w:t xml:space="preserve">or</w:t>
      </w:r>
      <w:r>
        <w:t xml:space="preserve"> </w:t>
      </w:r>
      <m:oMath>
        <m:sSub>
          <m:e>
            <m:r>
              <m:t>C</m:t>
            </m:r>
          </m:e>
          <m:sub>
            <m:r>
              <m:t>M</m:t>
            </m:r>
            <m:r>
              <m:t>B</m:t>
            </m:r>
          </m:sub>
        </m:sSub>
      </m:oMath>
      <w:r>
        <w:t xml:space="preserve">. Microbial biomass is dying at constant rate returning used organic carbon to</w:t>
      </w:r>
      <w:r>
        <w:t xml:space="preserve"> </w:t>
      </w:r>
      <m:oMath>
        <m:sSub>
          <m:e>
            <m:r>
              <m:t>C</m:t>
            </m:r>
          </m:e>
          <m:sub>
            <m:r>
              <m:t>S</m:t>
            </m:r>
          </m:sub>
        </m:sSub>
      </m:oMath>
      <w:r>
        <w:t xml:space="preserve"> </w:t>
      </w:r>
      <w:r>
        <w:t xml:space="preserve">pool:</w:t>
      </w:r>
    </w:p>
    <w:p>
      <w:pPr>
        <w:pStyle w:val="BodyText"/>
      </w:pPr>
      <w:r>
        <w:t xml:space="preserve">[2]</w:t>
      </w:r>
      <w:r>
        <w:t xml:space="preserve"> </w:t>
      </w:r>
      <m:oMath>
        <m:r>
          <m:t> </m:t>
        </m:r>
        <m:r>
          <m:t> </m:t>
        </m:r>
        <m:r>
          <m:t> </m:t>
        </m:r>
        <m:r>
          <m:t> </m:t>
        </m:r>
        <m:r>
          <m:t> </m:t>
        </m:r>
        <m:r>
          <m:t> </m:t>
        </m:r>
        <m:r>
          <m:t> </m:t>
        </m:r>
        <m:r>
          <m:t> </m:t>
        </m:r>
        <m:r>
          <m:t> </m:t>
        </m:r>
        <m:r>
          <m:t> </m:t>
        </m:r>
        <m:f>
          <m:fPr>
            <m:type m:val="bar"/>
          </m:fPr>
          <m:num>
            <m:r>
              <m:t>d</m:t>
            </m:r>
            <m:sSub>
              <m:e>
                <m:r>
                  <m:t>C</m:t>
                </m:r>
              </m:e>
              <m:sub>
                <m:r>
                  <m:t>M</m:t>
                </m:r>
                <m:r>
                  <m:t>B</m:t>
                </m:r>
              </m:sub>
            </m:sSub>
          </m:num>
          <m:den>
            <m:r>
              <m:t>d</m:t>
            </m:r>
            <m:r>
              <m:t>t</m:t>
            </m:r>
          </m:den>
        </m:f>
        <m:r>
          <m:t> </m:t>
        </m:r>
        <m:r>
          <m:t>=</m:t>
        </m:r>
        <m:r>
          <m:t> </m:t>
        </m:r>
        <m:r>
          <m:t>u</m:t>
        </m:r>
        <m:r>
          <m:t>p</m:t>
        </m:r>
        <m:r>
          <m:t>t</m:t>
        </m:r>
        <m:r>
          <m:t>a</m:t>
        </m:r>
        <m:r>
          <m:t>k</m:t>
        </m:r>
        <m:r>
          <m:t>e</m:t>
        </m:r>
        <m:r>
          <m:t> </m:t>
        </m:r>
        <m:r>
          <m:t>×</m:t>
        </m:r>
        <m:r>
          <m:t> </m:t>
        </m:r>
        <m:r>
          <m:t>C</m:t>
        </m:r>
        <m:r>
          <m:t>U</m:t>
        </m:r>
        <m:r>
          <m:t>E</m:t>
        </m:r>
        <m:r>
          <m:t> </m:t>
        </m:r>
        <m:r>
          <m:t>−</m:t>
        </m:r>
        <m:r>
          <m:t> </m:t>
        </m:r>
        <m:sSub>
          <m:e>
            <m:r>
              <m:t>k</m:t>
            </m:r>
          </m:e>
          <m:sub>
            <m:r>
              <m:t>M</m:t>
            </m:r>
            <m:r>
              <m:t>B</m:t>
            </m:r>
          </m:sub>
        </m:sSub>
        <m:r>
          <m:t> </m:t>
        </m:r>
        <m:r>
          <m:t>×</m:t>
        </m:r>
        <m:r>
          <m:t> </m:t>
        </m:r>
        <m:sSub>
          <m:e>
            <m:r>
              <m:t>C</m:t>
            </m:r>
          </m:e>
          <m:sub>
            <m:r>
              <m:t>M</m:t>
            </m:r>
            <m:r>
              <m:t>B</m:t>
            </m:r>
          </m:sub>
        </m:sSub>
      </m:oMath>
      <w:r>
        <w:t xml:space="preserve">,</w:t>
      </w:r>
    </w:p>
    <w:p>
      <w:pPr>
        <w:pStyle w:val="BodyText"/>
      </w:pPr>
      <w:r>
        <w:t xml:space="preserve">[3]</w:t>
      </w:r>
      <w:r>
        <w:t xml:space="preserve"> </w:t>
      </w:r>
      <m:oMath>
        <m:r>
          <m:t> </m:t>
        </m:r>
        <m:r>
          <m:t> </m:t>
        </m:r>
        <m:r>
          <m:t> </m:t>
        </m:r>
        <m:r>
          <m:t> </m:t>
        </m:r>
        <m:r>
          <m:t> </m:t>
        </m:r>
        <m:r>
          <m:t> </m:t>
        </m:r>
        <m:r>
          <m:t> </m:t>
        </m:r>
        <m:r>
          <m:t> </m:t>
        </m:r>
        <m:r>
          <m:t> </m:t>
        </m:r>
        <m:r>
          <m:t> </m:t>
        </m:r>
        <m:f>
          <m:fPr>
            <m:type m:val="bar"/>
          </m:fPr>
          <m:num>
            <m:r>
              <m:t>d</m:t>
            </m:r>
            <m:sSub>
              <m:e>
                <m:r>
                  <m:t>C</m:t>
                </m:r>
              </m:e>
              <m:sub>
                <m:r>
                  <m:t>S</m:t>
                </m:r>
              </m:sub>
            </m:sSub>
          </m:num>
          <m:den>
            <m:r>
              <m:t>d</m:t>
            </m:r>
            <m:r>
              <m:t>t</m:t>
            </m:r>
          </m:den>
        </m:f>
        <m:r>
          <m:t> </m:t>
        </m:r>
        <m:r>
          <m:t>=</m:t>
        </m:r>
        <m:r>
          <m:t> </m:t>
        </m:r>
        <m:r>
          <m:t>−</m:t>
        </m:r>
        <m:r>
          <m:t>u</m:t>
        </m:r>
        <m:r>
          <m:t>p</m:t>
        </m:r>
        <m:r>
          <m:t>t</m:t>
        </m:r>
        <m:r>
          <m:t>a</m:t>
        </m:r>
        <m:r>
          <m:t>k</m:t>
        </m:r>
        <m:r>
          <m:t>e</m:t>
        </m:r>
        <m:r>
          <m:t> </m:t>
        </m:r>
        <m:r>
          <m:t>+</m:t>
        </m:r>
        <m:r>
          <m:t> </m:t>
        </m:r>
        <m:sSub>
          <m:e>
            <m:r>
              <m:t>k</m:t>
            </m:r>
          </m:e>
          <m:sub>
            <m:r>
              <m:t>M</m:t>
            </m:r>
            <m:r>
              <m:t>B</m:t>
            </m:r>
          </m:sub>
        </m:sSub>
        <m:r>
          <m:t> </m:t>
        </m:r>
        <m:r>
          <m:t>×</m:t>
        </m:r>
        <m:r>
          <m:t> </m:t>
        </m:r>
        <m:sSub>
          <m:e>
            <m:r>
              <m:t>C</m:t>
            </m:r>
          </m:e>
          <m:sub>
            <m:r>
              <m:t>M</m:t>
            </m:r>
            <m:r>
              <m:t>B</m:t>
            </m:r>
          </m:sub>
        </m:sSub>
      </m:oMath>
      <w:r>
        <w:t xml:space="preserve">.</w:t>
      </w:r>
    </w:p>
    <w:p>
      <w:pPr>
        <w:pStyle w:val="BodyText"/>
      </w:pPr>
      <w:r>
        <w:t xml:space="preserve">In eqs. 2 and 3, CUE is carbon use efficiency and</w:t>
      </w:r>
      <w:r>
        <w:t xml:space="preserve"> </w:t>
      </w:r>
      <m:oMath>
        <m:sSub>
          <m:e>
            <m:r>
              <m:t>k</m:t>
            </m:r>
          </m:e>
          <m:sub>
            <m:r>
              <m:t>M</m:t>
            </m:r>
            <m:r>
              <m:t>B</m:t>
            </m:r>
          </m:sub>
        </m:sSub>
      </m:oMath>
      <w:r>
        <w:t xml:space="preserve"> </w:t>
      </w:r>
      <w:r>
        <w:t xml:space="preserve">is death rate constant of microbial biomass decay process. Microbial carbon uptake is defined as hyperbolic function of</w:t>
      </w:r>
      <w:r>
        <w:t xml:space="preserve"> </w:t>
      </w:r>
      <m:oMath>
        <m:sSub>
          <m:e>
            <m:r>
              <m:t>C</m:t>
            </m:r>
          </m:e>
          <m:sub>
            <m:r>
              <m:t>S</m:t>
            </m:r>
          </m:sub>
        </m:sSub>
      </m:oMath>
      <w:r>
        <w:t xml:space="preserve"> </w:t>
      </w:r>
      <w:r>
        <w:t xml:space="preserve">and</w:t>
      </w:r>
      <w:r>
        <w:t xml:space="preserve"> </w:t>
      </w:r>
      <m:oMath>
        <m:sSub>
          <m:e>
            <m:r>
              <m:t>C</m:t>
            </m:r>
          </m:e>
          <m:sub>
            <m:r>
              <m:t>M</m:t>
            </m:r>
            <m:r>
              <m:t>B</m:t>
            </m:r>
          </m:sub>
        </m:sSub>
      </m:oMath>
      <w:r>
        <w:t xml:space="preserve">:</w:t>
      </w:r>
    </w:p>
    <w:p>
      <w:pPr>
        <w:pStyle w:val="BodyText"/>
      </w:pPr>
      <w:r>
        <w:t xml:space="preserve">[4]</w:t>
      </w:r>
      <w:r>
        <w:t xml:space="preserve"> </w:t>
      </w:r>
      <m:oMath>
        <m:r>
          <m:t> </m:t>
        </m:r>
        <m:r>
          <m:t> </m:t>
        </m:r>
        <m:r>
          <m:t> </m:t>
        </m:r>
        <m:r>
          <m:t> </m:t>
        </m:r>
        <m:r>
          <m:t> </m:t>
        </m:r>
        <m:r>
          <m:t> </m:t>
        </m:r>
        <m:r>
          <m:t> </m:t>
        </m:r>
        <m:r>
          <m:t> </m:t>
        </m:r>
        <m:r>
          <m:t> </m:t>
        </m:r>
        <m:r>
          <m:t> </m:t>
        </m:r>
        <m:r>
          <m:t>u</m:t>
        </m:r>
        <m:r>
          <m:t>p</m:t>
        </m:r>
        <m:r>
          <m:t>t</m:t>
        </m:r>
        <m:r>
          <m:t>a</m:t>
        </m:r>
        <m:r>
          <m:t>k</m:t>
        </m:r>
        <m:r>
          <m:t>e</m:t>
        </m:r>
        <m:r>
          <m:t> </m:t>
        </m:r>
        <m:r>
          <m:t>=</m:t>
        </m:r>
        <m:f>
          <m:fPr>
            <m:type m:val="bar"/>
          </m:fPr>
          <m:num>
            <m:sSub>
              <m:e>
                <m:r>
                  <m:t>V</m:t>
                </m:r>
              </m:e>
              <m:sub>
                <m:r>
                  <m:t>M</m:t>
                </m:r>
                <m:r>
                  <m:t>A</m:t>
                </m:r>
                <m:r>
                  <m:t>X</m:t>
                </m:r>
              </m:sub>
            </m:sSub>
            <m:r>
              <m:t> </m:t>
            </m:r>
            <m:r>
              <m:t>×</m:t>
            </m:r>
            <m:r>
              <m:t> </m:t>
            </m:r>
            <m:sSub>
              <m:e>
                <m:r>
                  <m:t>C</m:t>
                </m:r>
              </m:e>
              <m:sub>
                <m:r>
                  <m:t>S</m:t>
                </m:r>
              </m:sub>
            </m:sSub>
            <m:r>
              <m:t> </m:t>
            </m:r>
            <m:r>
              <m:t>×</m:t>
            </m:r>
            <m:r>
              <m:t> </m:t>
            </m:r>
            <m:sSub>
              <m:e>
                <m:r>
                  <m:t>C</m:t>
                </m:r>
              </m:e>
              <m:sub>
                <m:r>
                  <m:t>M</m:t>
                </m:r>
                <m:r>
                  <m:t>B</m:t>
                </m:r>
              </m:sub>
            </m:sSub>
          </m:num>
          <m:den>
            <m:sSub>
              <m:e>
                <m:r>
                  <m:t>K</m:t>
                </m:r>
              </m:e>
              <m:sub>
                <m:r>
                  <m:t>M</m:t>
                </m:r>
              </m:sub>
            </m:sSub>
            <m:r>
              <m:t> </m:t>
            </m:r>
            <m:r>
              <m:t>+</m:t>
            </m:r>
            <m:r>
              <m:t> </m:t>
            </m:r>
            <m:sSub>
              <m:e>
                <m:r>
                  <m:t>C</m:t>
                </m:r>
              </m:e>
              <m:sub>
                <m:r>
                  <m:t>S</m:t>
                </m:r>
              </m:sub>
            </m:sSub>
          </m:den>
        </m:f>
      </m:oMath>
      <w:r>
        <w:t xml:space="preserve">,</w:t>
      </w:r>
    </w:p>
    <w:p>
      <w:pPr>
        <w:pStyle w:val="BodyText"/>
      </w:pPr>
      <w:r>
        <w:t xml:space="preserve">in which</w:t>
      </w:r>
      <w:r>
        <w:t xml:space="preserve"> </w:t>
      </w:r>
      <m:oMath>
        <m:sSub>
          <m:e>
            <m:r>
              <m:t>V</m:t>
            </m:r>
          </m:e>
          <m:sub>
            <m:r>
              <m:t>M</m:t>
            </m:r>
            <m:r>
              <m:t>A</m:t>
            </m:r>
            <m:r>
              <m:t>X</m:t>
            </m:r>
          </m:sub>
        </m:sSub>
      </m:oMath>
      <w:r>
        <w:t xml:space="preserve"> </w:t>
      </w:r>
      <w:r>
        <w:t xml:space="preserve">is maximum velocity constant and</w:t>
      </w:r>
      <w:r>
        <w:t xml:space="preserve"> </w:t>
      </w:r>
      <m:oMath>
        <m:sSub>
          <m:e>
            <m:r>
              <m:t>K</m:t>
            </m:r>
          </m:e>
          <m:sub>
            <m:r>
              <m:t>M</m:t>
            </m:r>
          </m:sub>
        </m:sSub>
      </m:oMath>
      <w:r>
        <w:t xml:space="preserve"> </w:t>
      </w:r>
      <w:r>
        <w:t xml:space="preserve">is affinity constant. Respiration rate is then given by</w:t>
      </w:r>
      <w:r>
        <w:t xml:space="preserve"> </w:t>
      </w:r>
      <m:oMath>
        <m:r>
          <m:t>u</m:t>
        </m:r>
        <m:r>
          <m:t>p</m:t>
        </m:r>
        <m:r>
          <m:t>t</m:t>
        </m:r>
        <m:r>
          <m:t>a</m:t>
        </m:r>
        <m:r>
          <m:t>k</m:t>
        </m:r>
        <m:r>
          <m:t>e</m:t>
        </m:r>
        <m:r>
          <m:t> </m:t>
        </m:r>
        <m:r>
          <m:t>×</m:t>
        </m:r>
        <m:r>
          <m:t> </m:t>
        </m:r>
        <m:r>
          <m:t>(</m:t>
        </m:r>
        <m:r>
          <m:t>1</m:t>
        </m:r>
        <m:r>
          <m:t> </m:t>
        </m:r>
        <m:r>
          <m:t>−</m:t>
        </m:r>
        <m:r>
          <m:t> </m:t>
        </m:r>
        <m:r>
          <m:t>C</m:t>
        </m:r>
        <m:r>
          <m:t>U</m:t>
        </m:r>
        <m:r>
          <m:t>E</m:t>
        </m:r>
        <m:r>
          <m:t>)</m:t>
        </m:r>
      </m:oMath>
      <w:r>
        <w:t xml:space="preserve">. Monod growth model assumes that the production of extracellular enzymes is negligible.</w:t>
      </w:r>
    </w:p>
    <w:p>
      <w:pPr>
        <w:pStyle w:val="Heading4"/>
      </w:pPr>
      <w:bookmarkStart w:id="34" w:name="microbial-enzyme-models-fig.-1c"/>
      <w:bookmarkEnd w:id="34"/>
      <w:r>
        <w:t xml:space="preserve">Microbial enzyme models (Fig. 1c)</w:t>
      </w:r>
    </w:p>
    <w:p>
      <w:pPr>
        <w:pStyle w:val="FirstParagraph"/>
      </w:pPr>
      <w:r>
        <w:t xml:space="preserve">In microbial enzyme models, microbial biomass produce extracellular enzymes. The way the carbon is partitioned between</w:t>
      </w:r>
      <w:r>
        <w:t xml:space="preserve"> </w:t>
      </w:r>
      <m:oMath>
        <m:sSub>
          <m:e>
            <m:r>
              <m:t>C</m:t>
            </m:r>
          </m:e>
          <m:sub>
            <m:r>
              <m:t>M</m:t>
            </m:r>
            <m:r>
              <m:t>B</m:t>
            </m:r>
          </m:sub>
        </m:sSub>
      </m:oMath>
      <w:r>
        <w:t xml:space="preserve">,</w:t>
      </w:r>
      <w:r>
        <w:t xml:space="preserve"> </w:t>
      </w:r>
      <m:oMath>
        <m:r>
          <m:t>C</m:t>
        </m:r>
        <m:sSub>
          <m:e>
            <m:r>
              <m:t>O</m:t>
            </m:r>
          </m:e>
          <m:sub>
            <m:r>
              <m:t>2</m:t>
            </m:r>
          </m:sub>
        </m:sSub>
      </m:oMath>
      <w:r>
        <w:t xml:space="preserve"> </w:t>
      </w:r>
      <w:r>
        <w:t xml:space="preserve">and</w:t>
      </w:r>
      <w:r>
        <w:t xml:space="preserve"> </w:t>
      </w:r>
      <m:oMath>
        <m:sSub>
          <m:e>
            <m:r>
              <m:t>C</m:t>
            </m:r>
          </m:e>
          <m:sub>
            <m:r>
              <m:t>E</m:t>
            </m:r>
            <m:r>
              <m:t>n</m:t>
            </m:r>
            <m:r>
              <m:t>z</m:t>
            </m:r>
          </m:sub>
        </m:sSub>
      </m:oMath>
      <w:r>
        <w:t xml:space="preserve"> </w:t>
      </w:r>
      <w:r>
        <w:t xml:space="preserve">can follow different rules.</w:t>
      </w:r>
    </w:p>
    <w:p>
      <w:pPr>
        <w:pStyle w:val="Compact"/>
        <w:numPr>
          <w:numId w:val="1001"/>
          <w:ilvl w:val="0"/>
        </w:numPr>
      </w:pPr>
      <w:r>
        <w:t xml:space="preserve">Classical microbial enzyme model (MEM)</w:t>
      </w:r>
    </w:p>
    <w:p>
      <w:pPr>
        <w:pStyle w:val="FirstParagraph"/>
      </w:pPr>
      <w:r>
        <w:t xml:space="preserve">Microbial enzyme model presented by Allison et al.</w:t>
      </w:r>
      <w:r>
        <w:t xml:space="preserve"> </w:t>
      </w:r>
      <w:r>
        <w:t xml:space="preserve">(2010)</w:t>
      </w:r>
      <w:r>
        <w:t xml:space="preserve"> </w:t>
      </w:r>
      <w:r>
        <w:t xml:space="preserve">assumes that extracellular enzymes are produced constitutively by the rate (</w:t>
      </w:r>
      <m:oMath>
        <m:sSub>
          <m:e>
            <m:r>
              <m:t>r</m:t>
            </m:r>
          </m:e>
          <m:sub>
            <m:r>
              <m:t>E</m:t>
            </m:r>
            <m:r>
              <m:t>n</m:t>
            </m:r>
            <m:r>
              <m:t>z</m:t>
            </m:r>
          </m:sub>
        </m:sSub>
      </m:oMath>
      <w:r>
        <w:t xml:space="preserve">), which is proportional to biomass:</w:t>
      </w:r>
    </w:p>
    <w:p>
      <w:pPr>
        <w:pStyle w:val="BodyText"/>
      </w:pPr>
      <w:r>
        <w:t xml:space="preserve">[5]</w:t>
      </w:r>
      <w:r>
        <w:t xml:space="preserve"> </w:t>
      </w:r>
      <m:oMath>
        <m:r>
          <m:t> </m:t>
        </m:r>
        <m:r>
          <m:t> </m:t>
        </m:r>
        <m:r>
          <m:t> </m:t>
        </m:r>
        <m:r>
          <m:t> </m:t>
        </m:r>
        <m:r>
          <m:t> </m:t>
        </m:r>
        <m:r>
          <m:t> </m:t>
        </m:r>
        <m:r>
          <m:t> </m:t>
        </m:r>
        <m:r>
          <m:t> </m:t>
        </m:r>
        <m:r>
          <m:t> </m:t>
        </m:r>
        <m:r>
          <m:t> </m:t>
        </m:r>
        <m:r>
          <m:t>e</m:t>
        </m:r>
        <m:r>
          <m:t>n</m:t>
        </m:r>
        <m:r>
          <m:t>z</m:t>
        </m:r>
        <m:r>
          <m:t>y</m:t>
        </m:r>
        <m:r>
          <m:t>m</m:t>
        </m:r>
        <m:r>
          <m:t>e</m:t>
        </m:r>
        <m:r>
          <m:t> </m:t>
        </m:r>
        <m:r>
          <m:t>p</m:t>
        </m:r>
        <m:r>
          <m:t>r</m:t>
        </m:r>
        <m:r>
          <m:t>o</m:t>
        </m:r>
        <m:r>
          <m:t>d</m:t>
        </m:r>
        <m:r>
          <m:t>u</m:t>
        </m:r>
        <m:r>
          <m:t>c</m:t>
        </m:r>
        <m:r>
          <m:t>t</m:t>
        </m:r>
        <m:r>
          <m:t>i</m:t>
        </m:r>
        <m:r>
          <m:t>o</m:t>
        </m:r>
        <m:r>
          <m:t>n</m:t>
        </m:r>
        <m:r>
          <m:t> </m:t>
        </m:r>
        <m:r>
          <m:t>=</m:t>
        </m:r>
        <m:r>
          <m:t> </m:t>
        </m:r>
        <m:sSub>
          <m:e>
            <m:r>
              <m:t>r</m:t>
            </m:r>
          </m:e>
          <m:sub>
            <m:r>
              <m:t>E</m:t>
            </m:r>
            <m:r>
              <m:t>n</m:t>
            </m:r>
            <m:r>
              <m:t>z</m:t>
            </m:r>
          </m:sub>
        </m:sSub>
        <m:r>
          <m:t> </m:t>
        </m:r>
        <m:r>
          <m:t>×</m:t>
        </m:r>
        <m:r>
          <m:t> </m:t>
        </m:r>
        <m:sSub>
          <m:e>
            <m:r>
              <m:t>C</m:t>
            </m:r>
          </m:e>
          <m:sub>
            <m:r>
              <m:t>M</m:t>
            </m:r>
            <m:r>
              <m:t>B</m:t>
            </m:r>
          </m:sub>
        </m:sSub>
      </m:oMath>
      <w:r>
        <w:t xml:space="preserve">.</w:t>
      </w:r>
    </w:p>
    <w:p>
      <w:pPr>
        <w:pStyle w:val="BodyText"/>
      </w:pPr>
      <w:r>
        <w:t xml:space="preserve">When extracellular enzymes are produced, microbial biomass is loosing carbon. Therefore, the mass balance equation for microbial biomass is:</w:t>
      </w:r>
    </w:p>
    <w:p>
      <w:pPr>
        <w:pStyle w:val="BodyText"/>
      </w:pPr>
      <w:r>
        <w:t xml:space="preserve">[6]</w:t>
      </w:r>
      <w:r>
        <w:t xml:space="preserve"> </w:t>
      </w:r>
      <m:oMath>
        <m:r>
          <m:t> </m:t>
        </m:r>
        <m:r>
          <m:t> </m:t>
        </m:r>
        <m:r>
          <m:t> </m:t>
        </m:r>
        <m:r>
          <m:t> </m:t>
        </m:r>
        <m:r>
          <m:t> </m:t>
        </m:r>
        <m:r>
          <m:t> </m:t>
        </m:r>
        <m:r>
          <m:t> </m:t>
        </m:r>
        <m:r>
          <m:t> </m:t>
        </m:r>
        <m:r>
          <m:t> </m:t>
        </m:r>
        <m:r>
          <m:t> </m:t>
        </m:r>
        <m:f>
          <m:fPr>
            <m:type m:val="bar"/>
          </m:fPr>
          <m:num>
            <m:r>
              <m:t>d</m:t>
            </m:r>
            <m:sSub>
              <m:e>
                <m:r>
                  <m:t>C</m:t>
                </m:r>
              </m:e>
              <m:sub>
                <m:r>
                  <m:t>M</m:t>
                </m:r>
                <m:r>
                  <m:t>B</m:t>
                </m:r>
              </m:sub>
            </m:sSub>
          </m:num>
          <m:den>
            <m:r>
              <m:t>d</m:t>
            </m:r>
            <m:r>
              <m:t>t</m:t>
            </m:r>
          </m:den>
        </m:f>
        <m:r>
          <m:t> </m:t>
        </m:r>
        <m:r>
          <m:t>=</m:t>
        </m:r>
        <m:r>
          <m:t> </m:t>
        </m:r>
        <m:r>
          <m:t>u</m:t>
        </m:r>
        <m:r>
          <m:t>p</m:t>
        </m:r>
        <m:r>
          <m:t>t</m:t>
        </m:r>
        <m:r>
          <m:t>a</m:t>
        </m:r>
        <m:r>
          <m:t>k</m:t>
        </m:r>
        <m:r>
          <m:t>e</m:t>
        </m:r>
        <m:r>
          <m:t> </m:t>
        </m:r>
        <m:r>
          <m:t>×</m:t>
        </m:r>
        <m:r>
          <m:t> </m:t>
        </m:r>
        <m:r>
          <m:t>C</m:t>
        </m:r>
        <m:r>
          <m:t>U</m:t>
        </m:r>
        <m:r>
          <m:t>E</m:t>
        </m:r>
        <m:r>
          <m:t> </m:t>
        </m:r>
        <m:r>
          <m:t>−</m:t>
        </m:r>
        <m:r>
          <m:t> </m:t>
        </m:r>
        <m:r>
          <m:t>d</m:t>
        </m:r>
        <m:r>
          <m:t>e</m:t>
        </m:r>
        <m:r>
          <m:t>a</m:t>
        </m:r>
        <m:r>
          <m:t>t</m:t>
        </m:r>
        <m:r>
          <m:t>h</m:t>
        </m:r>
        <m:r>
          <m:t> </m:t>
        </m:r>
        <m:r>
          <m:t>−</m:t>
        </m:r>
        <m:r>
          <m:t> </m:t>
        </m:r>
        <m:r>
          <m:t>e</m:t>
        </m:r>
        <m:r>
          <m:t>n</m:t>
        </m:r>
        <m:r>
          <m:t>z</m:t>
        </m:r>
        <m:r>
          <m:t>y</m:t>
        </m:r>
        <m:r>
          <m:t>m</m:t>
        </m:r>
        <m:r>
          <m:t>e</m:t>
        </m:r>
        <m:r>
          <m:t> </m:t>
        </m:r>
        <m:r>
          <m:t>p</m:t>
        </m:r>
        <m:r>
          <m:t>r</m:t>
        </m:r>
        <m:r>
          <m:t>o</m:t>
        </m:r>
        <m:r>
          <m:t>d</m:t>
        </m:r>
        <m:r>
          <m:t>u</m:t>
        </m:r>
        <m:r>
          <m:t>c</m:t>
        </m:r>
        <m:r>
          <m:t>t</m:t>
        </m:r>
        <m:r>
          <m:t>i</m:t>
        </m:r>
        <m:r>
          <m:t>o</m:t>
        </m:r>
        <m:r>
          <m:t>n</m:t>
        </m:r>
      </m:oMath>
      <w:r>
        <w:t xml:space="preserve">.</w:t>
      </w:r>
    </w:p>
    <w:p>
      <w:pPr>
        <w:pStyle w:val="Heading2"/>
      </w:pPr>
      <w:bookmarkStart w:id="35" w:name="results"/>
      <w:bookmarkEnd w:id="35"/>
      <w:r>
        <w:t xml:space="preserve">Results</w:t>
      </w:r>
    </w:p>
    <w:p>
      <w:pPr>
        <w:pStyle w:val="Heading2"/>
      </w:pPr>
      <w:bookmarkStart w:id="36" w:name="discussion"/>
      <w:bookmarkEnd w:id="36"/>
      <w:r>
        <w:t xml:space="preserve">Discussion</w:t>
      </w:r>
    </w:p>
    <w:p>
      <w:pPr>
        <w:pStyle w:val="Heading2"/>
      </w:pPr>
      <w:bookmarkStart w:id="37" w:name="tables"/>
      <w:bookmarkEnd w:id="37"/>
      <w:r>
        <w:t xml:space="preserve">Tables</w:t>
      </w:r>
    </w:p>
    <w:p>
      <w:pPr>
        <w:pStyle w:val="FirstParagraph"/>
      </w:pPr>
      <w:r>
        <w:drawing>
          <wp:inline>
            <wp:extent cx="5334000" cy="2743932"/>
            <wp:effectExtent b="0" l="0" r="0" t="0"/>
            <wp:docPr descr="" title="" id="1" name="Picture"/>
            <a:graphic>
              <a:graphicData uri="http://schemas.openxmlformats.org/drawingml/2006/picture">
                <pic:pic>
                  <pic:nvPicPr>
                    <pic:cNvPr descr="C:\Users\cape159\AppData\Local\Temp\RtmpGYfgeZ\file2b4047c77fe1.png" id="0" name="Picture"/>
                    <pic:cNvPicPr>
                      <a:picLocks noChangeArrowheads="1" noChangeAspect="1"/>
                    </pic:cNvPicPr>
                  </pic:nvPicPr>
                  <pic:blipFill>
                    <a:blip r:embed="rId38"/>
                    <a:stretch>
                      <a:fillRect/>
                    </a:stretch>
                  </pic:blipFill>
                  <pic:spPr bwMode="auto">
                    <a:xfrm>
                      <a:off x="0" y="0"/>
                      <a:ext cx="5334000" cy="2743932"/>
                    </a:xfrm>
                    <a:prstGeom prst="rect">
                      <a:avLst/>
                    </a:prstGeom>
                    <a:noFill/>
                    <a:ln w="9525">
                      <a:noFill/>
                      <a:headEnd/>
                      <a:tailEnd/>
                    </a:ln>
                  </pic:spPr>
                </pic:pic>
              </a:graphicData>
            </a:graphic>
          </wp:inline>
        </w:drawing>
      </w:r>
    </w:p>
    <w:p>
      <w:pPr>
        <w:pStyle w:val="BodyText"/>
      </w:pPr>
      <w:r>
        <w:drawing>
          <wp:inline>
            <wp:extent cx="5334000" cy="5271721"/>
            <wp:effectExtent b="0" l="0" r="0" t="0"/>
            <wp:docPr descr="" title="" id="1" name="Picture"/>
            <a:graphic>
              <a:graphicData uri="http://schemas.openxmlformats.org/drawingml/2006/picture">
                <pic:pic>
                  <pic:nvPicPr>
                    <pic:cNvPr descr="C:\Users\cape159\AppData\Local\Temp\RtmpGYfgeZ\file2b401e974f06.png" id="0" name="Picture"/>
                    <pic:cNvPicPr>
                      <a:picLocks noChangeArrowheads="1" noChangeAspect="1"/>
                    </pic:cNvPicPr>
                  </pic:nvPicPr>
                  <pic:blipFill>
                    <a:blip r:embed="rId39"/>
                    <a:stretch>
                      <a:fillRect/>
                    </a:stretch>
                  </pic:blipFill>
                  <pic:spPr bwMode="auto">
                    <a:xfrm>
                      <a:off x="0" y="0"/>
                      <a:ext cx="5334000" cy="5271721"/>
                    </a:xfrm>
                    <a:prstGeom prst="rect">
                      <a:avLst/>
                    </a:prstGeom>
                    <a:noFill/>
                    <a:ln w="9525">
                      <a:noFill/>
                      <a:headEnd/>
                      <a:tailEnd/>
                    </a:ln>
                  </pic:spPr>
                </pic:pic>
              </a:graphicData>
            </a:graphic>
          </wp:inline>
        </w:drawing>
      </w:r>
    </w:p>
    <w:p>
      <w:pPr>
        <w:pStyle w:val="BodyText"/>
      </w:pPr>
      <w:r>
        <w:drawing>
          <wp:inline>
            <wp:extent cx="5334000" cy="4256942"/>
            <wp:effectExtent b="0" l="0" r="0" t="0"/>
            <wp:docPr descr="" title="" id="1" name="Picture"/>
            <a:graphic>
              <a:graphicData uri="http://schemas.openxmlformats.org/drawingml/2006/picture">
                <pic:pic>
                  <pic:nvPicPr>
                    <pic:cNvPr descr="C:\Users\cape159\AppData\Local\Temp\RtmpGYfgeZ\file2b405be61458.png" id="0" name="Picture"/>
                    <pic:cNvPicPr>
                      <a:picLocks noChangeArrowheads="1" noChangeAspect="1"/>
                    </pic:cNvPicPr>
                  </pic:nvPicPr>
                  <pic:blipFill>
                    <a:blip r:embed="rId40"/>
                    <a:stretch>
                      <a:fillRect/>
                    </a:stretch>
                  </pic:blipFill>
                  <pic:spPr bwMode="auto">
                    <a:xfrm>
                      <a:off x="0" y="0"/>
                      <a:ext cx="5334000" cy="4256942"/>
                    </a:xfrm>
                    <a:prstGeom prst="rect">
                      <a:avLst/>
                    </a:prstGeom>
                    <a:noFill/>
                    <a:ln w="9525">
                      <a:noFill/>
                      <a:headEnd/>
                      <a:tailEnd/>
                    </a:ln>
                  </pic:spPr>
                </pic:pic>
              </a:graphicData>
            </a:graphic>
          </wp:inline>
        </w:drawing>
      </w:r>
    </w:p>
    <w:p>
      <w:pPr>
        <w:pStyle w:val="Heading2"/>
      </w:pPr>
      <w:bookmarkStart w:id="41" w:name="figures"/>
      <w:bookmarkEnd w:id="41"/>
      <w:r>
        <w:t xml:space="preserve">Figures</w:t>
      </w:r>
    </w:p>
    <w:p>
      <w:pPr>
        <w:pStyle w:val="FigureWithCaption"/>
      </w:pPr>
      <w:r>
        <w:drawing>
          <wp:inline>
            <wp:extent cx="5334000" cy="4497859"/>
            <wp:effectExtent b="0" l="0" r="0" t="0"/>
            <wp:docPr descr="Fig. 1: Schematic representation of three mathematical models, which are commonly used to predict the respiration rate. C_{S} - carbon substrate, C_{MB} - microbial biomass carbon, C_{Enz} - enzymes carbon." title="" id="1" name="Picture"/>
            <a:graphic>
              <a:graphicData uri="http://schemas.openxmlformats.org/drawingml/2006/picture">
                <pic:pic>
                  <pic:nvPicPr>
                    <pic:cNvPr descr="scheme.png" id="0" name="Picture"/>
                    <pic:cNvPicPr>
                      <a:picLocks noChangeArrowheads="1" noChangeAspect="1"/>
                    </pic:cNvPicPr>
                  </pic:nvPicPr>
                  <pic:blipFill>
                    <a:blip r:embed="rId42"/>
                    <a:stretch>
                      <a:fillRect/>
                    </a:stretch>
                  </pic:blipFill>
                  <pic:spPr bwMode="auto">
                    <a:xfrm>
                      <a:off x="0" y="0"/>
                      <a:ext cx="5334000" cy="4497859"/>
                    </a:xfrm>
                    <a:prstGeom prst="rect">
                      <a:avLst/>
                    </a:prstGeom>
                    <a:noFill/>
                    <a:ln w="9525">
                      <a:noFill/>
                      <a:headEnd/>
                      <a:tailEnd/>
                    </a:ln>
                  </pic:spPr>
                </pic:pic>
              </a:graphicData>
            </a:graphic>
          </wp:inline>
        </w:drawing>
      </w:r>
    </w:p>
    <w:p>
      <w:pPr>
        <w:pStyle w:val="ImageCaption"/>
      </w:pPr>
      <w:r>
        <w:rPr>
          <w:b/>
        </w:rPr>
        <w:t xml:space="preserve">Fig. 1:</w:t>
      </w:r>
      <w:r>
        <w:t xml:space="preserve"> </w:t>
      </w:r>
      <w:r>
        <w:rPr>
          <w:i/>
        </w:rPr>
        <w:t xml:space="preserve">Schematic representation of three mathematical models, which are commonly used to predict the respiration rate.</w:t>
      </w:r>
      <w:r>
        <w:rPr>
          <w:i/>
        </w:rPr>
        <w:t xml:space="preserve"> </w:t>
      </w:r>
      <m:oMath>
        <m:sSub>
          <m:e>
            <m:r>
              <m:t>C</m:t>
            </m:r>
          </m:e>
          <m:sub>
            <m:r>
              <m:t>S</m:t>
            </m:r>
          </m:sub>
        </m:sSub>
      </m:oMath>
      <w:r>
        <w:rPr>
          <w:i/>
        </w:rPr>
        <w:t xml:space="preserve"> </w:t>
      </w:r>
      <w:r>
        <w:rPr>
          <w:i/>
        </w:rPr>
        <w:t xml:space="preserve">- carbon substrate,</w:t>
      </w:r>
      <w:r>
        <w:rPr>
          <w:i/>
        </w:rPr>
        <w:t xml:space="preserve"> </w:t>
      </w:r>
      <m:oMath>
        <m:sSub>
          <m:e>
            <m:r>
              <m:t>C</m:t>
            </m:r>
          </m:e>
          <m:sub>
            <m:r>
              <m:t>M</m:t>
            </m:r>
            <m:r>
              <m:t>B</m:t>
            </m:r>
          </m:sub>
        </m:sSub>
      </m:oMath>
      <w:r>
        <w:rPr>
          <w:i/>
        </w:rPr>
        <w:t xml:space="preserve"> </w:t>
      </w:r>
      <w:r>
        <w:rPr>
          <w:i/>
        </w:rPr>
        <w:t xml:space="preserve">- microbial biomass carbon,</w:t>
      </w:r>
      <w:r>
        <w:rPr>
          <w:i/>
        </w:rPr>
        <w:t xml:space="preserve"> </w:t>
      </w:r>
      <m:oMath>
        <m:sSub>
          <m:e>
            <m:r>
              <m:t>C</m:t>
            </m:r>
          </m:e>
          <m:sub>
            <m:r>
              <m:t>E</m:t>
            </m:r>
            <m:r>
              <m:t>n</m:t>
            </m:r>
            <m:r>
              <m:t>z</m:t>
            </m:r>
          </m:sub>
        </m:sSub>
      </m:oMath>
      <w:r>
        <w:rPr>
          <w:i/>
        </w:rPr>
        <w:t xml:space="preserve"> </w:t>
      </w:r>
      <w:r>
        <w:rPr>
          <w:i/>
        </w:rPr>
        <w:t xml:space="preserve">- enzymes carbon.</w:t>
      </w:r>
    </w:p>
    <w:p>
      <w:pPr>
        <w:pStyle w:val="FigureWithCaption"/>
      </w:pPr>
      <w:r>
        <w:drawing>
          <wp:inline>
            <wp:extent cx="5334000" cy="6096000"/>
            <wp:effectExtent b="0" l="0" r="0" t="0"/>
            <wp:docPr descr="Fig. 2: Distribution of microbial biomass carbon data as directly measured by the DNA or cellular protein concentration and calculated by different conversion factors published in the literature , H. Christensen, Bakken, and Olsen (1993)Christensen1993;(Baart et al. 2008; Beck, Hunt, and Carlson 2018; Duuren et al. 2013; Marstorp, Guan, and Gong 2000, H. Christensen, Bakken, and Olsen (1993); Christensen1993; Yokoyama et al. 2017; Van Putten et al. 1995; Henriksen et al. 1996; Hanegraaf and Muller 2001). Middle line corresonds to the median, lower and upper hinges to first and third quartile respectively, lower and upper whisker extends from lower and upper hinge to 1.5 time the interquartile range. Note that the x axis of both plots have different scales." title="" id="1" name="Picture"/>
            <a:graphic>
              <a:graphicData uri="http://schemas.openxmlformats.org/drawingml/2006/picture">
                <pic:pic>
                  <pic:nvPicPr>
                    <pic:cNvPr descr="manuscript_draft_files/figure-docx/Fig.%201-1.png" id="0" name="Picture"/>
                    <pic:cNvPicPr>
                      <a:picLocks noChangeArrowheads="1" noChangeAspect="1"/>
                    </pic:cNvPicPr>
                  </pic:nvPicPr>
                  <pic:blipFill>
                    <a:blip r:embed="rId43"/>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rPr>
          <w:b/>
        </w:rPr>
        <w:t xml:space="preserve">Fig. 2:</w:t>
      </w:r>
      <w:r>
        <w:t xml:space="preserve"> </w:t>
      </w:r>
      <w:r>
        <w:rPr>
          <w:i/>
        </w:rPr>
        <w:t xml:space="preserve">Distribution of microbial biomass carbon data as directly measured by the DNA or cellular protein concentration and calculated by different conversion factors published in the literature</w:t>
      </w:r>
      <w:r>
        <w:rPr>
          <w:i/>
        </w:rPr>
        <w:t xml:space="preserve"> </w:t>
      </w:r>
      <w:r>
        <w:rPr>
          <w:i/>
        </w:rPr>
        <w:t xml:space="preserve">(Baart et al. 2008; Beck, Hunt, and Carlson 2018; Duuren et al. 2013; Marstorp, Guan, and Gong 2000,</w:t>
      </w:r>
      <w:r>
        <w:rPr>
          <w:i/>
        </w:rPr>
        <w:t xml:space="preserve"> </w:t>
      </w:r>
      <w:r>
        <w:rPr>
          <w:i/>
        </w:rPr>
        <w:t xml:space="preserve">H. Christensen, Bakken, and Olsen (1993)</w:t>
      </w:r>
      <w:r>
        <w:rPr>
          <w:i/>
        </w:rPr>
        <w:t xml:space="preserve">; Christensen1993; Yokoyama et al. 2017; Van Putten et al. 1995; Henriksen et al. 1996; Hanegraaf and Muller 2001)</w:t>
      </w:r>
      <w:r>
        <w:rPr>
          <w:i/>
        </w:rPr>
        <w:t xml:space="preserve">. Middle line corresonds to the median, lower and upper hinges to first and third quartile respectively, lower and upper whisker extends from lower and upper hinge to 1.5 time the interquartile range. Note that the x axis of both plots have different scales.</w:t>
      </w:r>
    </w:p>
    <w:p>
      <w:pPr>
        <w:pStyle w:val="BodyText"/>
      </w:pPr>
      <w:r>
        <w:br w:type="textWrapping"/>
      </w:r>
    </w:p>
    <w:p>
      <w:pPr>
        <w:pStyle w:val="Heading2"/>
      </w:pPr>
      <w:bookmarkStart w:id="44" w:name="references"/>
      <w:bookmarkEnd w:id="44"/>
      <w:r>
        <w:t xml:space="preserve">References</w:t>
      </w:r>
    </w:p>
    <w:p>
      <w:pPr>
        <w:pStyle w:val="Bibliography"/>
      </w:pPr>
      <w:r>
        <w:t xml:space="preserve">Allison, S D, M D Wallenstein, and M A Bradford. 2010. “Soil-carbon response to warming dependent on microbial physiology.”</w:t>
      </w:r>
      <w:r>
        <w:t xml:space="preserve"> </w:t>
      </w:r>
      <w:r>
        <w:rPr>
          <w:i/>
        </w:rPr>
        <w:t xml:space="preserve">Nature Geoscience</w:t>
      </w:r>
      <w:r>
        <w:t xml:space="preserve"> </w:t>
      </w:r>
      <w:r>
        <w:t xml:space="preserve">3 (5): 336–40. doi:</w:t>
      </w:r>
      <w:hyperlink r:id="rId45">
        <w:r>
          <w:rPr>
            <w:rStyle w:val="Hyperlink"/>
          </w:rPr>
          <w:t xml:space="preserve">10.1038/ngeo846</w:t>
        </w:r>
      </w:hyperlink>
      <w:r>
        <w:t xml:space="preserve">.</w:t>
      </w:r>
    </w:p>
    <w:p>
      <w:pPr>
        <w:pStyle w:val="Bibliography"/>
      </w:pPr>
      <w:r>
        <w:t xml:space="preserve">Baart, Gino J.E., Marieke Willemsen, Elnaz Khatami, Alex de Haan, Bert Zomer, E. Coen Beuvery, Johannes Tramper, and Dirk E. Martens. 2008. “Modeling &lt;i&gt;Neisseria meningitidis&lt;/i&gt; B metabolism at different specific growth rates.”</w:t>
      </w:r>
      <w:r>
        <w:t xml:space="preserve"> </w:t>
      </w:r>
      <w:r>
        <w:rPr>
          <w:i/>
        </w:rPr>
        <w:t xml:space="preserve">Biotechnology and Bioengineering</w:t>
      </w:r>
      <w:r>
        <w:t xml:space="preserve"> </w:t>
      </w:r>
      <w:r>
        <w:t xml:space="preserve">101 (5): 1022–35. doi:</w:t>
      </w:r>
      <w:hyperlink r:id="rId46">
        <w:r>
          <w:rPr>
            <w:rStyle w:val="Hyperlink"/>
          </w:rPr>
          <w:t xml:space="preserve">10.1002/bit.22016</w:t>
        </w:r>
      </w:hyperlink>
      <w:r>
        <w:t xml:space="preserve">.</w:t>
      </w:r>
    </w:p>
    <w:p>
      <w:pPr>
        <w:pStyle w:val="Bibliography"/>
      </w:pPr>
      <w:r>
        <w:t xml:space="preserve">Beck, Ashley, Kristopher Hunt, and Ross Carlson. 2018. “Measuring Cellular Biomass Composition for Computational Biology Applications.”</w:t>
      </w:r>
      <w:r>
        <w:t xml:space="preserve"> </w:t>
      </w:r>
      <w:r>
        <w:rPr>
          <w:i/>
        </w:rPr>
        <w:t xml:space="preserve">Processes</w:t>
      </w:r>
      <w:r>
        <w:t xml:space="preserve"> </w:t>
      </w:r>
      <w:r>
        <w:t xml:space="preserve">6 (5). Multidisciplinary Digital Publishing Institute: 38. doi:</w:t>
      </w:r>
      <w:hyperlink r:id="rId47">
        <w:r>
          <w:rPr>
            <w:rStyle w:val="Hyperlink"/>
          </w:rPr>
          <w:t xml:space="preserve">10.3390/pr6050038</w:t>
        </w:r>
      </w:hyperlink>
      <w:r>
        <w:t xml:space="preserve">.</w:t>
      </w:r>
    </w:p>
    <w:p>
      <w:pPr>
        <w:pStyle w:val="Bibliography"/>
      </w:pPr>
      <w:r>
        <w:t xml:space="preserve">Christensen, Henrik, Lars R. Bakken, and Rolf A. Olsen. 1993. “Soil bacterial DNA and biovolume profiles measured by flow-cytometry.”</w:t>
      </w:r>
      <w:r>
        <w:t xml:space="preserve"> </w:t>
      </w:r>
      <w:r>
        <w:rPr>
          <w:i/>
        </w:rPr>
        <w:t xml:space="preserve">FEMS Microbiology Letters</w:t>
      </w:r>
      <w:r>
        <w:t xml:space="preserve"> </w:t>
      </w:r>
      <w:r>
        <w:t xml:space="preserve">102 (3-4). Oxford University Press: 129–40. doi:</w:t>
      </w:r>
      <w:hyperlink r:id="rId48">
        <w:r>
          <w:rPr>
            <w:rStyle w:val="Hyperlink"/>
          </w:rPr>
          <w:t xml:space="preserve">10.1016/0378-1097(93)90196-9</w:t>
        </w:r>
      </w:hyperlink>
      <w:r>
        <w:t xml:space="preserve">.</w:t>
      </w:r>
    </w:p>
    <w:p>
      <w:pPr>
        <w:pStyle w:val="Bibliography"/>
      </w:pPr>
      <w:r>
        <w:t xml:space="preserve">Duuren, Jozef BJH van, Jacek Puchałka, Astrid E Mars, René Bücker, Gerrit Eggink, Christoph Wittmann, and Vítor AP dos Santos. 2013. “Reconciling in vivo and in silico key biological parameters of Pseudomonas putida KT2440 during growth on glucose under carbon-limited condition.”</w:t>
      </w:r>
      <w:r>
        <w:t xml:space="preserve"> </w:t>
      </w:r>
      <w:r>
        <w:rPr>
          <w:i/>
        </w:rPr>
        <w:t xml:space="preserve">BMC Biotechnology</w:t>
      </w:r>
      <w:r>
        <w:t xml:space="preserve"> </w:t>
      </w:r>
      <w:r>
        <w:t xml:space="preserve">13 (1). BioMed Central: 93. doi:</w:t>
      </w:r>
      <w:hyperlink r:id="rId49">
        <w:r>
          <w:rPr>
            <w:rStyle w:val="Hyperlink"/>
          </w:rPr>
          <w:t xml:space="preserve">10.1186/1472-6750-13-93</w:t>
        </w:r>
      </w:hyperlink>
      <w:r>
        <w:t xml:space="preserve">.</w:t>
      </w:r>
    </w:p>
    <w:p>
      <w:pPr>
        <w:pStyle w:val="Bibliography"/>
      </w:pPr>
      <w:r>
        <w:t xml:space="preserve">Hanegraaf, P P F, and E B Muller. 2001. “The Dynamics of the Macromolecular Composition of Biomass.”</w:t>
      </w:r>
      <w:r>
        <w:t xml:space="preserve"> </w:t>
      </w:r>
      <w:r>
        <w:rPr>
          <w:i/>
        </w:rPr>
        <w:t xml:space="preserve">Journal of Theoretical Biology</w:t>
      </w:r>
      <w:r>
        <w:t xml:space="preserve"> </w:t>
      </w:r>
      <w:r>
        <w:t xml:space="preserve">212 (2): 237–51. doi:</w:t>
      </w:r>
      <w:hyperlink r:id="rId50">
        <w:r>
          <w:rPr>
            <w:rStyle w:val="Hyperlink"/>
          </w:rPr>
          <w:t xml:space="preserve">10.1006/jtbi.2001.2369</w:t>
        </w:r>
      </w:hyperlink>
      <w:r>
        <w:t xml:space="preserve">.</w:t>
      </w:r>
    </w:p>
    <w:p>
      <w:pPr>
        <w:pStyle w:val="Bibliography"/>
      </w:pPr>
      <w:r>
        <w:t xml:space="preserve">Henriksen, C M, L H Christensen, J Nielsen, and J Villadsen. 1996. “Growth energetics and metabolic fluxes in continuous cultures of Penicillium chrysogenum.”</w:t>
      </w:r>
      <w:r>
        <w:t xml:space="preserve"> </w:t>
      </w:r>
      <w:r>
        <w:rPr>
          <w:i/>
        </w:rPr>
        <w:t xml:space="preserve">Journal of Biotechnology</w:t>
      </w:r>
      <w:r>
        <w:t xml:space="preserve"> </w:t>
      </w:r>
      <w:r>
        <w:t xml:space="preserve">45 (2): 149–64. doi:</w:t>
      </w:r>
      <w:hyperlink r:id="rId51">
        <w:r>
          <w:rPr>
            <w:rStyle w:val="Hyperlink"/>
          </w:rPr>
          <w:t xml:space="preserve">10.1016/0168-1656(95)00164-6</w:t>
        </w:r>
      </w:hyperlink>
      <w:r>
        <w:t xml:space="preserve">.</w:t>
      </w:r>
    </w:p>
    <w:p>
      <w:pPr>
        <w:pStyle w:val="Bibliography"/>
      </w:pPr>
      <w:r>
        <w:t xml:space="preserve">Marstorp, Håkan, Xin Guan, and Ping Gong. 2000. “Relationship between dsDNA, chloroform labile C and ergosterol in soils of different organic matter contents and pH.”</w:t>
      </w:r>
      <w:r>
        <w:t xml:space="preserve"> </w:t>
      </w:r>
      <w:r>
        <w:rPr>
          <w:i/>
        </w:rPr>
        <w:t xml:space="preserve">Soil Biology and Biochemistry</w:t>
      </w:r>
      <w:r>
        <w:t xml:space="preserve"> </w:t>
      </w:r>
      <w:r>
        <w:t xml:space="preserve">32 (6). Pergamon: 879–82. doi:</w:t>
      </w:r>
      <w:hyperlink r:id="rId52">
        <w:r>
          <w:rPr>
            <w:rStyle w:val="Hyperlink"/>
          </w:rPr>
          <w:t xml:space="preserve">10.1016/S0038-0717(99)00210-2</w:t>
        </w:r>
      </w:hyperlink>
      <w:r>
        <w:t xml:space="preserve">.</w:t>
      </w:r>
    </w:p>
    <w:p>
      <w:pPr>
        <w:pStyle w:val="Bibliography"/>
      </w:pPr>
      <w:r>
        <w:t xml:space="preserve">Sparling, G., and A. West. 1990. “A comparison of gas-chromatography and differential respirometer methods to measure soil respiration and to estimate the soil microbial biomass.”</w:t>
      </w:r>
      <w:r>
        <w:t xml:space="preserve"> </w:t>
      </w:r>
      <w:r>
        <w:rPr>
          <w:i/>
        </w:rPr>
        <w:t xml:space="preserve">Pedobiologia</w:t>
      </w:r>
      <w:r>
        <w:t xml:space="preserve"> </w:t>
      </w:r>
      <w:r>
        <w:t xml:space="preserve">34 (2): 103.</w:t>
      </w:r>
      <w:r>
        <w:t xml:space="preserve"> </w:t>
      </w:r>
      <w:hyperlink r:id="rId53">
        <w:r>
          <w:rPr>
            <w:rStyle w:val="Hyperlink"/>
          </w:rPr>
          <w:t xml:space="preserve">https://eurekamag.com/research/001/736/001736146.php</w:t>
        </w:r>
      </w:hyperlink>
      <w:r>
        <w:t xml:space="preserve">.</w:t>
      </w:r>
    </w:p>
    <w:p>
      <w:pPr>
        <w:pStyle w:val="Bibliography"/>
      </w:pPr>
      <w:r>
        <w:t xml:space="preserve">Van Putten, A. B., F. Spitzenberger, G. Kretzmer, B. Hitzmann, and K. Schügerl. 1995. “On-line and off-line monitoring of the production of alkaline serine protease by Bacillus licheniformis.”</w:t>
      </w:r>
      <w:r>
        <w:t xml:space="preserve"> </w:t>
      </w:r>
      <w:r>
        <w:rPr>
          <w:i/>
        </w:rPr>
        <w:t xml:space="preserve">Analytica Chimica Acta</w:t>
      </w:r>
      <w:r>
        <w:t xml:space="preserve"> </w:t>
      </w:r>
      <w:r>
        <w:t xml:space="preserve">317 (1-3): 247–58. doi:</w:t>
      </w:r>
      <w:hyperlink r:id="rId54">
        <w:r>
          <w:rPr>
            <w:rStyle w:val="Hyperlink"/>
          </w:rPr>
          <w:t xml:space="preserve">10.1016/0003-2670(95)00420-3</w:t>
        </w:r>
      </w:hyperlink>
      <w:r>
        <w:t xml:space="preserve">.</w:t>
      </w:r>
    </w:p>
    <w:p>
      <w:pPr>
        <w:pStyle w:val="Bibliography"/>
      </w:pPr>
      <w:r>
        <w:t xml:space="preserve">Vrede, T, D R Dobberfuhl, Salm Kooijman, and J J Elser. 2004. “Fundamental connections among organism C : N : P stoichiometry, macromolecular composition, and growth.”</w:t>
      </w:r>
      <w:r>
        <w:t xml:space="preserve"> </w:t>
      </w:r>
      <w:r>
        <w:rPr>
          <w:i/>
        </w:rPr>
        <w:t xml:space="preserve">Ecology</w:t>
      </w:r>
      <w:r>
        <w:t xml:space="preserve"> </w:t>
      </w:r>
      <w:r>
        <w:t xml:space="preserve">85 (5): 1217–29.</w:t>
      </w:r>
    </w:p>
    <w:p>
      <w:pPr>
        <w:pStyle w:val="Bibliography"/>
      </w:pPr>
      <w:r>
        <w:t xml:space="preserve">Yokoyama, Saki, Kaoru Yuri, Takiko Nomi, Masashi Komine, Shin-ichi Nakamura, Hiroyuki Hattori, and Hiroki Rai. 2017. “The high correlation between DNA and chloroform-labile N in various types of soil.”</w:t>
      </w:r>
      <w:r>
        <w:t xml:space="preserve"> </w:t>
      </w:r>
      <w:r>
        <w:rPr>
          <w:i/>
        </w:rPr>
        <w:t xml:space="preserve">Applied Soil Ecology</w:t>
      </w:r>
      <w:r>
        <w:t xml:space="preserve"> </w:t>
      </w:r>
      <w:r>
        <w:t xml:space="preserve">117-118 (September). Elsevier: 1–9. doi:</w:t>
      </w:r>
      <w:hyperlink r:id="rId55">
        <w:r>
          <w:rPr>
            <w:rStyle w:val="Hyperlink"/>
          </w:rPr>
          <w:t xml:space="preserve">10.1016/J.APSOIL.2017.04.002</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dba8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cffb6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hyperlink" Id="rId46" Target="https://doi.org/10.1002/bit.22016" TargetMode="External" /><Relationship Type="http://schemas.openxmlformats.org/officeDocument/2006/relationships/hyperlink" Id="rId50" Target="https://doi.org/10.1006/jtbi.2001.2369" TargetMode="External" /><Relationship Type="http://schemas.openxmlformats.org/officeDocument/2006/relationships/hyperlink" Id="rId54" Target="https://doi.org/10.1016/0003-2670(95)00420-3" TargetMode="External" /><Relationship Type="http://schemas.openxmlformats.org/officeDocument/2006/relationships/hyperlink" Id="rId51" Target="https://doi.org/10.1016/0168-1656(95)00164-6" TargetMode="External" /><Relationship Type="http://schemas.openxmlformats.org/officeDocument/2006/relationships/hyperlink" Id="rId48" Target="https://doi.org/10.1016/0378-1097(93)90196-9" TargetMode="External" /><Relationship Type="http://schemas.openxmlformats.org/officeDocument/2006/relationships/hyperlink" Id="rId55" Target="https://doi.org/10.1016/J.APSOIL.2017.04.002" TargetMode="External" /><Relationship Type="http://schemas.openxmlformats.org/officeDocument/2006/relationships/hyperlink" Id="rId52" Target="https://doi.org/10.1016/S0038-0717(99)00210-2" TargetMode="External" /><Relationship Type="http://schemas.openxmlformats.org/officeDocument/2006/relationships/hyperlink" Id="rId45" Target="https://doi.org/10.1038/ngeo846" TargetMode="External" /><Relationship Type="http://schemas.openxmlformats.org/officeDocument/2006/relationships/hyperlink" Id="rId49" Target="https://doi.org/10.1186/1472-6750-13-93" TargetMode="External" /><Relationship Type="http://schemas.openxmlformats.org/officeDocument/2006/relationships/hyperlink" Id="rId47" Target="https://doi.org/10.3390/pr6050038" TargetMode="External" /><Relationship Type="http://schemas.openxmlformats.org/officeDocument/2006/relationships/hyperlink" Id="rId53" Target="https://eurekamag.com/research/001/736/001736146.php" TargetMode="External" /></Relationships>
</file>

<file path=word/_rels/footnotes.xml.rels><?xml version="1.0" encoding="UTF-8"?>
<Relationships xmlns="http://schemas.openxmlformats.org/package/2006/relationships"><Relationship Type="http://schemas.openxmlformats.org/officeDocument/2006/relationships/hyperlink" Id="rId46" Target="https://doi.org/10.1002/bit.22016" TargetMode="External" /><Relationship Type="http://schemas.openxmlformats.org/officeDocument/2006/relationships/hyperlink" Id="rId50" Target="https://doi.org/10.1006/jtbi.2001.2369" TargetMode="External" /><Relationship Type="http://schemas.openxmlformats.org/officeDocument/2006/relationships/hyperlink" Id="rId54" Target="https://doi.org/10.1016/0003-2670(95)00420-3" TargetMode="External" /><Relationship Type="http://schemas.openxmlformats.org/officeDocument/2006/relationships/hyperlink" Id="rId51" Target="https://doi.org/10.1016/0168-1656(95)00164-6" TargetMode="External" /><Relationship Type="http://schemas.openxmlformats.org/officeDocument/2006/relationships/hyperlink" Id="rId48" Target="https://doi.org/10.1016/0378-1097(93)90196-9" TargetMode="External" /><Relationship Type="http://schemas.openxmlformats.org/officeDocument/2006/relationships/hyperlink" Id="rId55" Target="https://doi.org/10.1016/J.APSOIL.2017.04.002" TargetMode="External" /><Relationship Type="http://schemas.openxmlformats.org/officeDocument/2006/relationships/hyperlink" Id="rId52" Target="https://doi.org/10.1016/S0038-0717(99)00210-2" TargetMode="External" /><Relationship Type="http://schemas.openxmlformats.org/officeDocument/2006/relationships/hyperlink" Id="rId45" Target="https://doi.org/10.1038/ngeo846" TargetMode="External" /><Relationship Type="http://schemas.openxmlformats.org/officeDocument/2006/relationships/hyperlink" Id="rId49" Target="https://doi.org/10.1186/1472-6750-13-93" TargetMode="External" /><Relationship Type="http://schemas.openxmlformats.org/officeDocument/2006/relationships/hyperlink" Id="rId47" Target="https://doi.org/10.3390/pr6050038" TargetMode="External" /><Relationship Type="http://schemas.openxmlformats.org/officeDocument/2006/relationships/hyperlink" Id="rId53" Target="https://eurekamag.com/research/001/736/001736146.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1Petr Capek*, 1Katherine Todd-Brown, 1Natalie Sadler, 1Nancy Hess, 1Kirsten Hofmockel</dc:creator>
  <dcterms:created xsi:type="dcterms:W3CDTF">2018-07-24T15:52:47Z</dcterms:created>
  <dcterms:modified xsi:type="dcterms:W3CDTF">2018-07-24T15:52:47Z</dcterms:modified>
</cp:coreProperties>
</file>