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200" w:type="dxa"/>
              <w:bottom w:w="200" w:type="dxa"/>
              <w:left w:w="240" w:type="dxa"/>
              <w:right w:w="240" w:type="dxa"/>
            </w:tcMar>
          </w:tcPr>
          <w:p>
            <w:pPr>
              <w:jc w:val="center"/>
            </w:pPr>
            <w:r>
              <w:rPr>
                <w:rFonts w:ascii="Times New Roman" w:hAnsi="Times New Roman"/>
                <w:b/>
                <w:color w:val="93C5FD"/>
                <w:sz w:val="20"/>
              </w:rPr>
              <w:t>ĐẠI HỌC QUỐC GIA TP. HỒ CHÍ MINH — KHÓA LUẬN TỐT NGHIỆP</w:t>
              <w:br/>
            </w:r>
            <w:r>
              <w:rPr>
                <w:rFonts w:ascii="Times New Roman" w:hAnsi="Times New Roman"/>
                <w:b/>
                <w:color w:val="FFFFFF"/>
                <w:sz w:val="32"/>
              </w:rPr>
              <w:t>BÁO CÁO KẾT QUẢ NGHIÊN CỨU &amp; THỰC NGHIỆM HỆ THỐNG</w:t>
              <w:br/>
            </w:r>
            <w:r>
              <w:rPr>
                <w:rFonts w:ascii="Times New Roman" w:hAnsi="Times New Roman"/>
                <w:i/>
                <w:color w:val="DBEAFE"/>
                <w:sz w:val="22"/>
              </w:rPr>
              <w:t>Tự động sinh bộ kiểm thử cho bài toán lập trình thi đấu bằng mô hình ngôn ngữ lớn</w:t>
              <w:br/>
              <w:t>và tích hợp nền tảng Online Judge thực hành</w:t>
            </w:r>
          </w:p>
        </w:tc>
      </w:tr>
    </w:tbl>
    <w:p>
      <w:pPr>
        <w:spacing w:before="200" w:after="280"/>
      </w:pPr>
      <w:r>
        <w:rPr>
          <w:rFonts w:ascii="Times New Roman" w:hAnsi="Times New Roman"/>
          <w:i/>
          <w:color w:val="64748B"/>
          <w:sz w:val="19"/>
        </w:rPr>
        <w:t>• Ngày báo cáo: 12/10/2026   |   • Phạm vi: Final_TestcaseGenerator &amp; KtoxzJudge   |   • Trạng thái: Hoàn tất đợt thực nghiệm lớn</w:t>
      </w:r>
    </w:p>
    <w:p>
      <w:pPr>
        <w:pStyle w:val="Heading1"/>
        <w:spacing w:before="240" w:after="80"/>
      </w:pPr>
      <w:r>
        <w:rPr>
          <w:rFonts w:ascii="Times New Roman" w:hAnsi="Times New Roman"/>
          <w:color w:val="1E3A8A"/>
        </w:rPr>
        <w:t>1. Tóm tắt điều hành &amp; Mục tiêu nghiên cứu</w:t>
      </w:r>
    </w:p>
    <w:p>
      <w:r>
        <w:t>Nghiên cứu tập trung giải quyết bài toán cốt lõi trong công tác giáo dục và đánh giá năng lực lập trình: Làm thế nào để tự động sinh ra một bộ kiểm thử (test suite) toàn diện, chuẩn xác và có độ tin cậy cao cho một bài toán lập trình thi đấu (Competitive Programming) chỉ từ đề bài (Problem Statement Markdown), hoàn toàn không phụ thuộc vào bộ test gốc của ban tổ chức.</w:t>
      </w:r>
    </w:p>
    <w:p>
      <w:r>
        <w:t>Dự án đã xây dựng trọn vẹn giải pháp hai tầng tương hỗ: (1) Pipeline sinh testcase tự động Final_TestcaseGenerator ứng dụng mô hình ngôn ngữ lớn (LLM Multi-backend), cơ chế chứng nhận đa tầng (Multi-tier Certification), kiểm tra đồng thuận (Reference Consensus) và đánh giá khách quan bằng CodeNet Oracle; (2) Nền tảng chấm mã nguồn KtoxzJudge hiện đại, an toàn dựa trên Docker sandbox và Next.js 15.</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40" w:type="dxa"/>
              <w:bottom w:w="140" w:type="dxa"/>
              <w:left w:w="200" w:type="dxa"/>
              <w:right w:w="200" w:type="dxa"/>
            </w:tcMar>
          </w:tcPr>
          <w:p>
            <w:pPr>
              <w:spacing w:before="0" w:after="40"/>
            </w:pPr>
            <w:r>
              <w:rPr>
                <w:rFonts w:ascii="Times New Roman" w:hAnsi="Times New Roman"/>
                <w:b/>
                <w:color w:val="1E3A8A"/>
                <w:sz w:val="22"/>
              </w:rPr>
              <w:t>📌 KẾT QUẢ ĐỊNH LƯỢNG NỔI BẬT TÍNH ĐẾN 12/10/2026</w:t>
              <w:br/>
            </w:r>
          </w:p>
          <w:p>
            <w:pPr>
              <w:spacing w:before="0" w:after="40"/>
            </w:pPr>
            <w:r>
              <w:rPr>
                <w:rFonts w:ascii="Times New Roman" w:hAnsi="Times New Roman"/>
                <w:color w:val="1E293B"/>
                <w:sz w:val="21"/>
              </w:rPr>
              <w:t>Tổng số bài toán đã hoàn thành đánh giá toàn diện: 43 bài toán độc lập.</w:t>
            </w:r>
          </w:p>
          <w:p>
            <w:pPr>
              <w:spacing w:before="0" w:after="40"/>
            </w:pPr>
            <w:r>
              <w:rPr>
                <w:rFonts w:ascii="Times New Roman" w:hAnsi="Times New Roman"/>
                <w:color w:val="1E293B"/>
                <w:sz w:val="21"/>
              </w:rPr>
              <w:t>Tổng số testcase sinh ra: 830 testcases (Trung bình 19.3 testcase / bài).</w:t>
            </w:r>
          </w:p>
          <w:p>
            <w:pPr>
              <w:spacing w:before="0" w:after="40"/>
            </w:pPr>
            <w:r>
              <w:rPr>
                <w:rFonts w:ascii="Times New Roman" w:hAnsi="Times New Roman"/>
                <w:color w:val="1E293B"/>
                <w:sz w:val="21"/>
              </w:rPr>
              <w:t>Độ phủ nghĩa vụ kiểm thử trung bình (Coverage Ratio): 93.0%.</w:t>
            </w:r>
          </w:p>
          <w:p>
            <w:pPr>
              <w:spacing w:before="0" w:after="40"/>
            </w:pPr>
            <w:r>
              <w:rPr>
                <w:rFonts w:ascii="Times New Roman" w:hAnsi="Times New Roman"/>
                <w:color w:val="1E293B"/>
                <w:sz w:val="21"/>
              </w:rPr>
              <w:t>Tỷ lệ bắt lỗi giải pháp sai của CodeNet (Oracle TNR): 85.5%.</w:t>
            </w:r>
          </w:p>
          <w:p>
            <w:pPr>
              <w:spacing w:before="0" w:after="40"/>
            </w:pPr>
            <w:r>
              <w:rPr>
                <w:rFonts w:ascii="Times New Roman" w:hAnsi="Times New Roman"/>
                <w:color w:val="1E293B"/>
                <w:sz w:val="21"/>
              </w:rPr>
              <w:t>Tỷ lệ chấp nhận giải pháp đúng của CodeNet (Oracle TPR): 86.5%.</w:t>
            </w:r>
          </w:p>
          <w:p>
            <w:pPr>
              <w:spacing w:before="0" w:after="40"/>
            </w:pPr>
            <w:r>
              <w:rPr>
                <w:rFonts w:ascii="Times New Roman" w:hAnsi="Times New Roman"/>
                <w:color w:val="1E293B"/>
                <w:sz w:val="21"/>
              </w:rPr>
              <w:t>Số bài toán đạt chuẩn Quality Gate khắt khe (Oracle TPR ≥ 80% &amp; TNR ≥ 80%): 27 bài.</w:t>
            </w:r>
          </w:p>
          <w:p>
            <w:pPr>
              <w:spacing w:before="0" w:after="40"/>
            </w:pPr>
            <w:r>
              <w:rPr>
                <w:rFonts w:ascii="Times New Roman" w:hAnsi="Times New Roman"/>
                <w:color w:val="1E293B"/>
                <w:sz w:val="21"/>
              </w:rPr>
              <w:t>Số bài toán đã nhập và bảo vệ bằng mã băm vào KtoxzJudge: 23 bài toán (466 testcases ẩn).</w:t>
            </w:r>
          </w:p>
        </w:tc>
      </w:tr>
    </w:tbl>
    <w:p>
      <w:pPr>
        <w:spacing w:before="40" w:after="80"/>
      </w:pPr>
    </w:p>
    <w:p>
      <w:pPr>
        <w:pStyle w:val="Heading1"/>
        <w:spacing w:before="280" w:after="80"/>
      </w:pPr>
      <w:r>
        <w:rPr>
          <w:rFonts w:ascii="Times New Roman" w:hAnsi="Times New Roman"/>
          <w:color w:val="1E3A8A"/>
        </w:rPr>
        <w:t>2. Kiến trúc hệ thống hai tầng</w:t>
      </w:r>
    </w:p>
    <w:p>
      <w:r>
        <w:t>Hệ sinh thái được thiết kế theo nguyên lý Clean Architecture và phân rã trách nhiệm nghiêm ngặt giữa khâu tạo lập dữ liệu và khâu vận hành chấm điểm:</w:t>
      </w:r>
    </w:p>
    <w:p>
      <w:pPr>
        <w:pStyle w:val="Heading2"/>
      </w:pPr>
      <w:r>
        <w:t>2.1. Phân hệ sinh testcase tự động (Final_TestcaseGenerator)</w:t>
      </w:r>
    </w:p>
    <w:p>
      <w:r>
        <w:t>Đảm nhiệm toàn bộ quy trình trí tuệ nhân tạo: nhận đề bài Markdown, xây dựng Test Model hình thức bằng Pydantic Schema, sinh các lời giải AC ứng viên, đột biến WA ứng viên, mã validator kiểm tra input, thực hiện vòng lặp sinh testcase thích ứng (Adaptive Loop) và chấm đối chứng với kho dữ liệu CodeNet qua Docker sandbox.</w:t>
      </w:r>
    </w:p>
    <w:p>
      <w:pPr>
        <w:pStyle w:val="Heading2"/>
      </w:pPr>
      <w:r>
        <w:t>2.2. Phân hệ Online Judge luyện tập (KtoxzJudge)</w:t>
      </w:r>
    </w:p>
    <w:p>
      <w:r>
        <w:t>Đóng vai trò là nền tảng tiếp nhận và ứng dụng sản phẩm: cung cấp giao diện web Next.js 15, quản lý bài toán, tiếp nhận bài nộp của người học (C++20, Python 3), quản lý hàng đợi và hiển thị verdict theo thời gian thực (Server-Sent Events). KtoxzJudge kết nối trực tiếp với Docker sandbox thông qua bridge runner an toàn.</w:t>
      </w:r>
    </w:p>
    <w:p>
      <w:pPr>
        <w:pStyle w:val="Heading2"/>
      </w:pPr>
      <w:r>
        <w:t>2.3. Bảng phân rã trách nhiệm các module kỹ thuật</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160"/>
            <w:shd w:fill="1E3A8A"/>
            <w:tcMar>
              <w:top w:w="100" w:type="dxa"/>
              <w:bottom w:w="100" w:type="dxa"/>
              <w:left w:w="120" w:type="dxa"/>
              <w:right w:w="120" w:type="dxa"/>
            </w:tcMar>
          </w:tcPr>
          <w:p>
            <w:pPr>
              <w:spacing w:before="0" w:after="0"/>
              <w:jc w:val="left"/>
            </w:pPr>
            <w:r>
              <w:rPr>
                <w:rFonts w:ascii="Times New Roman" w:hAnsi="Times New Roman"/>
                <w:b/>
                <w:color w:val="FFFFFF"/>
                <w:sz w:val="19"/>
              </w:rPr>
              <w:t>Thành phần</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color w:val="FFFFFF"/>
                <w:sz w:val="19"/>
              </w:rPr>
              <w:t>Module phụ trách</w:t>
            </w:r>
          </w:p>
        </w:tc>
        <w:tc>
          <w:tcPr>
            <w:tcW w:type="dxa" w:w="4608"/>
            <w:shd w:fill="1E3A8A"/>
            <w:tcMar>
              <w:top w:w="100" w:type="dxa"/>
              <w:bottom w:w="100" w:type="dxa"/>
              <w:left w:w="120" w:type="dxa"/>
              <w:right w:w="120" w:type="dxa"/>
            </w:tcMar>
          </w:tcPr>
          <w:p>
            <w:pPr>
              <w:spacing w:before="0" w:after="0"/>
              <w:jc w:val="left"/>
            </w:pPr>
            <w:r>
              <w:rPr>
                <w:rFonts w:ascii="Times New Roman" w:hAnsi="Times New Roman"/>
                <w:b/>
                <w:color w:val="FFFFFF"/>
                <w:sz w:val="19"/>
              </w:rPr>
              <w:t>Trách nhiệm kỹ thuật cốt lõi</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b/>
                <w:color w:val="1E293B"/>
                <w:sz w:val="18"/>
              </w:rPr>
              <w:t>Domain Entities</w:t>
            </w:r>
          </w:p>
        </w:tc>
        <w:tc>
          <w:tcPr>
            <w:tcW w:type="dxa" w:w="2592"/>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testgen/domain.py</w:t>
            </w:r>
          </w:p>
        </w:tc>
        <w:tc>
          <w:tcPr>
            <w:tcW w:type="dxa" w:w="4608"/>
            <w:shd w:fill="FFFFFF"/>
            <w:tcMar>
              <w:top w:w="80" w:type="dxa"/>
              <w:bottom w:w="80" w:type="dxa"/>
              <w:left w:w="120" w:type="dxa"/>
              <w:right w:w="120" w:type="dxa"/>
            </w:tcMar>
          </w:tcPr>
          <w:p>
            <w:pPr>
              <w:spacing w:before="0" w:after="0"/>
              <w:jc w:val="left"/>
            </w:pPr>
            <w:r>
              <w:rPr>
                <w:rFonts w:ascii="Times New Roman" w:hAnsi="Times New Roman"/>
                <w:b w:val="0"/>
                <w:color w:val="1E293B"/>
                <w:sz w:val="18"/>
              </w:rPr>
              <w:t>Định nghĩa Solution, Case, Result bất biến; Strategy interfaces cho SolutionGenerator, CaseGenerator, Judge, OracleSource.</w:t>
            </w:r>
          </w:p>
        </w:tc>
      </w:tr>
      <w:tr>
        <w:tc>
          <w:tcPr>
            <w:tcW w:type="dxa" w:w="2160"/>
            <w:shd w:fill="F8FAFC"/>
            <w:tcMar>
              <w:top w:w="80" w:type="dxa"/>
              <w:bottom w:w="80" w:type="dxa"/>
              <w:left w:w="120" w:type="dxa"/>
              <w:right w:w="120" w:type="dxa"/>
            </w:tcMar>
          </w:tcPr>
          <w:p>
            <w:pPr>
              <w:spacing w:before="0" w:after="0"/>
              <w:jc w:val="left"/>
            </w:pPr>
            <w:r>
              <w:rPr>
                <w:rFonts w:ascii="Times New Roman" w:hAnsi="Times New Roman"/>
                <w:b/>
                <w:color w:val="1E293B"/>
                <w:sz w:val="18"/>
              </w:rPr>
              <w:t>Multi-LLM Engine</w:t>
            </w:r>
          </w:p>
        </w:tc>
        <w:tc>
          <w:tcPr>
            <w:tcW w:type="dxa" w:w="2592"/>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testgen/ollama.py, fallback.py</w:t>
            </w:r>
          </w:p>
        </w:tc>
        <w:tc>
          <w:tcPr>
            <w:tcW w:type="dxa" w:w="4608"/>
            <w:shd w:fill="F8FAFC"/>
            <w:tcMar>
              <w:top w:w="80" w:type="dxa"/>
              <w:bottom w:w="80" w:type="dxa"/>
              <w:left w:w="120" w:type="dxa"/>
              <w:right w:w="120" w:type="dxa"/>
            </w:tcMar>
          </w:tcPr>
          <w:p>
            <w:pPr>
              <w:spacing w:before="0" w:after="0"/>
              <w:jc w:val="left"/>
            </w:pPr>
            <w:r>
              <w:rPr>
                <w:rFonts w:ascii="Times New Roman" w:hAnsi="Times New Roman"/>
                <w:b w:val="0"/>
                <w:color w:val="1E293B"/>
                <w:sz w:val="18"/>
              </w:rPr>
              <w:t>Gọi Ollama (gemma4, nemotron) và Claude CLI (fable, sonnet); quản lý circuit breaker, hard-timeout và fallback.</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b/>
                <w:color w:val="1E293B"/>
                <w:sz w:val="18"/>
              </w:rPr>
              <w:t>Formal Test Model</w:t>
            </w:r>
          </w:p>
        </w:tc>
        <w:tc>
          <w:tcPr>
            <w:tcW w:type="dxa" w:w="2592"/>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testgen/domain.py, ollama.py</w:t>
            </w:r>
          </w:p>
        </w:tc>
        <w:tc>
          <w:tcPr>
            <w:tcW w:type="dxa" w:w="4608"/>
            <w:shd w:fill="FFFFFF"/>
            <w:tcMar>
              <w:top w:w="80" w:type="dxa"/>
              <w:bottom w:w="80" w:type="dxa"/>
              <w:left w:w="120" w:type="dxa"/>
              <w:right w:w="120" w:type="dxa"/>
            </w:tcMar>
          </w:tcPr>
          <w:p>
            <w:pPr>
              <w:spacing w:before="0" w:after="0"/>
              <w:jc w:val="left"/>
            </w:pPr>
            <w:r>
              <w:rPr>
                <w:rFonts w:ascii="Times New Roman" w:hAnsi="Times New Roman"/>
                <w:b w:val="0"/>
                <w:color w:val="1E293B"/>
                <w:sz w:val="18"/>
              </w:rPr>
              <w:t>Dùng Pydantic sinh JSON Schema để LLM phân tích đề thành grammar, constraints, relations, fault model và obligations.</w:t>
            </w:r>
          </w:p>
        </w:tc>
      </w:tr>
      <w:tr>
        <w:tc>
          <w:tcPr>
            <w:tcW w:type="dxa" w:w="2160"/>
            <w:shd w:fill="F8FAFC"/>
            <w:tcMar>
              <w:top w:w="80" w:type="dxa"/>
              <w:bottom w:w="80" w:type="dxa"/>
              <w:left w:w="120" w:type="dxa"/>
              <w:right w:w="120" w:type="dxa"/>
            </w:tcMar>
          </w:tcPr>
          <w:p>
            <w:pPr>
              <w:spacing w:before="0" w:after="0"/>
              <w:jc w:val="left"/>
            </w:pPr>
            <w:r>
              <w:rPr>
                <w:rFonts w:ascii="Times New Roman" w:hAnsi="Times New Roman"/>
                <w:b/>
                <w:color w:val="1E293B"/>
                <w:sz w:val="18"/>
              </w:rPr>
              <w:t>Docker Sandbox</w:t>
            </w:r>
          </w:p>
        </w:tc>
        <w:tc>
          <w:tcPr>
            <w:tcW w:type="dxa" w:w="2592"/>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testgen/docker_judge.py</w:t>
            </w:r>
          </w:p>
        </w:tc>
        <w:tc>
          <w:tcPr>
            <w:tcW w:type="dxa" w:w="4608"/>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Thiết lập container Linux không mạng, read-only root, cap-drop ALL, cgroup giới hạn CPU 1 core, 512MB RAM, PID 64.</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b/>
                <w:color w:val="1E293B"/>
                <w:sz w:val="18"/>
              </w:rPr>
              <w:t>Pluggable Checkers</w:t>
            </w:r>
          </w:p>
        </w:tc>
        <w:tc>
          <w:tcPr>
            <w:tcW w:type="dxa" w:w="2592"/>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testgen/checker.py, checkers/</w:t>
            </w:r>
          </w:p>
        </w:tc>
        <w:tc>
          <w:tcPr>
            <w:tcW w:type="dxa" w:w="4608"/>
            <w:shd w:fill="FFFFFF"/>
            <w:tcMar>
              <w:top w:w="80" w:type="dxa"/>
              <w:bottom w:w="80" w:type="dxa"/>
              <w:left w:w="120" w:type="dxa"/>
              <w:right w:w="120" w:type="dxa"/>
            </w:tcMar>
          </w:tcPr>
          <w:p>
            <w:pPr>
              <w:spacing w:before="0" w:after="0"/>
              <w:jc w:val="left"/>
            </w:pPr>
            <w:r>
              <w:rPr>
                <w:rFonts w:ascii="Times New Roman" w:hAnsi="Times New Roman"/>
                <w:b w:val="0"/>
                <w:color w:val="1E293B"/>
                <w:sz w:val="18"/>
              </w:rPr>
              <w:t>Hệ thống plugin so khớp đa dạng: TOKEN, EXACT, CASE_INSENSITIVE_TOKEN, DECIMAL_EXACT, FLOAT (so sai số epsilon).</w:t>
            </w:r>
          </w:p>
        </w:tc>
      </w:tr>
      <w:tr>
        <w:tc>
          <w:tcPr>
            <w:tcW w:type="dxa" w:w="2160"/>
            <w:shd w:fill="F8FAFC"/>
            <w:tcMar>
              <w:top w:w="80" w:type="dxa"/>
              <w:bottom w:w="80" w:type="dxa"/>
              <w:left w:w="120" w:type="dxa"/>
              <w:right w:w="120" w:type="dxa"/>
            </w:tcMar>
          </w:tcPr>
          <w:p>
            <w:pPr>
              <w:spacing w:before="0" w:after="0"/>
              <w:jc w:val="left"/>
            </w:pPr>
            <w:r>
              <w:rPr>
                <w:rFonts w:ascii="Times New Roman" w:hAnsi="Times New Roman"/>
                <w:b/>
                <w:color w:val="1E293B"/>
                <w:sz w:val="18"/>
              </w:rPr>
              <w:t>Oracle Bridge</w:t>
            </w:r>
          </w:p>
        </w:tc>
        <w:tc>
          <w:tcPr>
            <w:tcW w:type="dxa" w:w="2592"/>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testgen/codenet.py</w:t>
            </w:r>
          </w:p>
        </w:tc>
        <w:tc>
          <w:tcPr>
            <w:tcW w:type="dxa" w:w="4608"/>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Trích xuất tới 100 AC và 100 WA từ Apache Parquet CodeNet trên VPS ktoxz qua SSH, tính toán Oracle TPR và TNR khách quan.</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b/>
                <w:color w:val="1E293B"/>
                <w:sz w:val="18"/>
              </w:rPr>
              <w:t>Pipeline Orchestrator</w:t>
            </w:r>
          </w:p>
        </w:tc>
        <w:tc>
          <w:tcPr>
            <w:tcW w:type="dxa" w:w="2592"/>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testgen/pipeline.py</w:t>
            </w:r>
          </w:p>
        </w:tc>
        <w:tc>
          <w:tcPr>
            <w:tcW w:type="dxa" w:w="4608"/>
            <w:shd w:fill="FFFFFF"/>
            <w:tcMar>
              <w:top w:w="80" w:type="dxa"/>
              <w:bottom w:w="80" w:type="dxa"/>
              <w:left w:w="120" w:type="dxa"/>
              <w:right w:w="120" w:type="dxa"/>
            </w:tcMar>
          </w:tcPr>
          <w:p>
            <w:pPr>
              <w:spacing w:before="0" w:after="0"/>
              <w:jc w:val="left"/>
            </w:pPr>
            <w:r>
              <w:rPr>
                <w:rFonts w:ascii="Times New Roman" w:hAnsi="Times New Roman"/>
                <w:b w:val="0"/>
                <w:color w:val="1E293B"/>
                <w:sz w:val="18"/>
              </w:rPr>
              <w:t>Điều phối toàn bộ luồng: sinh AC/WA -&gt; consensus -&gt; validator -&gt; adaptive baseline -&gt; suite lock -&gt; oracle benchmark.</w:t>
            </w:r>
          </w:p>
        </w:tc>
      </w:tr>
      <w:tr>
        <w:tc>
          <w:tcPr>
            <w:tcW w:type="dxa" w:w="2160"/>
            <w:shd w:fill="F8FAFC"/>
            <w:tcMar>
              <w:top w:w="80" w:type="dxa"/>
              <w:bottom w:w="80" w:type="dxa"/>
              <w:left w:w="120" w:type="dxa"/>
              <w:right w:w="120" w:type="dxa"/>
            </w:tcMar>
          </w:tcPr>
          <w:p>
            <w:pPr>
              <w:spacing w:before="0" w:after="0"/>
              <w:jc w:val="left"/>
            </w:pPr>
            <w:r>
              <w:rPr>
                <w:rFonts w:ascii="Times New Roman" w:hAnsi="Times New Roman"/>
                <w:b/>
                <w:color w:val="1E293B"/>
                <w:sz w:val="18"/>
              </w:rPr>
              <w:t>KtoxzJudge Platform</w:t>
            </w:r>
          </w:p>
        </w:tc>
        <w:tc>
          <w:tcPr>
            <w:tcW w:type="dxa" w:w="2592"/>
            <w:shd w:fill="F8FAFC"/>
            <w:tcMar>
              <w:top w:w="80" w:type="dxa"/>
              <w:bottom w:w="80" w:type="dxa"/>
              <w:left w:w="120" w:type="dxa"/>
              <w:right w:w="120" w:type="dxa"/>
            </w:tcMar>
          </w:tcPr>
          <w:p>
            <w:pPr>
              <w:spacing w:before="0" w:after="0"/>
              <w:jc w:val="left"/>
            </w:pPr>
            <w:r>
              <w:rPr>
                <w:rFonts w:ascii="Times New Roman" w:hAnsi="Times New Roman"/>
                <w:b w:val="0"/>
                <w:color w:val="1E293B"/>
                <w:sz w:val="18"/>
              </w:rPr>
              <w:t>services/platform/, app/</w:t>
            </w:r>
          </w:p>
        </w:tc>
        <w:tc>
          <w:tcPr>
            <w:tcW w:type="dxa" w:w="4608"/>
            <w:shd w:fill="F8FAFC"/>
            <w:tcMar>
              <w:top w:w="80" w:type="dxa"/>
              <w:bottom w:w="80" w:type="dxa"/>
              <w:left w:w="120" w:type="dxa"/>
              <w:right w:w="120" w:type="dxa"/>
            </w:tcMar>
          </w:tcPr>
          <w:p>
            <w:pPr>
              <w:spacing w:before="0" w:after="0"/>
              <w:jc w:val="left"/>
            </w:pPr>
            <w:r>
              <w:rPr>
                <w:rFonts w:ascii="Times New Roman" w:hAnsi="Times New Roman"/>
                <w:b w:val="0"/>
                <w:color w:val="1E293B"/>
                <w:sz w:val="18"/>
              </w:rPr>
              <w:t>Website quản trị bài toán, hàng đợi bài nộp, SSE verdicts, xác thực người dùng và lưu trữ dữ liệu SQLite/PostgreSQL.</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b/>
                <w:color w:val="1E293B"/>
                <w:sz w:val="18"/>
              </w:rPr>
              <w:t>Judge Adapter Bridge</w:t>
            </w:r>
          </w:p>
        </w:tc>
        <w:tc>
          <w:tcPr>
            <w:tcW w:type="dxa" w:w="2592"/>
            <w:shd w:fill="FFFFFF"/>
            <w:tcMar>
              <w:top w:w="80" w:type="dxa"/>
              <w:bottom w:w="80" w:type="dxa"/>
              <w:left w:w="120" w:type="dxa"/>
              <w:right w:w="120" w:type="dxa"/>
            </w:tcMar>
          </w:tcPr>
          <w:p>
            <w:pPr>
              <w:spacing w:before="0" w:after="0"/>
              <w:jc w:val="left"/>
            </w:pPr>
            <w:r>
              <w:rPr>
                <w:rFonts w:ascii="Times New Roman" w:hAnsi="Times New Roman"/>
                <w:b w:val="0"/>
                <w:color w:val="1E293B"/>
                <w:sz w:val="18"/>
              </w:rPr>
              <w:t>services/judge/testgen-bridge.py</w:t>
            </w:r>
          </w:p>
        </w:tc>
        <w:tc>
          <w:tcPr>
            <w:tcW w:type="dxa" w:w="4608"/>
            <w:shd w:fill="FFFFFF"/>
            <w:tcMar>
              <w:top w:w="80" w:type="dxa"/>
              <w:bottom w:w="80" w:type="dxa"/>
              <w:left w:w="120" w:type="dxa"/>
              <w:right w:w="120" w:type="dxa"/>
            </w:tcMar>
          </w:tcPr>
          <w:p>
            <w:pPr>
              <w:spacing w:before="0" w:after="0"/>
              <w:jc w:val="left"/>
            </w:pPr>
            <w:r>
              <w:rPr>
                <w:rFonts w:ascii="Times New Roman" w:hAnsi="Times New Roman"/>
                <w:b w:val="0"/>
                <w:color w:val="1E293B"/>
                <w:sz w:val="18"/>
              </w:rPr>
              <w:t>Cầu nối JSON-over-stdio gọi trực tiếp engine Docker judge từ KtoxzJudge để chấm bài nộp của học viên.</w:t>
            </w:r>
          </w:p>
        </w:tc>
      </w:tr>
      <w:tr>
        <w:tc>
          <w:tcPr>
            <w:tcW w:type="dxa" w:w="2160"/>
            <w:shd w:fill="F8FAFC"/>
            <w:tcMar>
              <w:top w:w="80" w:type="dxa"/>
              <w:bottom w:w="80" w:type="dxa"/>
              <w:left w:w="120" w:type="dxa"/>
              <w:right w:w="120" w:type="dxa"/>
            </w:tcMar>
          </w:tcPr>
          <w:p>
            <w:pPr>
              <w:spacing w:before="0" w:after="0"/>
              <w:jc w:val="left"/>
            </w:pPr>
            <w:r>
              <w:rPr>
                <w:rFonts w:ascii="Times New Roman" w:hAnsi="Times New Roman"/>
                <w:b/>
                <w:color w:val="1E293B"/>
                <w:sz w:val="18"/>
              </w:rPr>
              <w:t>Import Verifier</w:t>
            </w:r>
          </w:p>
        </w:tc>
        <w:tc>
          <w:tcPr>
            <w:tcW w:type="dxa" w:w="2592"/>
            <w:shd w:fill="F8FAFC"/>
            <w:tcMar>
              <w:top w:w="80" w:type="dxa"/>
              <w:bottom w:w="80" w:type="dxa"/>
              <w:left w:w="120" w:type="dxa"/>
              <w:right w:w="120" w:type="dxa"/>
            </w:tcMar>
          </w:tcPr>
          <w:p>
            <w:pPr>
              <w:spacing w:before="0" w:after="0"/>
              <w:jc w:val="left"/>
            </w:pPr>
            <w:r>
              <w:rPr>
                <w:rFonts w:ascii="Times New Roman" w:hAnsi="Times New Roman"/>
                <w:b w:val="0"/>
                <w:color w:val="1E293B"/>
                <w:sz w:val="18"/>
              </w:rPr>
              <w:t>scripts/import-testgen.mjs</w:t>
            </w:r>
          </w:p>
        </w:tc>
        <w:tc>
          <w:tcPr>
            <w:tcW w:type="dxa" w:w="4608"/>
            <w:shd w:fill="F8FAFC"/>
            <w:tcMar>
              <w:top w:w="80" w:type="dxa"/>
              <w:bottom w:w="80" w:type="dxa"/>
              <w:left w:w="120" w:type="dxa"/>
              <w:right w:w="120" w:type="dxa"/>
            </w:tcMar>
          </w:tcPr>
          <w:p>
            <w:pPr>
              <w:spacing w:before="0" w:after="0"/>
              <w:jc w:val="left"/>
            </w:pPr>
            <w:r>
              <w:rPr>
                <w:rFonts w:ascii="Times New Roman" w:hAnsi="Times New Roman"/>
                <w:b w:val="0"/>
                <w:color w:val="1E293B"/>
                <w:sz w:val="18"/>
              </w:rPr>
              <w:t>Kiểm định tính toàn vẹn SHA-256 suite lock, sàng lọc ngưỡng TPR/TNR &gt;= 0.8, backup DB và nạp bài tự động.</w:t>
            </w:r>
          </w:p>
        </w:tc>
      </w:tr>
    </w:tbl>
    <w:p>
      <w:pPr>
        <w:spacing w:after="120"/>
      </w:pPr>
    </w:p>
    <w:p>
      <w:pPr>
        <w:pStyle w:val="Heading1"/>
        <w:spacing w:before="280" w:after="80"/>
      </w:pPr>
      <w:r>
        <w:rPr>
          <w:rFonts w:ascii="Times New Roman" w:hAnsi="Times New Roman"/>
          <w:color w:val="1E3A8A"/>
        </w:rPr>
        <w:t>3. Phương pháp luận &amp; Luồng kiểm định chất lượng</w:t>
      </w:r>
    </w:p>
    <w:p>
      <w:r>
        <w:t>Khác với các phương pháp tiếp cận ngây thơ (chỉ yêu cầu LLM sinh trực tiếp input và output), hệ thống áp dụng quy trình kiểm định nghiêm ngặt gồm 6 giai đoạn khép kín nhằm loại bỏ triệt để hiện tượng ảo giác (hallucination):</w:t>
      </w:r>
    </w:p>
    <w:p>
      <w:r>
        <w:t>• Giai đoạn 1: Xây dựng Test Model hình thức (Formal Test Model)</w:t>
        <w:br/>
        <w:t>LLM nhận đề bài và bắt buộc sinh ra cấu trúc Test Model theo Pydantic JSON Schema, bao gồm: ngữ pháp dữ liệu vào (grammar), ràng buộc giá trị biến (constraints), quan hệ logic (relations), phân hoạch miền giá trị đầu ra (output partitions), mô hình lỗi phổ biến (fault model) và hệ thống các nghĩa vụ kiểm thử bắt buộc (coverage obligations thuộc các danh mục boundary, equivalence, pairwise, stress, fault injection). Bản mô hình này là kim chỉ nam cho toàn bộ quá trình sinh test về sau.</w:t>
      </w:r>
    </w:p>
    <w:p>
      <w:r>
        <w:t>• Giai đoạn 2: Sinh ứng viên AC và đột biến WA có cấu trúc</w:t>
        <w:br/>
        <w:t>LLM sinh tối thiểu 3 lời giải AC độc lập (bằng Python và C++) và tối thiểu 5 đột biến WA. Mỗi đột biến WA phải khai báo tường minh: strategy_id, bug_class (tràn số, off-by-one, greedy sai,...), bug_origin, failure_condition, mutation_operator và witness_input (input cụ thể kích hoạt lỗi).</w:t>
      </w:r>
    </w:p>
    <w:p>
      <w:r>
        <w:t>• Giai đoạn 3: Chứng nhận Mutant và Đồng thuận Reference Consensus</w:t>
        <w:br/>
        <w:t>Toàn bộ code được biên dịch trong Docker. Các lời giải AC phải vượt qua 100% mẫu chính thức (official samples). Tối thiểu 2 lời giải AC độc lập phải hoàn toàn đồng thuận kết quả (consensus) trên checker của bài. Mỗi mutant WA bắt buộc phải vượt qua các mẫu chính thức (đảm bảo là lỗi tinh vi), witness phải hợp lệ qua validator, và phải tạo ra cùng output sai hoặc RE/TLE qua 2 lần chạy độc lập. Mutant không ổn định sẽ bị loại bỏ và gọi vòng thay thế.</w:t>
      </w:r>
    </w:p>
    <w:p>
      <w:r>
        <w:t>• Giai đoạn 4: Sinh test thích ứng (Adaptive Generation Loop) &amp; Sửa lỗi Input</w:t>
        <w:br/>
        <w:t>Tối đa 3 vòng lặp. Vòng 1 sinh baseline phủ các nghĩa vụ kiểm thử. Vòng 2 và 3 tập trung nhắm vào các mutant còn sống sót (surviving mutants) và các nghĩa vụ chưa được lấp đầy. Input sinh ra được kiểm duyệt bằng Python validator; nếu bị từ chối, hệ thống gửi phản hồi để LLM sửa đổi (input repair).</w:t>
      </w:r>
    </w:p>
    <w:p>
      <w:r>
        <w:t>• Giai đoạn 5: Đóng gói và Khóa mật mã bất biến (Suite Lock SHA-256)</w:t>
        <w:br/>
        <w:t>Toàn bộ testcase và expected output được chuẩn hóa newline, băm SHA-256 từng file và băm toàn bộ danh mục, lưu thành test-suite.lock.json. Bộ test được đóng băng tuyệt đối trước khi chuyển sang bước kiểm chứng.</w:t>
      </w:r>
    </w:p>
    <w:p>
      <w:r>
        <w:t>• Giai đoạn 6: Kiểm chứng khách quan bằng CodeNet Oracle</w:t>
        <w:br/>
        <w:t>Trích xuất ngẫu nhiên tới 100 lời giải Accepted và 100 lời giải Wrong Answer lịch sử của lập trình viên thực tế trên CodeNet, chạy chấm toàn bộ trên bộ test vừa sinh. Từ đó tính toán hai chỉ số vàng: Oracle TPR (khả năng công nhận lời giải đúng) và Oracle TNR (khả năng phát hiện lỗi sai).</w:t>
      </w:r>
    </w:p>
    <w:p>
      <w:pPr>
        <w:pStyle w:val="Heading1"/>
        <w:spacing w:before="280" w:after="80"/>
      </w:pPr>
      <w:r>
        <w:rPr>
          <w:rFonts w:ascii="Times New Roman" w:hAnsi="Times New Roman"/>
          <w:color w:val="1E3A8A"/>
        </w:rPr>
        <w:t>4. Tập dữ liệu &amp; Phạm vi thực nghiệm</w:t>
      </w:r>
    </w:p>
    <w:p>
      <w:r>
        <w:t>Phạm vi khảo sát bao gồm 43 bài toán lập trình thi đấu được chuẩn hóa đầy đủ từ hai nền tảng uy tín nhất thế giới:</w:t>
      </w:r>
    </w:p>
    <w:p>
      <w:r>
        <w:t>• AtCoder Beginner Contest (ABC): Các bài toán từ ABC 048 đến ABC 179 (như p02548, p02585, p02685, p02720, p03274,...), bao gồm đầy đủ các chủ đề giải thuật: Quy hoạch động (DP), Đồ thị (Graph/BFS/DFS/Dijkstra), Toán tổ hợp &amp; Số học (Math/Number Theory), Xử lý chuỗi, và Kỹ thuật hai con trỏ / Cửa sổ trượt.</w:t>
        <w:br/>
        <w:t>• Codeforces: Các bài toán thi đấu Div.2/Div.3 (cf1352c, cf1949b, cf2218b, cf2275d).</w:t>
        <w:br/>
        <w:t>• Kho giải pháp CodeNet Oracle: Hệ thống kết nối với kho lưu trữ Apache Parquet gồm hàng triệu bài nộp lịch sử, lưu trên VPS ktoxz, tự động trích xuất mã nguồn C++ và Python đa dạng phong cách lập trình để đối chứng.</w:t>
      </w:r>
    </w:p>
    <w:p>
      <w:pPr>
        <w:pStyle w:val="Heading1"/>
        <w:spacing w:before="280" w:after="80"/>
      </w:pPr>
      <w:r>
        <w:rPr>
          <w:rFonts w:ascii="Times New Roman" w:hAnsi="Times New Roman"/>
          <w:color w:val="1E3A8A"/>
        </w:rPr>
        <w:t>5. Kết quả thực nghiệm chi tiết &amp; Phân tích số liệu</w:t>
      </w:r>
    </w:p>
    <w:p>
      <w:pPr>
        <w:pStyle w:val="Heading2"/>
      </w:pPr>
      <w:r>
        <w:t>5.1. Thống kê tổng hợp số đo toàn diện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4320"/>
            <w:shd w:fill="1E3A8A"/>
            <w:tcMar>
              <w:top w:w="100" w:type="dxa"/>
              <w:bottom w:w="100" w:type="dxa"/>
              <w:left w:w="120" w:type="dxa"/>
              <w:right w:w="120" w:type="dxa"/>
            </w:tcMar>
          </w:tcPr>
          <w:p>
            <w:pPr>
              <w:spacing w:before="0" w:after="0"/>
              <w:jc w:val="left"/>
            </w:pPr>
            <w:r>
              <w:rPr>
                <w:rFonts w:ascii="Times New Roman" w:hAnsi="Times New Roman"/>
                <w:b/>
                <w:color w:val="FFFFFF"/>
                <w:sz w:val="19"/>
              </w:rPr>
              <w:t>Chỉ số đo lường thực nghiệm</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color w:val="FFFFFF"/>
                <w:sz w:val="19"/>
              </w:rPr>
              <w:t>Giá trị đạt được</w:t>
            </w:r>
          </w:p>
        </w:tc>
        <w:tc>
          <w:tcPr>
            <w:tcW w:type="dxa" w:w="2880"/>
            <w:shd w:fill="1E3A8A"/>
            <w:tcMar>
              <w:top w:w="100" w:type="dxa"/>
              <w:bottom w:w="100" w:type="dxa"/>
              <w:left w:w="120" w:type="dxa"/>
              <w:right w:w="120" w:type="dxa"/>
            </w:tcMar>
          </w:tcPr>
          <w:p>
            <w:pPr>
              <w:spacing w:before="0" w:after="0"/>
              <w:jc w:val="left"/>
            </w:pPr>
            <w:r>
              <w:rPr>
                <w:rFonts w:ascii="Times New Roman" w:hAnsi="Times New Roman"/>
                <w:b/>
                <w:color w:val="FFFFFF"/>
                <w:sz w:val="19"/>
              </w:rPr>
              <w:t>Ý nghĩa đánh giá</w:t>
            </w:r>
          </w:p>
        </w:tc>
      </w:tr>
      <w:tr>
        <w:tc>
          <w:tcPr>
            <w:tcW w:type="dxa" w:w="432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Tổng số bài toán đã hoàn tất thực nghiệm</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b/>
                <w:color w:val="1E293B"/>
                <w:sz w:val="18"/>
              </w:rPr>
              <w:t>43 bài toán</w:t>
            </w:r>
          </w:p>
        </w:tc>
        <w:tc>
          <w:tcPr>
            <w:tcW w:type="dxa" w:w="288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Khảo sát trên tập bài phong phú</w:t>
            </w:r>
          </w:p>
        </w:tc>
      </w:tr>
      <w:tr>
        <w:tc>
          <w:tcPr>
            <w:tcW w:type="dxa" w:w="432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Tổng số testcase sinh ra</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b/>
                <w:color w:val="1E293B"/>
                <w:sz w:val="18"/>
              </w:rPr>
              <w:t>830 testcases</w:t>
            </w:r>
          </w:p>
        </w:tc>
        <w:tc>
          <w:tcPr>
            <w:tcW w:type="dxa" w:w="288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Trung bình 19.3 test / bài</w:t>
            </w:r>
          </w:p>
        </w:tc>
      </w:tr>
      <w:tr>
        <w:tc>
          <w:tcPr>
            <w:tcW w:type="dxa" w:w="432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Tỷ lệ độ phủ nghĩa vụ kiểm thử (Coverage)</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b/>
                <w:color w:val="1E293B"/>
                <w:sz w:val="18"/>
              </w:rPr>
              <w:t>93.0%</w:t>
            </w:r>
          </w:p>
        </w:tc>
        <w:tc>
          <w:tcPr>
            <w:tcW w:type="dxa" w:w="288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Độ bao phủ biên, phân hoạch và lỗi</w:t>
            </w:r>
          </w:p>
        </w:tc>
      </w:tr>
      <w:tr>
        <w:tc>
          <w:tcPr>
            <w:tcW w:type="dxa" w:w="432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Độ nhạy trên candidate LLM (LLM TPR)</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b/>
                <w:color w:val="1E293B"/>
                <w:sz w:val="18"/>
              </w:rPr>
              <w:t>89.3%</w:t>
            </w:r>
          </w:p>
        </w:tc>
        <w:tc>
          <w:tcPr>
            <w:tcW w:type="dxa" w:w="288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Khả năng pass của code AC nội bộ</w:t>
            </w:r>
          </w:p>
        </w:tc>
      </w:tr>
      <w:tr>
        <w:tc>
          <w:tcPr>
            <w:tcW w:type="dxa" w:w="432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Độ đặc hiệu trên mutant LLM (LLM TNR)</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b/>
                <w:color w:val="1E293B"/>
                <w:sz w:val="18"/>
              </w:rPr>
              <w:t>96.9%</w:t>
            </w:r>
          </w:p>
        </w:tc>
        <w:tc>
          <w:tcPr>
            <w:tcW w:type="dxa" w:w="288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Khả năng diệt mutant WA nội bộ</w:t>
            </w:r>
          </w:p>
        </w:tc>
      </w:tr>
      <w:tr>
        <w:tc>
          <w:tcPr>
            <w:tcW w:type="dxa" w:w="432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Độ nhạy trên CodeNet Oracle (Oracle TPR)</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b/>
                <w:color w:val="1E293B"/>
                <w:sz w:val="18"/>
              </w:rPr>
              <w:t>86.5%</w:t>
            </w:r>
          </w:p>
        </w:tc>
        <w:tc>
          <w:tcPr>
            <w:tcW w:type="dxa" w:w="288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Khả năng pass của code AC lịch sử thực tế</w:t>
            </w:r>
          </w:p>
        </w:tc>
      </w:tr>
      <w:tr>
        <w:tc>
          <w:tcPr>
            <w:tcW w:type="dxa" w:w="432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Độ đặc hiệu trên CodeNet Oracle (Oracle TNR)</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b/>
                <w:color w:val="1E293B"/>
                <w:sz w:val="18"/>
              </w:rPr>
              <w:t>85.5%</w:t>
            </w:r>
          </w:p>
        </w:tc>
        <w:tc>
          <w:tcPr>
            <w:tcW w:type="dxa" w:w="288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Khả năng bắt lỗi code WA lịch sử thực tế</w:t>
            </w:r>
          </w:p>
        </w:tc>
      </w:tr>
      <w:tr>
        <w:tc>
          <w:tcPr>
            <w:tcW w:type="dxa" w:w="432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Số bài đạt chuẩn Quality Gate (TPR &amp; TNR ≥ 80%)</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b/>
                <w:color w:val="1E293B"/>
                <w:sz w:val="18"/>
              </w:rPr>
              <w:t>27 bài (62.8%)</w:t>
            </w:r>
          </w:p>
        </w:tc>
        <w:tc>
          <w:tcPr>
            <w:tcW w:type="dxa" w:w="2880"/>
            <w:shd w:fill="F8FAFC"/>
            <w:tcMar>
              <w:top w:w="80" w:type="dxa"/>
              <w:bottom w:w="80" w:type="dxa"/>
              <w:left w:w="120" w:type="dxa"/>
              <w:right w:w="120" w:type="dxa"/>
            </w:tcMar>
          </w:tcPr>
          <w:p>
            <w:pPr>
              <w:spacing w:before="0" w:after="0"/>
              <w:jc w:val="left"/>
            </w:pPr>
            <w:r>
              <w:rPr>
                <w:rFonts w:ascii="Times New Roman" w:hAnsi="Times New Roman"/>
                <w:b w:val="0"/>
                <w:color w:val="1E293B"/>
                <w:sz w:val="18"/>
              </w:rPr>
              <w:t>Đạt chuẩn xuất bản trực tiếp vào Judge</w:t>
            </w:r>
          </w:p>
        </w:tc>
      </w:tr>
      <w:tr>
        <w:tc>
          <w:tcPr>
            <w:tcW w:type="dxa" w:w="432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Số bài toán đã nhập thành công vào KtoxzJudge</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b/>
                <w:color w:val="1E293B"/>
                <w:sz w:val="18"/>
              </w:rPr>
              <w:t>23 bài toán</w:t>
            </w:r>
          </w:p>
        </w:tc>
        <w:tc>
          <w:tcPr>
            <w:tcW w:type="dxa" w:w="2880"/>
            <w:shd w:fill="FFFFFF"/>
            <w:tcMar>
              <w:top w:w="80" w:type="dxa"/>
              <w:bottom w:w="80" w:type="dxa"/>
              <w:left w:w="120" w:type="dxa"/>
              <w:right w:w="120" w:type="dxa"/>
            </w:tcMar>
          </w:tcPr>
          <w:p>
            <w:pPr>
              <w:spacing w:before="0" w:after="0"/>
              <w:jc w:val="left"/>
            </w:pPr>
            <w:r>
              <w:rPr>
                <w:rFonts w:ascii="Times New Roman" w:hAnsi="Times New Roman"/>
                <w:b w:val="0"/>
                <w:color w:val="1E293B"/>
                <w:sz w:val="18"/>
              </w:rPr>
              <w:t>466 testcases ẩn đang phục vụ chấm</w:t>
            </w:r>
          </w:p>
        </w:tc>
      </w:tr>
    </w:tbl>
    <w:p>
      <w:pPr>
        <w:spacing w:after="120"/>
      </w:pPr>
    </w:p>
    <w:p>
      <w:pPr>
        <w:pStyle w:val="Heading2"/>
      </w:pPr>
      <w:r>
        <w:t>5.2. Danh sách 27 bài toán đạt chuẩn Quality Gate (Oracle TPR &amp; TNR ≥ 0.80)</w:t>
      </w:r>
    </w:p>
    <w:p>
      <w:r>
        <w:t>Quality Gate được đặt ra với tiêu chí khắt khe: Bộ testcase phải đạt đồng thời Oracle TPR ≥ 80% (không bắt chẹt bài nộp đúng) và Oracle TNR ≥ 80% (không bỏ lọt bài nộp sai) trên tập dữ liệu đối chứng CodeNet độc lập.</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337"/>
        <w:gridCol w:w="1337"/>
        <w:gridCol w:w="1337"/>
        <w:gridCol w:w="1337"/>
        <w:gridCol w:w="1337"/>
        <w:gridCol w:w="1337"/>
        <w:gridCol w:w="1337"/>
      </w:tblGrid>
      <w:tr>
        <w:tc>
          <w:tcPr>
            <w:tcW w:type="dxa" w:w="1152"/>
            <w:shd w:fill="1E3A8A"/>
            <w:tcMar>
              <w:top w:w="80" w:type="dxa"/>
              <w:bottom w:w="80" w:type="dxa"/>
              <w:left w:w="60" w:type="dxa"/>
              <w:right w:w="60" w:type="dxa"/>
            </w:tcMar>
          </w:tcPr>
          <w:p>
            <w:pPr>
              <w:spacing w:before="0" w:after="0"/>
              <w:jc w:val="center"/>
            </w:pPr>
            <w:r>
              <w:rPr>
                <w:rFonts w:ascii="Times New Roman" w:hAnsi="Times New Roman"/>
                <w:b/>
                <w:color w:val="FFFFFF"/>
                <w:sz w:val="17"/>
              </w:rPr>
              <w:t>Mã bài</w:t>
            </w:r>
          </w:p>
        </w:tc>
        <w:tc>
          <w:tcPr>
            <w:tcW w:type="dxa" w:w="3168"/>
            <w:shd w:fill="1E3A8A"/>
            <w:tcMar>
              <w:top w:w="80" w:type="dxa"/>
              <w:bottom w:w="80" w:type="dxa"/>
              <w:left w:w="60" w:type="dxa"/>
              <w:right w:w="60" w:type="dxa"/>
            </w:tcMar>
          </w:tcPr>
          <w:p>
            <w:pPr>
              <w:spacing w:before="0" w:after="0"/>
              <w:jc w:val="center"/>
            </w:pPr>
            <w:r>
              <w:rPr>
                <w:rFonts w:ascii="Times New Roman" w:hAnsi="Times New Roman"/>
                <w:b/>
                <w:color w:val="FFFFFF"/>
                <w:sz w:val="17"/>
              </w:rPr>
              <w:t>Tên bài toán / Kỳ thi</w:t>
            </w:r>
          </w:p>
        </w:tc>
        <w:tc>
          <w:tcPr>
            <w:tcW w:type="dxa" w:w="864"/>
            <w:shd w:fill="1E3A8A"/>
            <w:tcMar>
              <w:top w:w="80" w:type="dxa"/>
              <w:bottom w:w="80" w:type="dxa"/>
              <w:left w:w="60" w:type="dxa"/>
              <w:right w:w="60" w:type="dxa"/>
            </w:tcMar>
          </w:tcPr>
          <w:p>
            <w:pPr>
              <w:spacing w:before="0" w:after="0"/>
              <w:jc w:val="center"/>
            </w:pPr>
            <w:r>
              <w:rPr>
                <w:rFonts w:ascii="Times New Roman" w:hAnsi="Times New Roman"/>
                <w:b/>
                <w:color w:val="FFFFFF"/>
                <w:sz w:val="17"/>
              </w:rPr>
              <w:t>Số test</w:t>
            </w:r>
          </w:p>
        </w:tc>
        <w:tc>
          <w:tcPr>
            <w:tcW w:type="dxa" w:w="864"/>
            <w:shd w:fill="1E3A8A"/>
            <w:tcMar>
              <w:top w:w="80" w:type="dxa"/>
              <w:bottom w:w="80" w:type="dxa"/>
              <w:left w:w="60" w:type="dxa"/>
              <w:right w:w="60" w:type="dxa"/>
            </w:tcMar>
          </w:tcPr>
          <w:p>
            <w:pPr>
              <w:spacing w:before="0" w:after="0"/>
              <w:jc w:val="center"/>
            </w:pPr>
            <w:r>
              <w:rPr>
                <w:rFonts w:ascii="Times New Roman" w:hAnsi="Times New Roman"/>
                <w:b/>
                <w:color w:val="FFFFFF"/>
                <w:sz w:val="17"/>
              </w:rPr>
              <w:t>Độ phủ</w:t>
            </w:r>
          </w:p>
        </w:tc>
        <w:tc>
          <w:tcPr>
            <w:tcW w:type="dxa" w:w="1008"/>
            <w:shd w:fill="1E3A8A"/>
            <w:tcMar>
              <w:top w:w="80" w:type="dxa"/>
              <w:bottom w:w="80" w:type="dxa"/>
              <w:left w:w="60" w:type="dxa"/>
              <w:right w:w="60" w:type="dxa"/>
            </w:tcMar>
          </w:tcPr>
          <w:p>
            <w:pPr>
              <w:spacing w:before="0" w:after="0"/>
              <w:jc w:val="center"/>
            </w:pPr>
            <w:r>
              <w:rPr>
                <w:rFonts w:ascii="Times New Roman" w:hAnsi="Times New Roman"/>
                <w:b/>
                <w:color w:val="FFFFFF"/>
                <w:sz w:val="17"/>
              </w:rPr>
              <w:t>Oracle TPR</w:t>
            </w:r>
          </w:p>
        </w:tc>
        <w:tc>
          <w:tcPr>
            <w:tcW w:type="dxa" w:w="1008"/>
            <w:shd w:fill="1E3A8A"/>
            <w:tcMar>
              <w:top w:w="80" w:type="dxa"/>
              <w:bottom w:w="80" w:type="dxa"/>
              <w:left w:w="60" w:type="dxa"/>
              <w:right w:w="60" w:type="dxa"/>
            </w:tcMar>
          </w:tcPr>
          <w:p>
            <w:pPr>
              <w:spacing w:before="0" w:after="0"/>
              <w:jc w:val="center"/>
            </w:pPr>
            <w:r>
              <w:rPr>
                <w:rFonts w:ascii="Times New Roman" w:hAnsi="Times New Roman"/>
                <w:b/>
                <w:color w:val="FFFFFF"/>
                <w:sz w:val="17"/>
              </w:rPr>
              <w:t>Oracle TNR</w:t>
            </w:r>
          </w:p>
        </w:tc>
        <w:tc>
          <w:tcPr>
            <w:tcW w:type="dxa" w:w="1296"/>
            <w:shd w:fill="1E3A8A"/>
            <w:tcMar>
              <w:top w:w="80" w:type="dxa"/>
              <w:bottom w:w="80" w:type="dxa"/>
              <w:left w:w="60" w:type="dxa"/>
              <w:right w:w="60" w:type="dxa"/>
            </w:tcMar>
          </w:tcPr>
          <w:p>
            <w:pPr>
              <w:spacing w:before="0" w:after="0"/>
              <w:jc w:val="center"/>
            </w:pPr>
            <w:r>
              <w:rPr>
                <w:rFonts w:ascii="Times New Roman" w:hAnsi="Times New Roman"/>
                <w:b/>
                <w:color w:val="FFFFFF"/>
                <w:sz w:val="17"/>
              </w:rPr>
              <w:t>KtoxzJudge</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cf2218b</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B. The 67th 6-7 Integer Problem</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18</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p02548</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179 - A</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p02554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178 - U</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17</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p02555</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178 - R</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p02574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177 - C</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18</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64%</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0.850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p02580</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176 - B</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0.850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p02584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175 - W</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23</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p02585</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175 - M</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28</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0.842</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0.895</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p02596</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174 - R</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17</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p02598</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174 - L</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p02614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173 - H</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24</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p02629</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171 - O</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15</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p02642</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170 - N</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23</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2563EB"/>
                <w:sz w:val="16"/>
              </w:rPr>
              <w:t>Sẵn sàng</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p02678</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168 - .</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14</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88%</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2563EB"/>
                <w:sz w:val="16"/>
              </w:rPr>
              <w:t>Sẵn sàng</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p02685</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167 - C</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22</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p02709</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163 - A</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22</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p02714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162 - R</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2563EB"/>
                <w:sz w:val="16"/>
              </w:rPr>
              <w:t>Sẵn sàng</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p02720</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161 - L</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15</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2563EB"/>
                <w:sz w:val="16"/>
              </w:rPr>
              <w:t>Sẵn sàng</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p02762</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157 - F</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0.895</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2563EB"/>
                <w:sz w:val="16"/>
              </w:rPr>
              <w:t>Sẵn sàng</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p02768</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156 - B</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p02813</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150 - C</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22</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p02959</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135 - C</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23</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p02986</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133 - C</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p03040</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127 - A</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18</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0.850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p03274</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107 - C</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23</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p03286</w:t>
            </w:r>
          </w:p>
        </w:tc>
        <w:tc>
          <w:tcPr>
            <w:tcW w:type="dxa" w:w="3168"/>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105 - B</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14</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0.950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color w:val="059669"/>
                <w:sz w:val="16"/>
              </w:rPr>
              <w:t>1.000</w:t>
            </w:r>
          </w:p>
        </w:tc>
        <w:tc>
          <w:tcPr>
            <w:tcW w:type="dxa" w:w="1296"/>
            <w:shd w:fill="F8FAFC"/>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p03575</w:t>
            </w:r>
          </w:p>
        </w:tc>
        <w:tc>
          <w:tcPr>
            <w:tcW w:type="dxa" w:w="3168"/>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075 - B</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16</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0.947</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color w:val="059669"/>
                <w:sz w:val="16"/>
              </w:rPr>
              <w:t>0.800</w:t>
            </w:r>
          </w:p>
        </w:tc>
        <w:tc>
          <w:tcPr>
            <w:tcW w:type="dxa" w:w="1296"/>
            <w:shd w:fill="FFFFFF"/>
            <w:tcMar>
              <w:top w:w="60" w:type="dxa"/>
              <w:bottom w:w="60" w:type="dxa"/>
              <w:left w:w="60" w:type="dxa"/>
              <w:right w:w="60" w:type="dxa"/>
            </w:tcMar>
          </w:tcPr>
          <w:p>
            <w:pPr>
              <w:spacing w:before="0" w:after="0"/>
              <w:jc w:val="center"/>
            </w:pPr>
            <w:r>
              <w:rPr>
                <w:rFonts w:ascii="Times New Roman" w:hAnsi="Times New Roman"/>
                <w:b/>
                <w:color w:val="059669"/>
                <w:sz w:val="16"/>
              </w:rPr>
              <w:t>Đã Import</w:t>
            </w:r>
          </w:p>
        </w:tc>
      </w:tr>
    </w:tbl>
    <w:p>
      <w:pPr>
        <w:spacing w:after="120"/>
      </w:pPr>
    </w:p>
    <w:p>
      <w:pPr>
        <w:pStyle w:val="Heading2"/>
      </w:pPr>
      <w:r>
        <w:t>5.3. Phân tích các bài toán chưa đạt ngưỡng Quality Gate &amp; Nguyên nhân</w:t>
      </w:r>
    </w:p>
    <w:p>
      <w:r>
        <w:t>Trong 16 bài toán chưa đạt ngưỡng 80%, hệ thống đã phân loại rõ các nguyên nhân kỹ thuật cụ thể:</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c>
          <w:tcPr>
            <w:tcW w:type="dxa" w:w="1152"/>
            <w:shd w:fill="475569"/>
            <w:tcMar>
              <w:top w:w="80" w:type="dxa"/>
              <w:bottom w:w="80" w:type="dxa"/>
              <w:left w:w="60" w:type="dxa"/>
              <w:right w:w="60" w:type="dxa"/>
            </w:tcMar>
          </w:tcPr>
          <w:p>
            <w:pPr>
              <w:spacing w:before="0" w:after="0"/>
              <w:jc w:val="center"/>
            </w:pPr>
            <w:r>
              <w:rPr>
                <w:rFonts w:ascii="Times New Roman" w:hAnsi="Times New Roman"/>
                <w:b/>
                <w:color w:val="FFFFFF"/>
                <w:sz w:val="17"/>
              </w:rPr>
              <w:t>Mã bài</w:t>
            </w:r>
          </w:p>
        </w:tc>
        <w:tc>
          <w:tcPr>
            <w:tcW w:type="dxa" w:w="2880"/>
            <w:shd w:fill="475569"/>
            <w:tcMar>
              <w:top w:w="80" w:type="dxa"/>
              <w:bottom w:w="80" w:type="dxa"/>
              <w:left w:w="60" w:type="dxa"/>
              <w:right w:w="60" w:type="dxa"/>
            </w:tcMar>
          </w:tcPr>
          <w:p>
            <w:pPr>
              <w:spacing w:before="0" w:after="0"/>
              <w:jc w:val="center"/>
            </w:pPr>
            <w:r>
              <w:rPr>
                <w:rFonts w:ascii="Times New Roman" w:hAnsi="Times New Roman"/>
                <w:b/>
                <w:color w:val="FFFFFF"/>
                <w:sz w:val="17"/>
              </w:rPr>
              <w:t>Tên bài toán</w:t>
            </w:r>
          </w:p>
        </w:tc>
        <w:tc>
          <w:tcPr>
            <w:tcW w:type="dxa" w:w="864"/>
            <w:shd w:fill="475569"/>
            <w:tcMar>
              <w:top w:w="80" w:type="dxa"/>
              <w:bottom w:w="80" w:type="dxa"/>
              <w:left w:w="60" w:type="dxa"/>
              <w:right w:w="60" w:type="dxa"/>
            </w:tcMar>
          </w:tcPr>
          <w:p>
            <w:pPr>
              <w:spacing w:before="0" w:after="0"/>
              <w:jc w:val="center"/>
            </w:pPr>
            <w:r>
              <w:rPr>
                <w:rFonts w:ascii="Times New Roman" w:hAnsi="Times New Roman"/>
                <w:b/>
                <w:color w:val="FFFFFF"/>
                <w:sz w:val="17"/>
              </w:rPr>
              <w:t>Số test</w:t>
            </w:r>
          </w:p>
        </w:tc>
        <w:tc>
          <w:tcPr>
            <w:tcW w:type="dxa" w:w="1008"/>
            <w:shd w:fill="475569"/>
            <w:tcMar>
              <w:top w:w="80" w:type="dxa"/>
              <w:bottom w:w="80" w:type="dxa"/>
              <w:left w:w="60" w:type="dxa"/>
              <w:right w:w="60" w:type="dxa"/>
            </w:tcMar>
          </w:tcPr>
          <w:p>
            <w:pPr>
              <w:spacing w:before="0" w:after="0"/>
              <w:jc w:val="center"/>
            </w:pPr>
            <w:r>
              <w:rPr>
                <w:rFonts w:ascii="Times New Roman" w:hAnsi="Times New Roman"/>
                <w:b/>
                <w:color w:val="FFFFFF"/>
                <w:sz w:val="17"/>
              </w:rPr>
              <w:t>Oracle TPR</w:t>
            </w:r>
          </w:p>
        </w:tc>
        <w:tc>
          <w:tcPr>
            <w:tcW w:type="dxa" w:w="1008"/>
            <w:shd w:fill="475569"/>
            <w:tcMar>
              <w:top w:w="80" w:type="dxa"/>
              <w:bottom w:w="80" w:type="dxa"/>
              <w:left w:w="60" w:type="dxa"/>
              <w:right w:w="60" w:type="dxa"/>
            </w:tcMar>
          </w:tcPr>
          <w:p>
            <w:pPr>
              <w:spacing w:before="0" w:after="0"/>
              <w:jc w:val="center"/>
            </w:pPr>
            <w:r>
              <w:rPr>
                <w:rFonts w:ascii="Times New Roman" w:hAnsi="Times New Roman"/>
                <w:b/>
                <w:color w:val="FFFFFF"/>
                <w:sz w:val="17"/>
              </w:rPr>
              <w:t>Oracle TNR</w:t>
            </w:r>
          </w:p>
        </w:tc>
        <w:tc>
          <w:tcPr>
            <w:tcW w:type="dxa" w:w="2448"/>
            <w:shd w:fill="475569"/>
            <w:tcMar>
              <w:top w:w="80" w:type="dxa"/>
              <w:bottom w:w="80" w:type="dxa"/>
              <w:left w:w="60" w:type="dxa"/>
              <w:right w:w="60" w:type="dxa"/>
            </w:tcMar>
          </w:tcPr>
          <w:p>
            <w:pPr>
              <w:spacing w:before="0" w:after="0"/>
              <w:jc w:val="center"/>
            </w:pPr>
            <w:r>
              <w:rPr>
                <w:rFonts w:ascii="Times New Roman" w:hAnsi="Times New Roman"/>
                <w:b/>
                <w:color w:val="FFFFFF"/>
                <w:sz w:val="17"/>
              </w:rPr>
              <w:t>Nguyên nhân cốt lõi</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cf1352c</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1352_C. K-th Not Divisible b</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15</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0.950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N/A</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Kho CodeNet thiếu dữ liệu nhãn WA lịch sử hợp lệ để đánh giá TNR.</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cf1949b</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B. Charming Meals</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19</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0.000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Đề bài cho phép nhiều cách ghép cặp nghiệm đúng; checker TOKEN mặc định so sai với AC.</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cf2275d</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cf2275d</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0.111</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Format đề đặc thù, số lượng test trích xuất dừng sớm.</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p02586</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175</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0.450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0.850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Bài quy hoạch động lớn (Grid), một số AC CodeNet bị TLE do giới hạn thời gian chạy container.</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p02599</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174</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0.700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0.900</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Truy vấn đoạn (Mo/Fenwick), các lời giải AC tối ưu sát time limit dẫn tới TPR 0.70.</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p02623</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172</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0.950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0.550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Các mutant WA chỉ sai ở trường hợp cực hạn, cần bổ sung stress test quy mô lớn hơn.</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p02661</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169</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0.900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0.750</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Oracle TNR đạt 0.75 (sát ngưỡng 0.80), thiếu 1 test biên số chẵn/lẻ.</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p02691</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166</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22</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0.850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0.500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TNR 0.50 do bài toán có nhiều trường hợp nghiệm suy biến cần thêm pairwise test.</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p02702</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164</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21</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0.650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1.000</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TPR 0.65 do các thuật toán O(N^2) trong CodeNet bị TLE trên test N=200.000.</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p02781</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154</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24</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0.737</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1.000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TPR 0.737 do xử lý số mũ 10^100 trong Python/C++ có sự chênh lệch biểu diễn.</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p02787</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153</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23</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0.700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0.895</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TPR 0.70 do thuật toán Knapsack của một số bài nộp AC CodeNet chạy đệ quy bị TLE.</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p02839</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147</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17</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0.550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0.800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DP tổng chập bị TLE trên các test giới hạn N=80 dẫn tới TPR 0.55.</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p02949</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137</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19</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0.947</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0.550</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Đồ thị có chu trình âm (Bellman-Ford), các code WA xử lý chu trình chưa triệt để.</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p03003</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130</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25</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0.750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0.600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TNR 0.60 do bài hình học có sai số floating point cần checker FLOAT epsilon.</w:t>
            </w:r>
          </w:p>
        </w:tc>
      </w:tr>
      <w:tr>
        <w:tc>
          <w:tcPr>
            <w:tcW w:type="dxa" w:w="1152"/>
            <w:shd w:fill="FFFFFF"/>
            <w:tcMar>
              <w:top w:w="60" w:type="dxa"/>
              <w:bottom w:w="60" w:type="dxa"/>
              <w:left w:w="60" w:type="dxa"/>
              <w:right w:w="60" w:type="dxa"/>
            </w:tcMar>
          </w:tcPr>
          <w:p>
            <w:pPr>
              <w:spacing w:before="0" w:after="0"/>
              <w:jc w:val="left"/>
            </w:pPr>
            <w:r>
              <w:rPr>
                <w:rFonts w:ascii="Times New Roman" w:hAnsi="Times New Roman"/>
                <w:b/>
                <w:color w:val="1E293B"/>
                <w:sz w:val="16"/>
              </w:rPr>
              <w:t>p03044</w:t>
            </w:r>
          </w:p>
        </w:tc>
        <w:tc>
          <w:tcPr>
            <w:tcW w:type="dxa" w:w="2880"/>
            <w:shd w:fill="FFFFFF"/>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126</w:t>
            </w:r>
          </w:p>
        </w:tc>
        <w:tc>
          <w:tcPr>
            <w:tcW w:type="dxa" w:w="864"/>
            <w:shd w:fill="FFFFFF"/>
            <w:tcMar>
              <w:top w:w="60" w:type="dxa"/>
              <w:bottom w:w="60" w:type="dxa"/>
              <w:left w:w="60" w:type="dxa"/>
              <w:right w:w="60" w:type="dxa"/>
            </w:tcMar>
          </w:tcPr>
          <w:p>
            <w:pPr>
              <w:spacing w:before="0" w:after="0"/>
              <w:jc w:val="center"/>
            </w:pPr>
            <w:r>
              <w:rPr>
                <w:rFonts w:ascii="Times New Roman" w:hAnsi="Times New Roman"/>
                <w:b w:val="0"/>
                <w:color w:val="1E293B"/>
                <w:sz w:val="16"/>
              </w:rPr>
              <w:t>2</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1.000</w:t>
            </w:r>
          </w:p>
        </w:tc>
        <w:tc>
          <w:tcPr>
            <w:tcW w:type="dxa" w:w="1008"/>
            <w:shd w:fill="FFFFFF"/>
            <w:tcMar>
              <w:top w:w="60" w:type="dxa"/>
              <w:bottom w:w="60" w:type="dxa"/>
              <w:left w:w="60" w:type="dxa"/>
              <w:right w:w="60" w:type="dxa"/>
            </w:tcMar>
          </w:tcPr>
          <w:p>
            <w:pPr>
              <w:spacing w:before="0" w:after="0"/>
              <w:jc w:val="center"/>
            </w:pPr>
            <w:r>
              <w:rPr>
                <w:rFonts w:ascii="Times New Roman" w:hAnsi="Times New Roman"/>
                <w:b w:val="0"/>
                <w:color w:val="1E293B"/>
                <w:sz w:val="16"/>
              </w:rPr>
              <w:t>0.368</w:t>
            </w:r>
          </w:p>
        </w:tc>
        <w:tc>
          <w:tcPr>
            <w:tcW w:type="dxa" w:w="2448"/>
            <w:shd w:fill="FFFFFF"/>
            <w:tcMar>
              <w:top w:w="60" w:type="dxa"/>
              <w:bottom w:w="60" w:type="dxa"/>
              <w:left w:w="60" w:type="dxa"/>
              <w:right w:w="60" w:type="dxa"/>
            </w:tcMar>
          </w:tcPr>
          <w:p>
            <w:pPr>
              <w:spacing w:before="0" w:after="0"/>
              <w:jc w:val="left"/>
            </w:pPr>
            <w:r>
              <w:rPr>
                <w:rFonts w:ascii="Times New Roman" w:hAnsi="Times New Roman"/>
                <w:b w:val="0"/>
                <w:color w:val="1E293B"/>
                <w:sz w:val="16"/>
              </w:rPr>
              <w:t>Bài toán tô màu cây (Tree coloring) có nghiệm đối xứng, cần Special Checker.</w:t>
            </w:r>
          </w:p>
        </w:tc>
      </w:tr>
      <w:tr>
        <w:tc>
          <w:tcPr>
            <w:tcW w:type="dxa" w:w="1152"/>
            <w:shd w:fill="F8FAFC"/>
            <w:tcMar>
              <w:top w:w="60" w:type="dxa"/>
              <w:bottom w:w="60" w:type="dxa"/>
              <w:left w:w="60" w:type="dxa"/>
              <w:right w:w="60" w:type="dxa"/>
            </w:tcMar>
          </w:tcPr>
          <w:p>
            <w:pPr>
              <w:spacing w:before="0" w:after="0"/>
              <w:jc w:val="left"/>
            </w:pPr>
            <w:r>
              <w:rPr>
                <w:rFonts w:ascii="Times New Roman" w:hAnsi="Times New Roman"/>
                <w:b/>
                <w:color w:val="1E293B"/>
                <w:sz w:val="16"/>
              </w:rPr>
              <w:t>p03862</w:t>
            </w:r>
          </w:p>
        </w:tc>
        <w:tc>
          <w:tcPr>
            <w:tcW w:type="dxa" w:w="2880"/>
            <w:shd w:fill="F8FAFC"/>
            <w:tcMar>
              <w:top w:w="60" w:type="dxa"/>
              <w:bottom w:w="60" w:type="dxa"/>
              <w:left w:w="60" w:type="dxa"/>
              <w:right w:w="60" w:type="dxa"/>
            </w:tcMar>
          </w:tcPr>
          <w:p>
            <w:pPr>
              <w:spacing w:before="0" w:after="0"/>
              <w:jc w:val="left"/>
            </w:pPr>
            <w:r>
              <w:rPr>
                <w:rFonts w:ascii="Times New Roman" w:hAnsi="Times New Roman"/>
                <w:b w:val="0"/>
                <w:color w:val="1E293B"/>
                <w:sz w:val="16"/>
              </w:rPr>
              <w:t>AtCoder Beginner Contest 048</w:t>
            </w:r>
          </w:p>
        </w:tc>
        <w:tc>
          <w:tcPr>
            <w:tcW w:type="dxa" w:w="864"/>
            <w:shd w:fill="F8FAFC"/>
            <w:tcMar>
              <w:top w:w="60" w:type="dxa"/>
              <w:bottom w:w="60" w:type="dxa"/>
              <w:left w:w="60" w:type="dxa"/>
              <w:right w:w="60" w:type="dxa"/>
            </w:tcMar>
          </w:tcPr>
          <w:p>
            <w:pPr>
              <w:spacing w:before="0" w:after="0"/>
              <w:jc w:val="center"/>
            </w:pPr>
            <w:r>
              <w:rPr>
                <w:rFonts w:ascii="Times New Roman" w:hAnsi="Times New Roman"/>
                <w:b w:val="0"/>
                <w:color w:val="1E293B"/>
                <w:sz w:val="16"/>
              </w:rPr>
              <w:t>24</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0.900</w:t>
            </w:r>
          </w:p>
        </w:tc>
        <w:tc>
          <w:tcPr>
            <w:tcW w:type="dxa" w:w="1008"/>
            <w:shd w:fill="F8FAFC"/>
            <w:tcMar>
              <w:top w:w="60" w:type="dxa"/>
              <w:bottom w:w="60" w:type="dxa"/>
              <w:left w:w="60" w:type="dxa"/>
              <w:right w:w="60" w:type="dxa"/>
            </w:tcMar>
          </w:tcPr>
          <w:p>
            <w:pPr>
              <w:spacing w:before="0" w:after="0"/>
              <w:jc w:val="center"/>
            </w:pPr>
            <w:r>
              <w:rPr>
                <w:rFonts w:ascii="Times New Roman" w:hAnsi="Times New Roman"/>
                <w:b w:val="0"/>
                <w:color w:val="1E293B"/>
                <w:sz w:val="16"/>
              </w:rPr>
              <w:t>0.750</w:t>
            </w:r>
          </w:p>
        </w:tc>
        <w:tc>
          <w:tcPr>
            <w:tcW w:type="dxa" w:w="2448"/>
            <w:shd w:fill="F8FAFC"/>
            <w:tcMar>
              <w:top w:w="60" w:type="dxa"/>
              <w:bottom w:w="60" w:type="dxa"/>
              <w:left w:w="60" w:type="dxa"/>
              <w:right w:w="60" w:type="dxa"/>
            </w:tcMar>
          </w:tcPr>
          <w:p>
            <w:pPr>
              <w:spacing w:before="0" w:after="0"/>
              <w:jc w:val="left"/>
            </w:pPr>
            <w:r>
              <w:rPr>
                <w:rFonts w:ascii="Times New Roman" w:hAnsi="Times New Roman"/>
                <w:b w:val="0"/>
                <w:color w:val="1E293B"/>
                <w:sz w:val="16"/>
              </w:rPr>
              <w:t>TNR 0.75 trong đợt batch (tuy nhiên đợt chạy đơn lẻ trước đó đạt 0.85).</w:t>
            </w:r>
          </w:p>
        </w:tc>
      </w:tr>
    </w:tbl>
    <w:p>
      <w:pPr>
        <w:spacing w:after="120"/>
      </w:pPr>
    </w:p>
    <w:p>
      <w:pPr>
        <w:pStyle w:val="Heading2"/>
      </w:pPr>
      <w:r>
        <w:t>5.4. Kết quả thực thi các đợt chạy hàng loạt (Batch Execution)</w:t>
      </w:r>
    </w:p>
    <w:p>
      <w:r>
        <w:t>Hệ thống đã thực hiện hai đợt chạy hàng loạt quy mô lớn trên máy trạm thực nghiệm:</w:t>
      </w:r>
    </w:p>
    <w:p>
      <w:r>
        <w:t>• Batch 20261011-235022 (Đêm 11/10 sang 12/10):</w:t>
        <w:br/>
        <w:t>Chạy 20 bài toán (p02548 đến p03862). Đạt kết quả 19/20 bài thành công (tỷ lệ 95%). Bài duy nhất lỗi là p02732 do Ollama gặp EndpointBusyError và Claude trả về witness rỗng. Tổng thời gian chạy là 2 giờ 07 phút (trung bình ~380 giây / bài gồm cả chấm CodeNet).</w:t>
        <w:br/>
        <w:br/>
        <w:t>• Batch 20261012-103819 (Sáng đến trưa 12/10):</w:t>
        <w:br/>
        <w:t>Chạy 20 bài toán mới (p02554 đến p03044). Kết quả đạt tỷ lệ hoàn thành tuyệt đối 20/20 bài thành công (100% success rate), không có bất kỳ bài nào bị ngắt quãng hạ tầng hay lỗi biên dịch.</w:t>
      </w:r>
    </w:p>
    <w:p>
      <w:pPr>
        <w:pStyle w:val="Heading2"/>
      </w:pPr>
      <w:r>
        <w:t>5.5. Thực nghiệm tối ưu hóa thời gian &amp; độ trễ (Latency Benchmark)</w:t>
      </w:r>
    </w:p>
    <w:p>
      <w:r>
        <w:t>Một trong những thách thức lớn của việc dùng LLM là thời gian chờ suy luận. Dự án đã tiến hành thử nghiệm tối ưu hóa độ trễ (benchmark latency180 trên bài p03274):</w:t>
      </w:r>
    </w:p>
    <w:p>
      <w:r>
        <w:t>• Đặt mục tiêu: Hoàn tất trọn vẹn toàn bộ pipeline sinh testcase dưới 180 giây (3 phút).</w:t>
        <w:br/>
        <w:t>• Kết quả đạt được: Toàn bộ pipeline hoàn thành trong đúng 125.2 giây (2 phút 05 giây).</w:t>
        <w:br/>
        <w:t>• Sản lượng: Sinh 24 testcase chất lượng cao, đạt 100% coverage obligations, dừng sớm với lý do 'all_quality_criteria_met'.</w:t>
        <w:br/>
        <w:t>• Biện pháp tối ưu: Giảm hard-timeout của Ollama xuống 50s, áp dụng circuit breaker cách ly 60s khi bận, và gộp các prompt sinh batch thay vì gọi tuần tự từng phần tử.</w:t>
      </w:r>
    </w:p>
    <w:p>
      <w:pPr>
        <w:pStyle w:val="Heading1"/>
        <w:spacing w:before="280" w:after="80"/>
      </w:pPr>
      <w:r>
        <w:rPr>
          <w:rFonts w:ascii="Times New Roman" w:hAnsi="Times New Roman"/>
          <w:color w:val="1E3A8A"/>
        </w:rPr>
        <w:t>6. Tích hợp hệ thống &amp; Kiểm định độc lập</w:t>
      </w:r>
    </w:p>
    <w:p>
      <w:pPr>
        <w:pStyle w:val="Heading2"/>
      </w:pPr>
      <w:r>
        <w:t>6.1. Quy trình nạp dữ liệu an toàn vào KtoxzJudge</w:t>
      </w:r>
    </w:p>
    <w:p>
      <w:r>
        <w:t>Công cụ scripts/import-testgen.mjs thực thi chính sách 'Fail-closed': chỉ chấp nhận những bài toán có file test-suite.lock.json hợp lệ, khớp từng byte mã băm SHA-256 của từng file testcase và đạt cả hai chỉ số Oracle TPR ≥ 0.8, TNR ≥ 0.8. Trước khi nạp, công cụ tự động tạo bản sao lưu VACUUM INTO cho cơ sở dữ liệu. Hiện tại, 23 bài toán với 466 testcases đã được kích hoạt trạng thái 'published' trên website KtoxzJudge.</w:t>
      </w:r>
    </w:p>
    <w:p>
      <w:pPr>
        <w:pStyle w:val="Heading2"/>
      </w:pPr>
      <w:r>
        <w:t>6.2. Kiểm toán thuật toán độc lập bài p02585 (Moving Piece)</w:t>
      </w:r>
    </w:p>
    <w:p>
      <w:r>
        <w:t>Để đảm bảo tính đúng đắn tuyệt đối của dữ liệu kiểm thử, bài toán p02585 đã được chọn để thực hiện kiểm toán độc lập (outputs/p02585-audit):</w:t>
      </w:r>
    </w:p>
    <w:p>
      <w:r>
        <w:t>1. Xây dựng thuật toán giải độc lập: Sử dụng kỹ thuật Binary Lifting (nhân đôi trạng thái trên đồ thị hàm hoán vị) để tính toán giá trị tiền tố lớn nhất không rỗng với K bước (K lên tới 10^9) trong thời gian O(N log K).</w:t>
        <w:br/>
        <w:t>2. Đối chứng chéo (Cross-check): Kiểm tra chéo thuật toán Binary Lifting với thuật toán duyệt cạn (Brute-force) trên 1.000 bộ test ngẫu nhiên và toàn bộ 4 testcase mẫu của AtCoder. Toàn bộ 1.004 trường hợp đều khớp kết quả chính xác 100%.</w:t>
        <w:br/>
        <w:t>3. Thẩm định bộ test trong CSDL: Chạy lời giải độc lập trên toàn bộ 28 testcase của bài p02585 trong database, tất cả expected output đều khớp từng số nguyên.</w:t>
        <w:br/>
        <w:t>4. Chấm bài thực tế trên giao diện KtoxzJudge: Nộp mã nguồn C++20 lên hệ thống, chấm qua Docker sandbox. Bài nộp đạt điểm tuyệt đối 28/28 AC, thời gian chạy trung bình 350 - 500 ms/test, xác nhận hệ thống vận hành mượt mà và chính xác.</w:t>
      </w:r>
    </w:p>
    <w:p>
      <w:pPr>
        <w:pStyle w:val="Heading2"/>
      </w:pPr>
      <w:r>
        <w:t>6.3. Kiểm thử chức năng máy chấm (Smoke Test)</w:t>
      </w:r>
    </w:p>
    <w:p>
      <w:r>
        <w:t>Kịch bản kiểm thử tự động scripts/smoke-testgen.mjs đã kiểm tra toàn bộ 6 trạng thái phán quyết (verdicts) của máy chấm Docker bridge: AC (C++20 &amp; Python), WA (in sai), CE (lỗi cú pháp C++), TLE (vòng lặp vô hạn Python) và RE (ngoại lệ Python). Tất cả đều trả về đúng verdict mong đợi trong môi trường container bị cô lập hoàn toàn mạng.</w:t>
      </w:r>
    </w:p>
    <w:p>
      <w:pPr>
        <w:pStyle w:val="Heading1"/>
        <w:spacing w:before="280" w:after="80"/>
      </w:pPr>
      <w:r>
        <w:rPr>
          <w:rFonts w:ascii="Times New Roman" w:hAnsi="Times New Roman"/>
          <w:color w:val="1E3A8A"/>
        </w:rPr>
        <w:t>7. Đánh giá tồn đọng &amp; Kế hoạch tiếp theo</w:t>
      </w:r>
    </w:p>
    <w:p>
      <w:r>
        <w:t>• Các vấn đề đã giải quyết thành công:</w:t>
        <w:br/>
        <w:t xml:space="preserve">  - Cơ chế đóng gói bất biến bằng băm mật mã SHA-256 ngăn ngừa sai lệch dữ liệu test.</w:t>
        <w:br/>
        <w:t xml:space="preserve">  - Giải quyết triệt để rò rỉ container và xung đột tài nguyên bằng cơ chế tự dọn dẹp (auto cleanup).</w:t>
        <w:br/>
        <w:t xml:space="preserve">  - Chứng minh được tính ứng dụng thực tế thông qua việc nhập và chấm thành công trên website Online Judge thật.</w:t>
        <w:br/>
        <w:br/>
        <w:t>• Thách thức còn tồn tại &amp; Giải pháp khắc phục:</w:t>
        <w:br/>
        <w:t xml:space="preserve">  - Bài toán Special Checker: Một số bài cho phép nhiều đáp án tương đương (như cf1949b, p03044). Cần hoàn thiện module tự động nhận diện và cấu hình Special Checker từ đề bài thay vì chỉ dùng Token Checker mặc định.</w:t>
        <w:br/>
        <w:t xml:space="preserve">  - Cơ chế dự phòng khi Endpoint LLM bận: Cần bổ sung logic cho phép Claude CLI tự sinh luôn witness_input khi Ollama báo bận, tránh để lọt mutant ở các bài khó như p02732.</w:t>
        <w:br/>
        <w:br/>
        <w:t>• Kế hoạch hoàn thiện Khóa luận tốt nghiệp:</w:t>
        <w:br/>
        <w:t xml:space="preserve">  - Nhập tiếp 4 bài toán vừa hoàn thành đạt chuẩn (p02642, p02678, p02714, p02720, p02762) vào KtoxzJudge.</w:t>
        <w:br/>
        <w:t xml:space="preserve">  - Trích xuất các biểu đồ phân bố độ phủ, thời gian và ma trận nhầm lẫn (Confusion Matrix) vào tài liệu luận văn chính thức.</w:t>
      </w:r>
    </w:p>
    <w:p>
      <w:pPr>
        <w:pStyle w:val="Heading1"/>
        <w:spacing w:before="280" w:after="80"/>
      </w:pPr>
      <w:r>
        <w:rPr>
          <w:rFonts w:ascii="Times New Roman" w:hAnsi="Times New Roman"/>
          <w:color w:val="1E3A8A"/>
        </w:rPr>
        <w:t>8. Kết luận</w:t>
      </w:r>
    </w:p>
    <w:p>
      <w:r>
        <w:t>Tính đến thời điểm 12/10/2026, dự án Khóa luận tốt nghiệp đã hoàn thành trọn vẹn các mục tiêu nghiên cứu và thực nghiệm đề ra. Hệ thống Final_TestcaseGenerator không chỉ chứng minh khả năng tự động sinh testcase chất lượng cao với độ phủ 93.0% và khả năng bắt lỗi CodeNet 85.5%, mà còn được tích hợp hoàn chỉnh và vận hành ổn định trên nền tảng Online Judge KtoxzJudge. Kết quả này tạo tiền đề vững chắc cho việc bảo vệ khóa luận và ứng dụng thực tế trong giảng dạy tin học lập trình.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