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 recommend that Botium Toys first implement and address compliance requirements utilizing encryption, such as confidential and secure PII/SPII storage. Following this, the user access policies relating to least privilege and separation of duties should be implemented. Then stronger password policies should be added, as well as classifying and inventorying data. After adding secure password management systems, this should take care of the compliance section. Creating backups and disaster recovery plans would be the next priority for remaining controls, followed by installing an IDS and deciding intervention plans for the legacy equipment.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