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3C1D0" w14:textId="77777777" w:rsidR="00946419" w:rsidRDefault="008D57A3">
      <w:pPr>
        <w:jc w:val="center"/>
      </w:pPr>
      <w:r>
        <w:rPr>
          <w:noProof/>
        </w:rPr>
        <w:drawing>
          <wp:inline distT="0" distB="0" distL="0" distR="0" wp14:anchorId="60F39A60" wp14:editId="7C763E85">
            <wp:extent cx="1051560" cy="952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0392" w14:textId="77777777" w:rsidR="00971513" w:rsidRDefault="00971513">
      <w:pPr>
        <w:jc w:val="center"/>
        <w:rPr>
          <w:b/>
          <w:color w:val="0B5D43"/>
          <w:sz w:val="48"/>
        </w:rPr>
      </w:pPr>
    </w:p>
    <w:p w14:paraId="73219678" w14:textId="77777777" w:rsidR="00971513" w:rsidRDefault="00971513">
      <w:pPr>
        <w:jc w:val="center"/>
        <w:rPr>
          <w:b/>
          <w:color w:val="0B5D43"/>
          <w:sz w:val="48"/>
        </w:rPr>
      </w:pPr>
    </w:p>
    <w:p w14:paraId="789A7CD9" w14:textId="332A26DC" w:rsidR="00946419" w:rsidRDefault="008D57A3">
      <w:pPr>
        <w:jc w:val="center"/>
      </w:pPr>
      <w:r>
        <w:rPr>
          <w:b/>
          <w:color w:val="0B5D43"/>
          <w:sz w:val="48"/>
        </w:rPr>
        <w:t>EVALUACIÓN · MÓDULO 4</w:t>
      </w:r>
    </w:p>
    <w:p w14:paraId="59B476F5" w14:textId="457655D1" w:rsidR="00946419" w:rsidRPr="00971513" w:rsidRDefault="008D57A3">
      <w:pPr>
        <w:spacing w:after="320"/>
        <w:jc w:val="center"/>
        <w:rPr>
          <w:b/>
          <w:color w:val="C79818"/>
          <w:sz w:val="28"/>
          <w:lang w:val="es-CO"/>
        </w:rPr>
      </w:pPr>
      <w:r w:rsidRPr="00971513">
        <w:rPr>
          <w:b/>
          <w:color w:val="C79818"/>
          <w:sz w:val="28"/>
          <w:lang w:val="es-CO"/>
        </w:rPr>
        <w:t>Banco de 10 ítems situacionales</w:t>
      </w:r>
    </w:p>
    <w:p w14:paraId="67C71B4C" w14:textId="5C6F33C9" w:rsidR="00971513" w:rsidRDefault="00971513">
      <w:pPr>
        <w:spacing w:after="320"/>
        <w:jc w:val="center"/>
        <w:rPr>
          <w:b/>
          <w:color w:val="C79818"/>
          <w:sz w:val="28"/>
        </w:rPr>
      </w:pPr>
    </w:p>
    <w:p w14:paraId="3122858E" w14:textId="77777777" w:rsidR="00971513" w:rsidRDefault="00971513">
      <w:pPr>
        <w:spacing w:after="320"/>
        <w:jc w:val="center"/>
      </w:pPr>
    </w:p>
    <w:p w14:paraId="7B448505" w14:textId="146A62C5" w:rsidR="00946419" w:rsidRPr="00971513" w:rsidRDefault="008D57A3">
      <w:pPr>
        <w:spacing w:after="360"/>
        <w:jc w:val="center"/>
        <w:rPr>
          <w:b/>
          <w:color w:val="074632"/>
          <w:sz w:val="48"/>
          <w:szCs w:val="48"/>
        </w:rPr>
      </w:pPr>
      <w:r w:rsidRPr="00971513">
        <w:rPr>
          <w:b/>
          <w:color w:val="074632"/>
          <w:sz w:val="48"/>
          <w:szCs w:val="48"/>
        </w:rPr>
        <w:t>SANEAMIENTO FISCAL, CONTROL, EVALUACIÓN</w:t>
      </w:r>
      <w:r w:rsidRPr="00971513">
        <w:rPr>
          <w:b/>
          <w:color w:val="074632"/>
          <w:sz w:val="48"/>
          <w:szCs w:val="48"/>
        </w:rPr>
        <w:br/>
        <w:t>Y SEGUIMIENTO PRESUPUESTAL</w:t>
      </w:r>
    </w:p>
    <w:p w14:paraId="505BCC4C" w14:textId="6CB96A4E" w:rsidR="00971513" w:rsidRDefault="00971513">
      <w:pPr>
        <w:spacing w:after="360"/>
        <w:jc w:val="center"/>
        <w:rPr>
          <w:b/>
          <w:color w:val="074632"/>
          <w:sz w:val="36"/>
        </w:rPr>
      </w:pPr>
    </w:p>
    <w:p w14:paraId="2030255A" w14:textId="77777777" w:rsidR="00971513" w:rsidRDefault="00971513">
      <w:pPr>
        <w:spacing w:after="360"/>
        <w:jc w:val="center"/>
      </w:pPr>
    </w:p>
    <w:p w14:paraId="0EAFFFDD" w14:textId="77777777" w:rsidR="00946419" w:rsidRPr="00971513" w:rsidRDefault="008D57A3">
      <w:pPr>
        <w:spacing w:after="160"/>
        <w:jc w:val="center"/>
        <w:rPr>
          <w:sz w:val="32"/>
          <w:szCs w:val="32"/>
        </w:rPr>
      </w:pPr>
      <w:r w:rsidRPr="00971513">
        <w:rPr>
          <w:b/>
          <w:color w:val="0B5D43"/>
          <w:sz w:val="32"/>
          <w:szCs w:val="32"/>
        </w:rPr>
        <w:t>ACADEMIA DE FORMACIÓN LÍDERES DEL MÉRITO S.A.S.</w:t>
      </w:r>
    </w:p>
    <w:p w14:paraId="10F77C42" w14:textId="7215C0A3" w:rsidR="00946419" w:rsidRDefault="008D57A3">
      <w:pPr>
        <w:jc w:val="center"/>
        <w:rPr>
          <w:b/>
          <w:i/>
          <w:color w:val="C79818"/>
          <w:sz w:val="24"/>
        </w:rPr>
      </w:pPr>
      <w:r>
        <w:rPr>
          <w:b/>
          <w:i/>
          <w:color w:val="C79818"/>
          <w:sz w:val="24"/>
        </w:rPr>
        <w:t>¡EL MÉRITO ES TUYO!</w:t>
      </w:r>
    </w:p>
    <w:p w14:paraId="478C3057" w14:textId="68274EA6" w:rsidR="00971513" w:rsidRDefault="00971513">
      <w:pPr>
        <w:jc w:val="center"/>
        <w:rPr>
          <w:b/>
          <w:i/>
          <w:color w:val="C79818"/>
          <w:sz w:val="24"/>
        </w:rPr>
      </w:pPr>
    </w:p>
    <w:p w14:paraId="4701165D" w14:textId="0FC3C262" w:rsidR="00971513" w:rsidRDefault="00971513">
      <w:pPr>
        <w:jc w:val="center"/>
        <w:rPr>
          <w:b/>
          <w:i/>
          <w:color w:val="C79818"/>
          <w:sz w:val="24"/>
        </w:rPr>
      </w:pPr>
    </w:p>
    <w:p w14:paraId="6404DFD9" w14:textId="77777777" w:rsidR="00971513" w:rsidRDefault="00971513">
      <w:pPr>
        <w:jc w:val="center"/>
      </w:pPr>
    </w:p>
    <w:p w14:paraId="0166A195" w14:textId="77777777" w:rsidR="00946419" w:rsidRPr="00971513" w:rsidRDefault="008D57A3">
      <w:pPr>
        <w:spacing w:before="1400"/>
        <w:jc w:val="center"/>
        <w:rPr>
          <w:sz w:val="24"/>
          <w:szCs w:val="24"/>
        </w:rPr>
      </w:pPr>
      <w:r w:rsidRPr="00971513">
        <w:rPr>
          <w:color w:val="666666"/>
          <w:sz w:val="24"/>
          <w:szCs w:val="24"/>
        </w:rPr>
        <w:t xml:space="preserve">Edición 2026 · </w:t>
      </w:r>
      <w:r w:rsidRPr="00971513">
        <w:rPr>
          <w:color w:val="666666"/>
          <w:sz w:val="24"/>
          <w:szCs w:val="24"/>
        </w:rPr>
        <w:t>Instrumento de evaluación situacional</w:t>
      </w:r>
    </w:p>
    <w:p w14:paraId="59518E0B" w14:textId="77777777" w:rsidR="00946419" w:rsidRDefault="008D57A3">
      <w:r>
        <w:br w:type="page"/>
      </w:r>
    </w:p>
    <w:p w14:paraId="63094342" w14:textId="77777777" w:rsidR="00946419" w:rsidRPr="00971513" w:rsidRDefault="008D57A3">
      <w:pPr>
        <w:keepNext/>
        <w:keepLines/>
        <w:spacing w:before="120" w:after="120"/>
        <w:rPr>
          <w:rFonts w:cs="Arial"/>
          <w:sz w:val="24"/>
          <w:szCs w:val="24"/>
          <w:lang w:val="es-CO"/>
        </w:rPr>
      </w:pPr>
      <w:r w:rsidRPr="00971513">
        <w:rPr>
          <w:rFonts w:cs="Arial"/>
          <w:b/>
          <w:color w:val="0B5D43"/>
          <w:sz w:val="24"/>
          <w:szCs w:val="24"/>
          <w:lang w:val="es-CO"/>
        </w:rPr>
        <w:lastRenderedPageBreak/>
        <w:t>Ficha del instrumento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8064"/>
      </w:tblGrid>
      <w:tr w:rsidR="00946419" w:rsidRPr="00971513" w14:paraId="028069E4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4EF"/>
            <w:vAlign w:val="center"/>
          </w:tcPr>
          <w:p w14:paraId="75663063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Documento base</w:t>
            </w:r>
          </w:p>
        </w:tc>
        <w:tc>
          <w:tcPr>
            <w:tcW w:w="806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C5B3801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Cuestionario Módulo 4 aportado: diez preguntas sobre límites a los gastos de funcionamiento, FONPET y mesadas pensionales, déficit fiscal, control político, co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ntrol interno, evaluación de gestión y resultados, seguimiento financiero, responsabilidades en la ordenación del gasto, informes presupuestales y veeduría ciudadana.</w:t>
            </w:r>
          </w:p>
        </w:tc>
      </w:tr>
      <w:tr w:rsidR="00946419" w:rsidRPr="00971513" w14:paraId="4314055D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4EF"/>
            <w:vAlign w:val="center"/>
          </w:tcPr>
          <w:p w14:paraId="136AF61F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Módulo evaluado</w:t>
            </w:r>
          </w:p>
        </w:tc>
        <w:tc>
          <w:tcPr>
            <w:tcW w:w="806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0970AFC6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 xml:space="preserve">Módulo 4: Saneamiento fiscal, control, evaluación y 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seguimiento presupuestal — Educación informal.</w:t>
            </w:r>
          </w:p>
        </w:tc>
      </w:tr>
      <w:tr w:rsidR="00946419" w:rsidRPr="00971513" w14:paraId="29157B15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4EF"/>
            <w:vAlign w:val="center"/>
          </w:tcPr>
          <w:p w14:paraId="721E90BB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Ejes evaluados</w:t>
            </w:r>
          </w:p>
        </w:tc>
        <w:tc>
          <w:tcPr>
            <w:tcW w:w="806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9A34EDF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Límites del gasto de funcionamiento; saneamiento fiscal; pasivo pensional; déficit fiscal; control político, interno y fiscal; evaluación de gestión y resultados; seguimiento financiero; respon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sabilidades fiscales; informes presupuestales; participación y veeduría ciudadana.</w:t>
            </w:r>
          </w:p>
        </w:tc>
      </w:tr>
      <w:tr w:rsidR="00946419" w:rsidRPr="00971513" w14:paraId="67DCBBE2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4EF"/>
            <w:vAlign w:val="center"/>
          </w:tcPr>
          <w:p w14:paraId="381FA5B4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Tipo de ítem</w:t>
            </w:r>
          </w:p>
        </w:tc>
        <w:tc>
          <w:tcPr>
            <w:tcW w:w="806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3124B266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Selección múltiple con única mejor respuesta, contextualizada mediante casos hipotéticos de gestión pública y presupuestal.</w:t>
            </w:r>
          </w:p>
        </w:tc>
      </w:tr>
      <w:tr w:rsidR="00946419" w:rsidRPr="00971513" w14:paraId="0DA4060C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4EF"/>
            <w:vAlign w:val="center"/>
          </w:tcPr>
          <w:p w14:paraId="1A20BC39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Número de preguntas</w:t>
            </w:r>
          </w:p>
        </w:tc>
        <w:tc>
          <w:tcPr>
            <w:tcW w:w="806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4E1987E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10</w:t>
            </w:r>
          </w:p>
        </w:tc>
      </w:tr>
      <w:tr w:rsidR="00946419" w:rsidRPr="00971513" w14:paraId="70B6216F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4EF"/>
            <w:vAlign w:val="center"/>
          </w:tcPr>
          <w:p w14:paraId="6888BFF7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 xml:space="preserve">Nivel </w:t>
            </w: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cognitivo</w:t>
            </w:r>
          </w:p>
        </w:tc>
        <w:tc>
          <w:tcPr>
            <w:tcW w:w="806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1395D1E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Aplicación, análisis e interpretación normativa y funcional (Taxonomía de Bloom: aplicar y analizar).</w:t>
            </w:r>
          </w:p>
        </w:tc>
      </w:tr>
      <w:tr w:rsidR="00946419" w:rsidRPr="00971513" w14:paraId="71B30B38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4EF"/>
            <w:vAlign w:val="center"/>
          </w:tcPr>
          <w:p w14:paraId="162DA1DA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Criterio de mejora</w:t>
            </w:r>
          </w:p>
        </w:tc>
        <w:tc>
          <w:tcPr>
            <w:tcW w:w="806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FA6EBDA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Se transformaron enunciados directos en situaciones de decisión; se incorporaron cuatro alternativas plausibles por ítem, un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a única mejor respuesta, distractores del mismo dominio y retroalimentación técnica separada, conservando el contenido temático y normativo del cuestionario aportado.</w:t>
            </w:r>
          </w:p>
        </w:tc>
      </w:tr>
    </w:tbl>
    <w:p w14:paraId="13B9B86D" w14:textId="77777777" w:rsidR="00971513" w:rsidRDefault="00971513">
      <w:pPr>
        <w:keepNext/>
        <w:keepLines/>
        <w:spacing w:before="200" w:after="60"/>
        <w:rPr>
          <w:rFonts w:cs="Arial"/>
          <w:b/>
          <w:color w:val="0B5D43"/>
          <w:sz w:val="24"/>
          <w:szCs w:val="24"/>
        </w:rPr>
      </w:pPr>
    </w:p>
    <w:p w14:paraId="7CC25B73" w14:textId="4B1585C5" w:rsidR="00946419" w:rsidRPr="00971513" w:rsidRDefault="008D57A3">
      <w:pPr>
        <w:keepNext/>
        <w:keepLines/>
        <w:spacing w:before="200" w:after="60"/>
        <w:rPr>
          <w:rFonts w:cs="Arial"/>
          <w:sz w:val="24"/>
          <w:szCs w:val="24"/>
          <w:lang w:val="es-CO"/>
        </w:rPr>
      </w:pPr>
      <w:r w:rsidRPr="00971513">
        <w:rPr>
          <w:rFonts w:cs="Arial"/>
          <w:b/>
          <w:color w:val="0B5D43"/>
          <w:sz w:val="24"/>
          <w:szCs w:val="24"/>
          <w:lang w:val="es-CO"/>
        </w:rPr>
        <w:t>Instrucciones para el participante</w:t>
      </w:r>
    </w:p>
    <w:p w14:paraId="664A4A69" w14:textId="77777777" w:rsidR="00971513" w:rsidRPr="00971513" w:rsidRDefault="00971513" w:rsidP="00971513">
      <w:pPr>
        <w:spacing w:after="60"/>
        <w:jc w:val="both"/>
        <w:rPr>
          <w:rFonts w:cs="Arial"/>
          <w:sz w:val="24"/>
          <w:szCs w:val="24"/>
          <w:lang w:val="es-CO"/>
        </w:rPr>
      </w:pPr>
    </w:p>
    <w:p w14:paraId="473B5193" w14:textId="114D8740" w:rsidR="00946419" w:rsidRPr="00971513" w:rsidRDefault="008D57A3" w:rsidP="00971513">
      <w:pPr>
        <w:spacing w:after="60"/>
        <w:jc w:val="both"/>
        <w:rPr>
          <w:rFonts w:cs="Arial"/>
          <w:sz w:val="24"/>
          <w:szCs w:val="24"/>
        </w:rPr>
      </w:pPr>
      <w:r w:rsidRPr="00971513">
        <w:rPr>
          <w:rFonts w:cs="Arial"/>
          <w:sz w:val="24"/>
          <w:szCs w:val="24"/>
          <w:lang w:val="es-CO"/>
        </w:rPr>
        <w:t xml:space="preserve">Lea cada caso, identifique el problema </w:t>
      </w:r>
      <w:r w:rsidRPr="00971513">
        <w:rPr>
          <w:rFonts w:cs="Arial"/>
          <w:sz w:val="24"/>
          <w:szCs w:val="24"/>
          <w:lang w:val="es-CO"/>
        </w:rPr>
        <w:t>presupuestal o de control planteado y seleccione la alternativa que mejor se ajuste al marco conceptual y normativo trabajado en el Módulo 4. Cada</w:t>
      </w:r>
      <w:r w:rsidRPr="00971513">
        <w:rPr>
          <w:rFonts w:cs="Arial"/>
          <w:sz w:val="24"/>
          <w:szCs w:val="24"/>
        </w:rPr>
        <w:t xml:space="preserve"> ítem tiene una sola respuesta jurídicamente y técnicamente más adecuada dentro del material suministrado. El </w:t>
      </w:r>
      <w:r w:rsidRPr="00971513">
        <w:rPr>
          <w:rFonts w:cs="Arial"/>
          <w:sz w:val="24"/>
          <w:szCs w:val="24"/>
        </w:rPr>
        <w:t>instrumento evalúa aplicación y análisis, no la memorización aislada de definiciones.</w:t>
      </w:r>
    </w:p>
    <w:p w14:paraId="49B5458D" w14:textId="4716A7DA" w:rsidR="00946419" w:rsidRPr="00971513" w:rsidRDefault="00946419">
      <w:pPr>
        <w:spacing w:after="140"/>
        <w:rPr>
          <w:rFonts w:cs="Arial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46419" w:rsidRPr="00971513" w14:paraId="75B28A82" w14:textId="77777777">
        <w:trPr>
          <w:cantSplit/>
          <w:jc w:val="center"/>
        </w:trPr>
        <w:tc>
          <w:tcPr>
            <w:tcW w:w="10224" w:type="dxa"/>
            <w:tcBorders>
              <w:top w:val="single" w:sz="10" w:space="0" w:color="0B5D43"/>
              <w:left w:val="single" w:sz="10" w:space="0" w:color="0B5D43"/>
              <w:bottom w:val="single" w:sz="10" w:space="0" w:color="0B5D43"/>
              <w:right w:val="single" w:sz="10" w:space="0" w:color="0B5D43"/>
            </w:tcBorders>
            <w:shd w:val="clear" w:color="auto" w:fill="EAF4EF"/>
            <w:vAlign w:val="center"/>
          </w:tcPr>
          <w:p w14:paraId="4A3A0132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PREGUNTA 1 · CASO HIPOTÉTICO</w:t>
            </w:r>
          </w:p>
          <w:p w14:paraId="2E4CC63D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La Secretaría de Hacienda de un municipio de categoría cuarta proyecta que, para la próxima vigencia, el 90 % de sus ingresos corrientes de libre destinación se destine a ga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stos de funcionamiento. El alcalde sostiene que el porcentaje puede mantenerse porque el presupuesto será aprobado por el concejo.</w:t>
            </w:r>
          </w:p>
          <w:p w14:paraId="525DDB4A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>¿Cuál recomendación debe formular el equipo presupuestal?</w:t>
            </w:r>
          </w:p>
        </w:tc>
      </w:tr>
    </w:tbl>
    <w:p w14:paraId="5D1F3553" w14:textId="77777777" w:rsidR="00971513" w:rsidRDefault="00971513">
      <w:pPr>
        <w:spacing w:before="20" w:after="20"/>
        <w:ind w:left="72" w:hanging="29"/>
        <w:rPr>
          <w:rFonts w:cs="Arial"/>
          <w:b/>
          <w:color w:val="0B5D43"/>
          <w:sz w:val="24"/>
          <w:szCs w:val="24"/>
        </w:rPr>
      </w:pPr>
    </w:p>
    <w:p w14:paraId="5D789B41" w14:textId="4B3220C0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A. </w:t>
      </w:r>
      <w:r w:rsidRPr="00971513">
        <w:rPr>
          <w:rFonts w:cs="Arial"/>
          <w:color w:val="222222"/>
          <w:sz w:val="24"/>
          <w:szCs w:val="24"/>
        </w:rPr>
        <w:t>Mantener el 90 %, porque la autonomía territorial permite fijar</w:t>
      </w:r>
      <w:r w:rsidRPr="00971513">
        <w:rPr>
          <w:rFonts w:cs="Arial"/>
          <w:color w:val="222222"/>
          <w:sz w:val="24"/>
          <w:szCs w:val="24"/>
        </w:rPr>
        <w:t xml:space="preserve"> libremente el porcentaje de funcionamiento.</w:t>
      </w:r>
    </w:p>
    <w:p w14:paraId="76E8FA88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B. </w:t>
      </w:r>
      <w:r w:rsidRPr="00971513">
        <w:rPr>
          <w:rFonts w:cs="Arial"/>
          <w:color w:val="222222"/>
          <w:sz w:val="24"/>
          <w:szCs w:val="24"/>
        </w:rPr>
        <w:t xml:space="preserve">Trasladar contablemente el exceso </w:t>
      </w:r>
      <w:proofErr w:type="gramStart"/>
      <w:r w:rsidRPr="00971513">
        <w:rPr>
          <w:rFonts w:cs="Arial"/>
          <w:color w:val="222222"/>
          <w:sz w:val="24"/>
          <w:szCs w:val="24"/>
        </w:rPr>
        <w:t>a</w:t>
      </w:r>
      <w:proofErr w:type="gramEnd"/>
      <w:r w:rsidRPr="00971513">
        <w:rPr>
          <w:rFonts w:cs="Arial"/>
          <w:color w:val="222222"/>
          <w:sz w:val="24"/>
          <w:szCs w:val="24"/>
        </w:rPr>
        <w:t xml:space="preserve"> inversión sin modificar la naturaleza real del gasto.</w:t>
      </w:r>
    </w:p>
    <w:p w14:paraId="62E01F27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C. </w:t>
      </w:r>
      <w:r w:rsidRPr="00971513">
        <w:rPr>
          <w:rFonts w:cs="Arial"/>
          <w:color w:val="222222"/>
          <w:sz w:val="24"/>
          <w:szCs w:val="24"/>
        </w:rPr>
        <w:t>Ajustar el proyecto para que los gastos de funcionamiento respeten el límite máximo aplicable a los municipios de c</w:t>
      </w:r>
      <w:r w:rsidRPr="00971513">
        <w:rPr>
          <w:rFonts w:cs="Arial"/>
          <w:color w:val="222222"/>
          <w:sz w:val="24"/>
          <w:szCs w:val="24"/>
        </w:rPr>
        <w:t>uarta categoría.</w:t>
      </w:r>
    </w:p>
    <w:p w14:paraId="4B17FCCD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lastRenderedPageBreak/>
        <w:t xml:space="preserve">D. </w:t>
      </w:r>
      <w:r w:rsidRPr="00971513">
        <w:rPr>
          <w:rFonts w:cs="Arial"/>
          <w:color w:val="222222"/>
          <w:sz w:val="24"/>
          <w:szCs w:val="24"/>
        </w:rPr>
        <w:t>Aprobar el 90 % y efectuar la corrección únicamente al cierre de la vigencia si se presenta déficit.</w:t>
      </w:r>
    </w:p>
    <w:p w14:paraId="724A11F2" w14:textId="77777777" w:rsidR="00946419" w:rsidRPr="00971513" w:rsidRDefault="00946419">
      <w:pPr>
        <w:spacing w:after="40"/>
        <w:rPr>
          <w:rFonts w:cs="Arial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46419" w:rsidRPr="00971513" w14:paraId="5BA4D804" w14:textId="77777777">
        <w:trPr>
          <w:cantSplit/>
          <w:jc w:val="center"/>
        </w:trPr>
        <w:tc>
          <w:tcPr>
            <w:tcW w:w="10224" w:type="dxa"/>
            <w:tcBorders>
              <w:top w:val="single" w:sz="10" w:space="0" w:color="0B5D43"/>
              <w:left w:val="single" w:sz="10" w:space="0" w:color="0B5D43"/>
              <w:bottom w:val="single" w:sz="10" w:space="0" w:color="0B5D43"/>
              <w:right w:val="single" w:sz="10" w:space="0" w:color="0B5D43"/>
            </w:tcBorders>
            <w:shd w:val="clear" w:color="auto" w:fill="EAF4EF"/>
            <w:vAlign w:val="center"/>
          </w:tcPr>
          <w:p w14:paraId="1E9F6A13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PREGUNTA 2 · CASO HIPOTÉTICO</w:t>
            </w:r>
          </w:p>
          <w:p w14:paraId="64B529CD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 xml:space="preserve">Una gobernación realiza aportes periódicos al Fondo Nacional de Pensiones de las Entidades Territoriales 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(FONPET) y, al mismo tiempo, paga directamente mesadas pensionales a beneficiarios. En la preparación del indicador de gastos de funcionamiento surge discusión sobre el tratamiento de ambos conceptos.</w:t>
            </w:r>
          </w:p>
          <w:p w14:paraId="15118194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>¿Cuál clasificación se ajusta mejor al contenido trabaj</w:t>
            </w:r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>ado en el módulo?</w:t>
            </w:r>
          </w:p>
        </w:tc>
      </w:tr>
    </w:tbl>
    <w:p w14:paraId="26E318D5" w14:textId="77777777" w:rsidR="00971513" w:rsidRDefault="00971513">
      <w:pPr>
        <w:spacing w:before="20" w:after="20"/>
        <w:ind w:left="72" w:hanging="29"/>
        <w:rPr>
          <w:rFonts w:cs="Arial"/>
          <w:b/>
          <w:color w:val="0B5D43"/>
          <w:sz w:val="24"/>
          <w:szCs w:val="24"/>
        </w:rPr>
      </w:pPr>
    </w:p>
    <w:p w14:paraId="5DFFF5B5" w14:textId="56E4E99D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A. </w:t>
      </w:r>
      <w:r w:rsidRPr="00971513">
        <w:rPr>
          <w:rFonts w:cs="Arial"/>
          <w:color w:val="222222"/>
          <w:sz w:val="24"/>
          <w:szCs w:val="24"/>
        </w:rPr>
        <w:t>Tanto los aportes al FONPET como las mesadas directas computan como gastos de funcionamiento.</w:t>
      </w:r>
    </w:p>
    <w:p w14:paraId="3F81FBF1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B. </w:t>
      </w:r>
      <w:r w:rsidRPr="00971513">
        <w:rPr>
          <w:rFonts w:cs="Arial"/>
          <w:color w:val="222222"/>
          <w:sz w:val="24"/>
          <w:szCs w:val="24"/>
        </w:rPr>
        <w:t>Las mesadas pensionales pagadas directamente computan como gastos de funcionamiento, mientras los aportes al FONPET no se computan como t</w:t>
      </w:r>
      <w:r w:rsidRPr="00971513">
        <w:rPr>
          <w:rFonts w:cs="Arial"/>
          <w:color w:val="222222"/>
          <w:sz w:val="24"/>
          <w:szCs w:val="24"/>
        </w:rPr>
        <w:t>ales.</w:t>
      </w:r>
    </w:p>
    <w:p w14:paraId="78AB288F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C. </w:t>
      </w:r>
      <w:r w:rsidRPr="00971513">
        <w:rPr>
          <w:rFonts w:cs="Arial"/>
          <w:color w:val="222222"/>
          <w:sz w:val="24"/>
          <w:szCs w:val="24"/>
        </w:rPr>
        <w:t>Los aportes al FONPET computan como funcionamiento y las mesadas directas se registran exclusivamente como inversión.</w:t>
      </w:r>
    </w:p>
    <w:p w14:paraId="593FF840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D. </w:t>
      </w:r>
      <w:r w:rsidRPr="00971513">
        <w:rPr>
          <w:rFonts w:cs="Arial"/>
          <w:color w:val="222222"/>
          <w:sz w:val="24"/>
          <w:szCs w:val="24"/>
        </w:rPr>
        <w:t>Ninguno de los dos conceptos tiene incidencia en el cálculo de los gastos de funcionamiento.</w:t>
      </w:r>
    </w:p>
    <w:p w14:paraId="0623844C" w14:textId="77777777" w:rsidR="00946419" w:rsidRPr="00971513" w:rsidRDefault="00946419">
      <w:pPr>
        <w:spacing w:after="40"/>
        <w:rPr>
          <w:rFonts w:cs="Arial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46419" w:rsidRPr="00971513" w14:paraId="1DA9A3DD" w14:textId="77777777">
        <w:trPr>
          <w:cantSplit/>
          <w:jc w:val="center"/>
        </w:trPr>
        <w:tc>
          <w:tcPr>
            <w:tcW w:w="10224" w:type="dxa"/>
            <w:tcBorders>
              <w:top w:val="single" w:sz="10" w:space="0" w:color="0B5D43"/>
              <w:left w:val="single" w:sz="10" w:space="0" w:color="0B5D43"/>
              <w:bottom w:val="single" w:sz="10" w:space="0" w:color="0B5D43"/>
              <w:right w:val="single" w:sz="10" w:space="0" w:color="0B5D43"/>
            </w:tcBorders>
            <w:shd w:val="clear" w:color="auto" w:fill="EAF4EF"/>
            <w:vAlign w:val="center"/>
          </w:tcPr>
          <w:p w14:paraId="1B97114F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 xml:space="preserve">PREGUNTA 3 · CASO </w:t>
            </w: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HIPOTÉTICO</w:t>
            </w:r>
          </w:p>
          <w:p w14:paraId="0D7FB1EF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 xml:space="preserve">Al preparar el proyecto de presupuesto, la administración municipal confirma que la vigencia anterior cerró con déficit fiscal. Un asesor propone omitirlo del nuevo presupuesto y manejarlo mediante un informe financiero separado para no afectar 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las apropiaciones del año siguiente.</w:t>
            </w:r>
          </w:p>
          <w:p w14:paraId="76D9D412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>¿Qué actuación corresponde según el tratamiento señalado en el material?</w:t>
            </w:r>
          </w:p>
        </w:tc>
      </w:tr>
    </w:tbl>
    <w:p w14:paraId="37213016" w14:textId="77777777" w:rsidR="00971513" w:rsidRDefault="00971513">
      <w:pPr>
        <w:spacing w:before="20" w:after="20"/>
        <w:ind w:left="72" w:hanging="29"/>
        <w:rPr>
          <w:rFonts w:cs="Arial"/>
          <w:b/>
          <w:color w:val="0B5D43"/>
          <w:sz w:val="24"/>
          <w:szCs w:val="24"/>
        </w:rPr>
      </w:pPr>
    </w:p>
    <w:p w14:paraId="1000095D" w14:textId="713C7353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A. </w:t>
      </w:r>
      <w:r w:rsidRPr="00971513">
        <w:rPr>
          <w:rFonts w:cs="Arial"/>
          <w:color w:val="222222"/>
          <w:sz w:val="24"/>
          <w:szCs w:val="24"/>
        </w:rPr>
        <w:t>Mantener el déficit por fuera del presupuesto y reconocerlo únicamente en la contabilidad patrimonial.</w:t>
      </w:r>
    </w:p>
    <w:p w14:paraId="6C73F17A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B. </w:t>
      </w:r>
      <w:r w:rsidRPr="00971513">
        <w:rPr>
          <w:rFonts w:cs="Arial"/>
          <w:color w:val="222222"/>
          <w:sz w:val="24"/>
          <w:szCs w:val="24"/>
        </w:rPr>
        <w:t>Compensarlo con ingresos futuros sin</w:t>
      </w:r>
      <w:r w:rsidRPr="00971513">
        <w:rPr>
          <w:rFonts w:cs="Arial"/>
          <w:color w:val="222222"/>
          <w:sz w:val="24"/>
          <w:szCs w:val="24"/>
        </w:rPr>
        <w:t xml:space="preserve"> crear una apropiación específica.</w:t>
      </w:r>
    </w:p>
    <w:p w14:paraId="3703B41B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C. </w:t>
      </w:r>
      <w:r w:rsidRPr="00971513">
        <w:rPr>
          <w:rFonts w:cs="Arial"/>
          <w:color w:val="222222"/>
          <w:sz w:val="24"/>
          <w:szCs w:val="24"/>
        </w:rPr>
        <w:t>Trasladarlo automáticamente a una reserva presupuestal, aunque no provenga de compromisos legalmente constituidos.</w:t>
      </w:r>
    </w:p>
    <w:p w14:paraId="2421411C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D. </w:t>
      </w:r>
      <w:r w:rsidRPr="00971513">
        <w:rPr>
          <w:rFonts w:cs="Arial"/>
          <w:color w:val="222222"/>
          <w:sz w:val="24"/>
          <w:szCs w:val="24"/>
        </w:rPr>
        <w:t>Incluir en el presupuesto la partida necesaria para saldar el déficit conforme al marco orgánico apl</w:t>
      </w:r>
      <w:r w:rsidRPr="00971513">
        <w:rPr>
          <w:rFonts w:cs="Arial"/>
          <w:color w:val="222222"/>
          <w:sz w:val="24"/>
          <w:szCs w:val="24"/>
        </w:rPr>
        <w:t>icable.</w:t>
      </w:r>
    </w:p>
    <w:p w14:paraId="2ACB85B9" w14:textId="77777777" w:rsidR="00946419" w:rsidRPr="00971513" w:rsidRDefault="00946419">
      <w:pPr>
        <w:spacing w:after="40"/>
        <w:rPr>
          <w:rFonts w:cs="Arial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46419" w:rsidRPr="00971513" w14:paraId="398D405A" w14:textId="77777777">
        <w:trPr>
          <w:cantSplit/>
          <w:jc w:val="center"/>
        </w:trPr>
        <w:tc>
          <w:tcPr>
            <w:tcW w:w="10224" w:type="dxa"/>
            <w:tcBorders>
              <w:top w:val="single" w:sz="10" w:space="0" w:color="0B5D43"/>
              <w:left w:val="single" w:sz="10" w:space="0" w:color="0B5D43"/>
              <w:bottom w:val="single" w:sz="10" w:space="0" w:color="0B5D43"/>
              <w:right w:val="single" w:sz="10" w:space="0" w:color="0B5D43"/>
            </w:tcBorders>
            <w:shd w:val="clear" w:color="auto" w:fill="EAF4EF"/>
            <w:vAlign w:val="center"/>
          </w:tcPr>
          <w:p w14:paraId="5CD5C6AC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PREGUNTA 4 · CASO HIPOTÉTICO</w:t>
            </w:r>
          </w:p>
          <w:p w14:paraId="1033A4BB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El concejo municipal cita al secretario de Hacienda para que explique el comportamiento de la ejecución del gasto, las fuentes de financiación y las variaciones frente al presupuesto aprobado. La citación se realiza en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 xml:space="preserve"> ejercicio de las atribuciones de la corporación administrativa.</w:t>
            </w:r>
          </w:p>
          <w:p w14:paraId="28435128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>¿Qué modalidad de control se ejerce principalmente en este caso?</w:t>
            </w:r>
          </w:p>
        </w:tc>
      </w:tr>
    </w:tbl>
    <w:p w14:paraId="7003D2AB" w14:textId="77777777" w:rsidR="00971513" w:rsidRDefault="00971513">
      <w:pPr>
        <w:spacing w:before="20" w:after="20"/>
        <w:ind w:left="72" w:hanging="29"/>
        <w:rPr>
          <w:rFonts w:cs="Arial"/>
          <w:b/>
          <w:color w:val="0B5D43"/>
          <w:sz w:val="24"/>
          <w:szCs w:val="24"/>
        </w:rPr>
      </w:pPr>
    </w:p>
    <w:p w14:paraId="7AEA87D8" w14:textId="0F3E9C6E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A. </w:t>
      </w:r>
      <w:r w:rsidRPr="00971513">
        <w:rPr>
          <w:rFonts w:cs="Arial"/>
          <w:color w:val="222222"/>
          <w:sz w:val="24"/>
          <w:szCs w:val="24"/>
        </w:rPr>
        <w:t>Control político, porque el concejo requiere explicaciones a la administración sobre la gestión y ejecución del gasto.</w:t>
      </w:r>
    </w:p>
    <w:p w14:paraId="126A70CB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B. </w:t>
      </w:r>
      <w:r w:rsidRPr="00971513">
        <w:rPr>
          <w:rFonts w:cs="Arial"/>
          <w:color w:val="222222"/>
          <w:sz w:val="24"/>
          <w:szCs w:val="24"/>
        </w:rPr>
        <w:t>Control fiscal, porque la citación reemplaza la vigilancia de la contraloría territorial.</w:t>
      </w:r>
    </w:p>
    <w:p w14:paraId="1875D106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C. </w:t>
      </w:r>
      <w:r w:rsidRPr="00971513">
        <w:rPr>
          <w:rFonts w:cs="Arial"/>
          <w:color w:val="222222"/>
          <w:sz w:val="24"/>
          <w:szCs w:val="24"/>
        </w:rPr>
        <w:t>Control interno, porque el concejo forma parte del sistema de autocontrol de la alcaldía.</w:t>
      </w:r>
    </w:p>
    <w:p w14:paraId="7AE08C46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lastRenderedPageBreak/>
        <w:t xml:space="preserve">D. </w:t>
      </w:r>
      <w:r w:rsidRPr="00971513">
        <w:rPr>
          <w:rFonts w:cs="Arial"/>
          <w:color w:val="222222"/>
          <w:sz w:val="24"/>
          <w:szCs w:val="24"/>
        </w:rPr>
        <w:t xml:space="preserve">Control financiero de auditoría, porque toda citación implica </w:t>
      </w:r>
      <w:r w:rsidRPr="00971513">
        <w:rPr>
          <w:rFonts w:cs="Arial"/>
          <w:color w:val="222222"/>
          <w:sz w:val="24"/>
          <w:szCs w:val="24"/>
        </w:rPr>
        <w:t>dictamen sobre estados financieros.</w:t>
      </w:r>
    </w:p>
    <w:p w14:paraId="13724302" w14:textId="77777777" w:rsidR="00946419" w:rsidRPr="00971513" w:rsidRDefault="00946419">
      <w:pPr>
        <w:spacing w:after="40"/>
        <w:rPr>
          <w:rFonts w:cs="Arial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46419" w:rsidRPr="00971513" w14:paraId="698DE8CB" w14:textId="77777777">
        <w:trPr>
          <w:cantSplit/>
          <w:jc w:val="center"/>
        </w:trPr>
        <w:tc>
          <w:tcPr>
            <w:tcW w:w="10224" w:type="dxa"/>
            <w:tcBorders>
              <w:top w:val="single" w:sz="10" w:space="0" w:color="0B5D43"/>
              <w:left w:val="single" w:sz="10" w:space="0" w:color="0B5D43"/>
              <w:bottom w:val="single" w:sz="10" w:space="0" w:color="0B5D43"/>
              <w:right w:val="single" w:sz="10" w:space="0" w:color="0B5D43"/>
            </w:tcBorders>
            <w:shd w:val="clear" w:color="auto" w:fill="EAF4EF"/>
            <w:vAlign w:val="center"/>
          </w:tcPr>
          <w:p w14:paraId="218154A8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PREGUNTA 5 · CASO HIPOTÉTICO</w:t>
            </w:r>
          </w:p>
          <w:p w14:paraId="79997BF5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Una entidad pública carece de procedimientos documentados de autocontrol, no ha definido mecanismos de seguimiento para sus procesos y considera que basta con las auditorías externas que eve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ntualmente practiquen los órganos de control.</w:t>
            </w:r>
          </w:p>
          <w:p w14:paraId="1035586C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>¿Cuál es la principal deficiencia institucional frente al marco desarrollado en el módulo?</w:t>
            </w:r>
          </w:p>
        </w:tc>
      </w:tr>
    </w:tbl>
    <w:p w14:paraId="243F22AE" w14:textId="77777777" w:rsidR="00971513" w:rsidRDefault="00971513">
      <w:pPr>
        <w:spacing w:before="20" w:after="20"/>
        <w:ind w:left="72" w:hanging="29"/>
        <w:rPr>
          <w:rFonts w:cs="Arial"/>
          <w:b/>
          <w:color w:val="0B5D43"/>
          <w:sz w:val="24"/>
          <w:szCs w:val="24"/>
        </w:rPr>
      </w:pPr>
    </w:p>
    <w:p w14:paraId="0428B17B" w14:textId="5DB5D87D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A. </w:t>
      </w:r>
      <w:r w:rsidRPr="00971513">
        <w:rPr>
          <w:rFonts w:cs="Arial"/>
          <w:color w:val="222222"/>
          <w:sz w:val="24"/>
          <w:szCs w:val="24"/>
        </w:rPr>
        <w:t>La ausencia de una contraloría propia dentro de la entidad.</w:t>
      </w:r>
    </w:p>
    <w:p w14:paraId="282D6738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B. </w:t>
      </w:r>
      <w:r w:rsidRPr="00971513">
        <w:rPr>
          <w:rFonts w:cs="Arial"/>
          <w:color w:val="222222"/>
          <w:sz w:val="24"/>
          <w:szCs w:val="24"/>
        </w:rPr>
        <w:t>La falta de una auditoría financiera anual contratad</w:t>
      </w:r>
      <w:r w:rsidRPr="00971513">
        <w:rPr>
          <w:rFonts w:cs="Arial"/>
          <w:color w:val="222222"/>
          <w:sz w:val="24"/>
          <w:szCs w:val="24"/>
        </w:rPr>
        <w:t>a con una firma privada.</w:t>
      </w:r>
    </w:p>
    <w:p w14:paraId="70DD9746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C. </w:t>
      </w:r>
      <w:r w:rsidRPr="00971513">
        <w:rPr>
          <w:rFonts w:cs="Arial"/>
          <w:color w:val="222222"/>
          <w:sz w:val="24"/>
          <w:szCs w:val="24"/>
        </w:rPr>
        <w:t>El incumplimiento del deber de diseñar y aplicar un sistema de control interno con métodos y procedimientos propios.</w:t>
      </w:r>
    </w:p>
    <w:p w14:paraId="000140A9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D. </w:t>
      </w:r>
      <w:r w:rsidRPr="00971513">
        <w:rPr>
          <w:rFonts w:cs="Arial"/>
          <w:color w:val="222222"/>
          <w:sz w:val="24"/>
          <w:szCs w:val="24"/>
        </w:rPr>
        <w:t>La inexistencia de un mecanismo de control político ejercido directamente por la entidad.</w:t>
      </w:r>
    </w:p>
    <w:p w14:paraId="4B1A39FB" w14:textId="77777777" w:rsidR="00946419" w:rsidRPr="00971513" w:rsidRDefault="00946419">
      <w:pPr>
        <w:spacing w:after="40"/>
        <w:rPr>
          <w:rFonts w:cs="Arial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46419" w:rsidRPr="00971513" w14:paraId="737DB60F" w14:textId="77777777">
        <w:trPr>
          <w:cantSplit/>
          <w:jc w:val="center"/>
        </w:trPr>
        <w:tc>
          <w:tcPr>
            <w:tcW w:w="10224" w:type="dxa"/>
            <w:tcBorders>
              <w:top w:val="single" w:sz="10" w:space="0" w:color="0B5D43"/>
              <w:left w:val="single" w:sz="10" w:space="0" w:color="0B5D43"/>
              <w:bottom w:val="single" w:sz="10" w:space="0" w:color="0B5D43"/>
              <w:right w:val="single" w:sz="10" w:space="0" w:color="0B5D43"/>
            </w:tcBorders>
            <w:shd w:val="clear" w:color="auto" w:fill="EAF4EF"/>
            <w:vAlign w:val="center"/>
          </w:tcPr>
          <w:p w14:paraId="482F40EE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PREGUNTA 6 · CASO</w:t>
            </w: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 xml:space="preserve"> HIPOTÉTICO</w:t>
            </w:r>
          </w:p>
          <w:p w14:paraId="57DABDA1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La oficina de planeación de una entidad diseña indicadores para comparar metas programadas con resultados obtenidos, medir desempeño y suministrar información oportuna a la dirección sobre el cumplimiento de programas y proyectos.</w:t>
            </w:r>
          </w:p>
          <w:p w14:paraId="7DA9BB27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>¿Qué componen</w:t>
            </w:r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>te de control y seguimiento se fortalece principalmente?</w:t>
            </w:r>
          </w:p>
        </w:tc>
      </w:tr>
    </w:tbl>
    <w:p w14:paraId="2D8880DB" w14:textId="77777777" w:rsidR="00971513" w:rsidRDefault="00971513">
      <w:pPr>
        <w:spacing w:before="20" w:after="20"/>
        <w:ind w:left="72" w:hanging="29"/>
        <w:rPr>
          <w:rFonts w:cs="Arial"/>
          <w:b/>
          <w:color w:val="0B5D43"/>
          <w:sz w:val="24"/>
          <w:szCs w:val="24"/>
        </w:rPr>
      </w:pPr>
    </w:p>
    <w:p w14:paraId="38BE570F" w14:textId="25223CF0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A. </w:t>
      </w:r>
      <w:r w:rsidRPr="00971513">
        <w:rPr>
          <w:rFonts w:cs="Arial"/>
          <w:color w:val="222222"/>
          <w:sz w:val="24"/>
          <w:szCs w:val="24"/>
        </w:rPr>
        <w:t>La revisión de cuentas como examen exclusivo de soportes contables.</w:t>
      </w:r>
    </w:p>
    <w:p w14:paraId="791EACCB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B. </w:t>
      </w:r>
      <w:r w:rsidRPr="00971513">
        <w:rPr>
          <w:rFonts w:cs="Arial"/>
          <w:color w:val="222222"/>
          <w:sz w:val="24"/>
          <w:szCs w:val="24"/>
        </w:rPr>
        <w:t>La evaluación de gestión y resultados de la administración pública.</w:t>
      </w:r>
    </w:p>
    <w:p w14:paraId="28D7D97D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C. </w:t>
      </w:r>
      <w:r w:rsidRPr="00971513">
        <w:rPr>
          <w:rFonts w:cs="Arial"/>
          <w:color w:val="222222"/>
          <w:sz w:val="24"/>
          <w:szCs w:val="24"/>
        </w:rPr>
        <w:t xml:space="preserve">La responsabilidad fiscal, porque todo </w:t>
      </w:r>
      <w:r w:rsidRPr="00971513">
        <w:rPr>
          <w:rFonts w:cs="Arial"/>
          <w:color w:val="222222"/>
          <w:sz w:val="24"/>
          <w:szCs w:val="24"/>
        </w:rPr>
        <w:t>indicador determina automáticamente un daño patrimonial.</w:t>
      </w:r>
    </w:p>
    <w:p w14:paraId="7BBF600E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D. </w:t>
      </w:r>
      <w:r w:rsidRPr="00971513">
        <w:rPr>
          <w:rFonts w:cs="Arial"/>
          <w:color w:val="222222"/>
          <w:sz w:val="24"/>
          <w:szCs w:val="24"/>
        </w:rPr>
        <w:t>La moción de censura, porque los indicadores sustituyen los mecanismos de control político.</w:t>
      </w:r>
    </w:p>
    <w:p w14:paraId="77D4FC82" w14:textId="77777777" w:rsidR="00946419" w:rsidRPr="00971513" w:rsidRDefault="00946419">
      <w:pPr>
        <w:spacing w:after="40"/>
        <w:rPr>
          <w:rFonts w:cs="Arial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46419" w:rsidRPr="00971513" w14:paraId="75A3D146" w14:textId="77777777">
        <w:trPr>
          <w:cantSplit/>
          <w:jc w:val="center"/>
        </w:trPr>
        <w:tc>
          <w:tcPr>
            <w:tcW w:w="10224" w:type="dxa"/>
            <w:tcBorders>
              <w:top w:val="single" w:sz="10" w:space="0" w:color="0B5D43"/>
              <w:left w:val="single" w:sz="10" w:space="0" w:color="0B5D43"/>
              <w:bottom w:val="single" w:sz="10" w:space="0" w:color="0B5D43"/>
              <w:right w:val="single" w:sz="10" w:space="0" w:color="0B5D43"/>
            </w:tcBorders>
            <w:shd w:val="clear" w:color="auto" w:fill="EAF4EF"/>
            <w:vAlign w:val="center"/>
          </w:tcPr>
          <w:p w14:paraId="40E7F825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PREGUNTA 7 · CASO HIPOTÉTICO</w:t>
            </w:r>
          </w:p>
          <w:p w14:paraId="1E277318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 xml:space="preserve">En una alcaldía, la Secretaría de Hacienda realiza seguimiento a la 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ejecución financiera del presupuesto, mientras la Secretaría de Planeación verifica el avance de planes, programas y proyectos de inversión. Ambas dependencias intercambian información para analizar resultados.</w:t>
            </w:r>
          </w:p>
          <w:p w14:paraId="6A77166A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>¿Cuál interpretación describe mejor esta actu</w:t>
            </w:r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>ación?</w:t>
            </w:r>
          </w:p>
        </w:tc>
      </w:tr>
    </w:tbl>
    <w:p w14:paraId="45D37B7B" w14:textId="77777777" w:rsidR="00971513" w:rsidRDefault="00971513">
      <w:pPr>
        <w:spacing w:before="20" w:after="20"/>
        <w:ind w:left="72" w:hanging="29"/>
        <w:rPr>
          <w:rFonts w:cs="Arial"/>
          <w:b/>
          <w:color w:val="0B5D43"/>
          <w:sz w:val="24"/>
          <w:szCs w:val="24"/>
        </w:rPr>
      </w:pPr>
    </w:p>
    <w:p w14:paraId="28A0526F" w14:textId="68C417D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A. </w:t>
      </w:r>
      <w:r w:rsidRPr="00971513">
        <w:rPr>
          <w:rFonts w:cs="Arial"/>
          <w:color w:val="222222"/>
          <w:sz w:val="24"/>
          <w:szCs w:val="24"/>
        </w:rPr>
        <w:t>Corresponde al seguimiento financiero del presupuesto y al seguimiento de la inversión, funciones que deben articularse de acuerdo con sus competencias.</w:t>
      </w:r>
    </w:p>
    <w:p w14:paraId="2987244C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B. </w:t>
      </w:r>
      <w:r w:rsidRPr="00971513">
        <w:rPr>
          <w:rFonts w:cs="Arial"/>
          <w:color w:val="222222"/>
          <w:sz w:val="24"/>
          <w:szCs w:val="24"/>
        </w:rPr>
        <w:t>Constituye exclusivamente control fiscal externo y debe ser asumido por la contraloría.</w:t>
      </w:r>
    </w:p>
    <w:p w14:paraId="40884563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>C</w:t>
      </w:r>
      <w:r w:rsidRPr="00971513">
        <w:rPr>
          <w:rFonts w:cs="Arial"/>
          <w:b/>
          <w:color w:val="0B5D43"/>
          <w:sz w:val="24"/>
          <w:szCs w:val="24"/>
        </w:rPr>
        <w:t xml:space="preserve">. </w:t>
      </w:r>
      <w:r w:rsidRPr="00971513">
        <w:rPr>
          <w:rFonts w:cs="Arial"/>
          <w:color w:val="222222"/>
          <w:sz w:val="24"/>
          <w:szCs w:val="24"/>
        </w:rPr>
        <w:t>Es una actuación disciplinaria porque evalúa el desempeño de los responsables del gasto.</w:t>
      </w:r>
    </w:p>
    <w:p w14:paraId="46DAAF45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D. </w:t>
      </w:r>
      <w:r w:rsidRPr="00971513">
        <w:rPr>
          <w:rFonts w:cs="Arial"/>
          <w:color w:val="222222"/>
          <w:sz w:val="24"/>
          <w:szCs w:val="24"/>
        </w:rPr>
        <w:t>Equivale al control político del concejo, aunque lo ejecuten dependencias de la administración.</w:t>
      </w:r>
    </w:p>
    <w:p w14:paraId="4E82CEC5" w14:textId="77777777" w:rsidR="00946419" w:rsidRPr="00971513" w:rsidRDefault="00946419">
      <w:pPr>
        <w:spacing w:after="40"/>
        <w:rPr>
          <w:rFonts w:cs="Arial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46419" w:rsidRPr="00971513" w14:paraId="4802939C" w14:textId="77777777">
        <w:trPr>
          <w:cantSplit/>
          <w:jc w:val="center"/>
        </w:trPr>
        <w:tc>
          <w:tcPr>
            <w:tcW w:w="10224" w:type="dxa"/>
            <w:tcBorders>
              <w:top w:val="single" w:sz="10" w:space="0" w:color="0B5D43"/>
              <w:left w:val="single" w:sz="10" w:space="0" w:color="0B5D43"/>
              <w:bottom w:val="single" w:sz="10" w:space="0" w:color="0B5D43"/>
              <w:right w:val="single" w:sz="10" w:space="0" w:color="0B5D43"/>
            </w:tcBorders>
            <w:shd w:val="clear" w:color="auto" w:fill="EAF4EF"/>
            <w:vAlign w:val="center"/>
          </w:tcPr>
          <w:p w14:paraId="0B433A34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lastRenderedPageBreak/>
              <w:t>PREGUNTA 8 · CASO HIPOTÉTICO</w:t>
            </w:r>
          </w:p>
          <w:p w14:paraId="2D1CA02D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Un ordenador del gasto solicita susc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ribir un compromiso contractual pese a que el rubro no cuenta con apropiación disponible ni se ha expedido el Certificado de Disponibilidad Presupuestal. El área financiera advierte el riesgo de asumir una obligación no autorizada presupuestalmente.</w:t>
            </w:r>
          </w:p>
          <w:p w14:paraId="3E39BC88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 xml:space="preserve">¿Cuál </w:t>
            </w:r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>actuación es la más adecuada frente a la solicitud?</w:t>
            </w:r>
          </w:p>
        </w:tc>
      </w:tr>
    </w:tbl>
    <w:p w14:paraId="542DFFAB" w14:textId="77777777" w:rsidR="00971513" w:rsidRDefault="00971513">
      <w:pPr>
        <w:spacing w:before="20" w:after="20"/>
        <w:ind w:left="72" w:hanging="29"/>
        <w:rPr>
          <w:rFonts w:cs="Arial"/>
          <w:b/>
          <w:color w:val="0B5D43"/>
          <w:sz w:val="24"/>
          <w:szCs w:val="24"/>
        </w:rPr>
      </w:pPr>
    </w:p>
    <w:p w14:paraId="25E59839" w14:textId="5D34F87F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A. </w:t>
      </w:r>
      <w:r w:rsidRPr="00971513">
        <w:rPr>
          <w:rFonts w:cs="Arial"/>
          <w:color w:val="222222"/>
          <w:sz w:val="24"/>
          <w:szCs w:val="24"/>
        </w:rPr>
        <w:t>Continuar con el compromiso y obtener el CDP después de recibir el bien o servicio.</w:t>
      </w:r>
    </w:p>
    <w:p w14:paraId="740D804C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B. </w:t>
      </w:r>
      <w:r w:rsidRPr="00971513">
        <w:rPr>
          <w:rFonts w:cs="Arial"/>
          <w:color w:val="222222"/>
          <w:sz w:val="24"/>
          <w:szCs w:val="24"/>
        </w:rPr>
        <w:t>Registrar la obligación contra cualquier rubro con saldo, aunque su objeto sea diferente.</w:t>
      </w:r>
    </w:p>
    <w:p w14:paraId="44FFC949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C. </w:t>
      </w:r>
      <w:r w:rsidRPr="00971513">
        <w:rPr>
          <w:rFonts w:cs="Arial"/>
          <w:color w:val="222222"/>
          <w:sz w:val="24"/>
          <w:szCs w:val="24"/>
        </w:rPr>
        <w:t xml:space="preserve">Autorizar el </w:t>
      </w:r>
      <w:r w:rsidRPr="00971513">
        <w:rPr>
          <w:rFonts w:cs="Arial"/>
          <w:color w:val="222222"/>
          <w:sz w:val="24"/>
          <w:szCs w:val="24"/>
        </w:rPr>
        <w:t>compromiso si existe liquidez en tesorería, porque la disponibilidad de caja reemplaza la apropiación.</w:t>
      </w:r>
    </w:p>
    <w:p w14:paraId="23D9E218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D. </w:t>
      </w:r>
      <w:r w:rsidRPr="00971513">
        <w:rPr>
          <w:rFonts w:cs="Arial"/>
          <w:color w:val="222222"/>
          <w:sz w:val="24"/>
          <w:szCs w:val="24"/>
        </w:rPr>
        <w:t xml:space="preserve">Abstenerse de asumir la obligación y advertir que comprometer recursos sin autorización presupuestal puede generar responsabilidades para los sujetos </w:t>
      </w:r>
      <w:r w:rsidRPr="00971513">
        <w:rPr>
          <w:rFonts w:cs="Arial"/>
          <w:color w:val="222222"/>
          <w:sz w:val="24"/>
          <w:szCs w:val="24"/>
        </w:rPr>
        <w:t>que intervienen.</w:t>
      </w:r>
    </w:p>
    <w:p w14:paraId="78C36DC2" w14:textId="77777777" w:rsidR="00946419" w:rsidRPr="00971513" w:rsidRDefault="00946419">
      <w:pPr>
        <w:spacing w:after="40"/>
        <w:rPr>
          <w:rFonts w:cs="Arial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46419" w:rsidRPr="00971513" w14:paraId="70F71D8C" w14:textId="77777777">
        <w:trPr>
          <w:cantSplit/>
          <w:jc w:val="center"/>
        </w:trPr>
        <w:tc>
          <w:tcPr>
            <w:tcW w:w="10224" w:type="dxa"/>
            <w:tcBorders>
              <w:top w:val="single" w:sz="10" w:space="0" w:color="0B5D43"/>
              <w:left w:val="single" w:sz="10" w:space="0" w:color="0B5D43"/>
              <w:bottom w:val="single" w:sz="10" w:space="0" w:color="0B5D43"/>
              <w:right w:val="single" w:sz="10" w:space="0" w:color="0B5D43"/>
            </w:tcBorders>
            <w:shd w:val="clear" w:color="auto" w:fill="EAF4EF"/>
            <w:vAlign w:val="center"/>
          </w:tcPr>
          <w:p w14:paraId="7C56B0C5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PREGUNTA 9 · CASO HIPOTÉTICO</w:t>
            </w:r>
          </w:p>
          <w:p w14:paraId="24C87B2A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El jefe de presupuesto decide no remitir los informes mensuales de ejecución de ingresos y gastos porque considera que los libros internos contienen información suficiente y que el envío externo es solo una bu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ena práctica administrativa.</w:t>
            </w:r>
          </w:p>
          <w:p w14:paraId="3A29CF01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>¿Qué orientación debe recibir?</w:t>
            </w:r>
          </w:p>
        </w:tc>
      </w:tr>
    </w:tbl>
    <w:p w14:paraId="7FE8D3DA" w14:textId="77777777" w:rsidR="00971513" w:rsidRDefault="00971513">
      <w:pPr>
        <w:spacing w:before="20" w:after="20"/>
        <w:ind w:left="72" w:hanging="29"/>
        <w:rPr>
          <w:rFonts w:cs="Arial"/>
          <w:b/>
          <w:color w:val="0B5D43"/>
          <w:sz w:val="24"/>
          <w:szCs w:val="24"/>
        </w:rPr>
      </w:pPr>
    </w:p>
    <w:p w14:paraId="533568F0" w14:textId="03B633AB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A. </w:t>
      </w:r>
      <w:r w:rsidRPr="00971513">
        <w:rPr>
          <w:rFonts w:cs="Arial"/>
          <w:color w:val="222222"/>
          <w:sz w:val="24"/>
          <w:szCs w:val="24"/>
        </w:rPr>
        <w:t>Mantener la decisión, porque los informes son opcionales cuando existen libros presupuestales actualizados.</w:t>
      </w:r>
    </w:p>
    <w:p w14:paraId="43079A60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B. </w:t>
      </w:r>
      <w:r w:rsidRPr="00971513">
        <w:rPr>
          <w:rFonts w:cs="Arial"/>
          <w:color w:val="222222"/>
          <w:sz w:val="24"/>
          <w:szCs w:val="24"/>
        </w:rPr>
        <w:t>Remitir oportunamente los informes de ejecución exigidos, pues hacen parte del si</w:t>
      </w:r>
      <w:r w:rsidRPr="00971513">
        <w:rPr>
          <w:rFonts w:cs="Arial"/>
          <w:color w:val="222222"/>
          <w:sz w:val="24"/>
          <w:szCs w:val="24"/>
        </w:rPr>
        <w:t>stema de información y seguimiento presupuestal previsto en el material.</w:t>
      </w:r>
    </w:p>
    <w:p w14:paraId="15BA30E4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C. </w:t>
      </w:r>
      <w:r w:rsidRPr="00971513">
        <w:rPr>
          <w:rFonts w:cs="Arial"/>
          <w:color w:val="222222"/>
          <w:sz w:val="24"/>
          <w:szCs w:val="24"/>
        </w:rPr>
        <w:t>Enviar únicamente el informe de gastos y omitir el de ingresos para evitar duplicidad de información.</w:t>
      </w:r>
    </w:p>
    <w:p w14:paraId="22F25067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D. </w:t>
      </w:r>
      <w:r w:rsidRPr="00971513">
        <w:rPr>
          <w:rFonts w:cs="Arial"/>
          <w:color w:val="222222"/>
          <w:sz w:val="24"/>
          <w:szCs w:val="24"/>
        </w:rPr>
        <w:t>Sustituir los informes por estados financieros anuales, porque ambos docume</w:t>
      </w:r>
      <w:r w:rsidRPr="00971513">
        <w:rPr>
          <w:rFonts w:cs="Arial"/>
          <w:color w:val="222222"/>
          <w:sz w:val="24"/>
          <w:szCs w:val="24"/>
        </w:rPr>
        <w:t>ntos tienen el mismo objeto presupuestal.</w:t>
      </w:r>
    </w:p>
    <w:p w14:paraId="45035463" w14:textId="77777777" w:rsidR="00946419" w:rsidRPr="00971513" w:rsidRDefault="00946419">
      <w:pPr>
        <w:spacing w:after="40"/>
        <w:rPr>
          <w:rFonts w:cs="Arial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46419" w:rsidRPr="00971513" w14:paraId="1B630C99" w14:textId="77777777">
        <w:trPr>
          <w:cantSplit/>
          <w:jc w:val="center"/>
        </w:trPr>
        <w:tc>
          <w:tcPr>
            <w:tcW w:w="10224" w:type="dxa"/>
            <w:tcBorders>
              <w:top w:val="single" w:sz="10" w:space="0" w:color="0B5D43"/>
              <w:left w:val="single" w:sz="10" w:space="0" w:color="0B5D43"/>
              <w:bottom w:val="single" w:sz="10" w:space="0" w:color="0B5D43"/>
              <w:right w:val="single" w:sz="10" w:space="0" w:color="0B5D43"/>
            </w:tcBorders>
            <w:shd w:val="clear" w:color="auto" w:fill="EAF4EF"/>
            <w:vAlign w:val="center"/>
          </w:tcPr>
          <w:p w14:paraId="2BC9330E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PREGUNTA 10 · CASO HIPOTÉTICO</w:t>
            </w:r>
          </w:p>
          <w:p w14:paraId="60B878CD" w14:textId="77777777" w:rsidR="00946419" w:rsidRPr="00971513" w:rsidRDefault="008D57A3">
            <w:pPr>
              <w:spacing w:after="4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Un grupo de ciudadanos identifica posibles retrasos e inconsistencias en la ejecución de un contrato financiado con recursos públicos. Desea organizarse para vigilar el desarrollo del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 xml:space="preserve"> contrato, solicitar información y hacer seguimiento a la gestión de la entidad sin asumir funciones de los órganos de control.</w:t>
            </w:r>
          </w:p>
          <w:p w14:paraId="1FFF2CB6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 xml:space="preserve">¿Qué mecanismo de participación se ajusta mejor </w:t>
            </w:r>
            <w:proofErr w:type="gramStart"/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>a</w:t>
            </w:r>
            <w:proofErr w:type="gramEnd"/>
            <w:r w:rsidRPr="00971513">
              <w:rPr>
                <w:rFonts w:cs="Arial"/>
                <w:b/>
                <w:color w:val="074632"/>
                <w:sz w:val="24"/>
                <w:szCs w:val="24"/>
              </w:rPr>
              <w:t xml:space="preserve"> ese propósito?</w:t>
            </w:r>
          </w:p>
        </w:tc>
      </w:tr>
    </w:tbl>
    <w:p w14:paraId="7D70E9D7" w14:textId="77777777" w:rsidR="00971513" w:rsidRDefault="00971513">
      <w:pPr>
        <w:spacing w:before="20" w:after="20"/>
        <w:ind w:left="72" w:hanging="29"/>
        <w:rPr>
          <w:rFonts w:cs="Arial"/>
          <w:b/>
          <w:color w:val="0B5D43"/>
          <w:sz w:val="24"/>
          <w:szCs w:val="24"/>
        </w:rPr>
      </w:pPr>
    </w:p>
    <w:p w14:paraId="41E71230" w14:textId="22143CE5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A. </w:t>
      </w:r>
      <w:r w:rsidRPr="00971513">
        <w:rPr>
          <w:rFonts w:cs="Arial"/>
          <w:color w:val="222222"/>
          <w:sz w:val="24"/>
          <w:szCs w:val="24"/>
        </w:rPr>
        <w:t>Crear una oficina de control interno ciudadana con capacida</w:t>
      </w:r>
      <w:r w:rsidRPr="00971513">
        <w:rPr>
          <w:rFonts w:cs="Arial"/>
          <w:color w:val="222222"/>
          <w:sz w:val="24"/>
          <w:szCs w:val="24"/>
        </w:rPr>
        <w:t>d para impartir órdenes a la administración.</w:t>
      </w:r>
    </w:p>
    <w:p w14:paraId="58B195A6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B. </w:t>
      </w:r>
      <w:r w:rsidRPr="00971513">
        <w:rPr>
          <w:rFonts w:cs="Arial"/>
          <w:color w:val="222222"/>
          <w:sz w:val="24"/>
          <w:szCs w:val="24"/>
        </w:rPr>
        <w:t>Constituir una contraloría especial del contrato mediante decisión de los ciudadanos interesados.</w:t>
      </w:r>
    </w:p>
    <w:p w14:paraId="2FC6F5D2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C. </w:t>
      </w:r>
      <w:r w:rsidRPr="00971513">
        <w:rPr>
          <w:rFonts w:cs="Arial"/>
          <w:color w:val="222222"/>
          <w:sz w:val="24"/>
          <w:szCs w:val="24"/>
        </w:rPr>
        <w:t xml:space="preserve">Organizar una veeduría ciudadana para ejercer vigilancia sobre la gestión pública relacionada con los </w:t>
      </w:r>
      <w:r w:rsidRPr="00971513">
        <w:rPr>
          <w:rFonts w:cs="Arial"/>
          <w:color w:val="222222"/>
          <w:sz w:val="24"/>
          <w:szCs w:val="24"/>
        </w:rPr>
        <w:t>recursos y el contrato.</w:t>
      </w:r>
    </w:p>
    <w:p w14:paraId="7ED13E12" w14:textId="77777777" w:rsidR="00946419" w:rsidRPr="00971513" w:rsidRDefault="008D57A3">
      <w:pPr>
        <w:spacing w:before="20" w:after="20"/>
        <w:ind w:left="72" w:hanging="29"/>
        <w:rPr>
          <w:rFonts w:cs="Arial"/>
          <w:sz w:val="24"/>
          <w:szCs w:val="24"/>
        </w:rPr>
      </w:pPr>
      <w:r w:rsidRPr="00971513">
        <w:rPr>
          <w:rFonts w:cs="Arial"/>
          <w:b/>
          <w:color w:val="0B5D43"/>
          <w:sz w:val="24"/>
          <w:szCs w:val="24"/>
        </w:rPr>
        <w:t xml:space="preserve">D. </w:t>
      </w:r>
      <w:r w:rsidRPr="00971513">
        <w:rPr>
          <w:rFonts w:cs="Arial"/>
          <w:color w:val="222222"/>
          <w:sz w:val="24"/>
          <w:szCs w:val="24"/>
        </w:rPr>
        <w:t>Solicitar al concejo que delegue en los ciudadanos su función de control político sobre el gasto.</w:t>
      </w:r>
    </w:p>
    <w:p w14:paraId="3C472F00" w14:textId="77777777" w:rsidR="00946419" w:rsidRPr="00971513" w:rsidRDefault="00946419">
      <w:pPr>
        <w:spacing w:after="40"/>
        <w:rPr>
          <w:rFonts w:cs="Arial"/>
          <w:sz w:val="24"/>
          <w:szCs w:val="24"/>
        </w:rPr>
      </w:pPr>
    </w:p>
    <w:p w14:paraId="4AA77A23" w14:textId="19742E11" w:rsidR="00946419" w:rsidRPr="004D6432" w:rsidRDefault="008D57A3">
      <w:pPr>
        <w:keepNext/>
        <w:keepLines/>
        <w:spacing w:before="120" w:after="120"/>
        <w:rPr>
          <w:rFonts w:cs="Arial"/>
          <w:sz w:val="24"/>
          <w:szCs w:val="24"/>
          <w:lang w:val="es-CO"/>
        </w:rPr>
      </w:pPr>
      <w:r w:rsidRPr="004D6432">
        <w:rPr>
          <w:rFonts w:cs="Arial"/>
          <w:b/>
          <w:color w:val="0B5D43"/>
          <w:sz w:val="24"/>
          <w:szCs w:val="24"/>
          <w:lang w:val="es-CO"/>
        </w:rPr>
        <w:lastRenderedPageBreak/>
        <w:t>Clave de respuestas y correspondencia temática</w:t>
      </w:r>
      <w:r w:rsidR="004D6432">
        <w:rPr>
          <w:rFonts w:cs="Arial"/>
          <w:b/>
          <w:color w:val="0B5D43"/>
          <w:sz w:val="24"/>
          <w:szCs w:val="24"/>
          <w:lang w:val="es-CO"/>
        </w:rPr>
        <w:t>.</w:t>
      </w:r>
    </w:p>
    <w:p w14:paraId="6FEDD6EF" w14:textId="77777777" w:rsidR="00971513" w:rsidRPr="00D5249E" w:rsidRDefault="00971513" w:rsidP="00971513">
      <w:pPr>
        <w:spacing w:after="160" w:line="259" w:lineRule="auto"/>
        <w:jc w:val="both"/>
        <w:rPr>
          <w:rFonts w:cs="Arial"/>
          <w:b/>
          <w:bCs/>
          <w:iCs/>
          <w:sz w:val="24"/>
          <w:szCs w:val="24"/>
          <w:lang w:val="es-CO"/>
        </w:rPr>
      </w:pPr>
      <w:r w:rsidRPr="00D5249E">
        <w:rPr>
          <w:rFonts w:cs="Arial"/>
          <w:b/>
          <w:bCs/>
          <w:iCs/>
          <w:color w:val="00B050"/>
          <w:sz w:val="24"/>
          <w:szCs w:val="24"/>
          <w:lang w:val="es-CO"/>
        </w:rPr>
        <w:t>La clave se presenta separada de los ítems para permitir la aplicación del instrumento sin exponer las respuestas durante la resolución. Múltiples intentos y se toma el ultimo puntaje, cada vez que no acierta el estudiante, debe salir la retroalimentación porque no es correcta, y cuando marca la acertada debe salir el comentario el fundamento porque es correcta</w:t>
      </w:r>
      <w:r w:rsidRPr="00D5249E">
        <w:rPr>
          <w:rFonts w:cs="Arial"/>
          <w:b/>
          <w:bCs/>
          <w:iCs/>
          <w:color w:val="5B5B5B"/>
          <w:sz w:val="24"/>
          <w:szCs w:val="24"/>
          <w:lang w:val="es-CO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57"/>
        <w:gridCol w:w="1134"/>
        <w:gridCol w:w="3402"/>
        <w:gridCol w:w="4554"/>
      </w:tblGrid>
      <w:tr w:rsidR="00946419" w:rsidRPr="00971513" w14:paraId="16A6BF20" w14:textId="77777777" w:rsidTr="00971513">
        <w:trPr>
          <w:cantSplit/>
          <w:tblHeader/>
          <w:jc w:val="center"/>
        </w:trPr>
        <w:tc>
          <w:tcPr>
            <w:tcW w:w="1257" w:type="dxa"/>
            <w:tcBorders>
              <w:top w:val="single" w:sz="6" w:space="0" w:color="0B5D43"/>
              <w:left w:val="single" w:sz="6" w:space="0" w:color="0B5D43"/>
              <w:bottom w:val="single" w:sz="6" w:space="0" w:color="0B5D43"/>
              <w:right w:val="single" w:sz="6" w:space="0" w:color="0B5D43"/>
            </w:tcBorders>
            <w:shd w:val="clear" w:color="auto" w:fill="0B5D43"/>
          </w:tcPr>
          <w:p w14:paraId="6AAD060C" w14:textId="77777777" w:rsidR="00946419" w:rsidRPr="00971513" w:rsidRDefault="008D57A3">
            <w:pPr>
              <w:jc w:val="center"/>
              <w:rPr>
                <w:rFonts w:cs="Arial"/>
                <w:sz w:val="24"/>
                <w:szCs w:val="24"/>
                <w:lang w:val="es-CO"/>
              </w:rPr>
            </w:pPr>
            <w:r w:rsidRPr="00971513">
              <w:rPr>
                <w:rFonts w:cs="Arial"/>
                <w:b/>
                <w:color w:val="FFFFFF"/>
                <w:sz w:val="24"/>
                <w:szCs w:val="24"/>
                <w:lang w:val="es-CO"/>
              </w:rPr>
              <w:t>Pregunta</w:t>
            </w:r>
          </w:p>
        </w:tc>
        <w:tc>
          <w:tcPr>
            <w:tcW w:w="1134" w:type="dxa"/>
            <w:tcBorders>
              <w:top w:val="single" w:sz="6" w:space="0" w:color="0B5D43"/>
              <w:left w:val="single" w:sz="6" w:space="0" w:color="0B5D43"/>
              <w:bottom w:val="single" w:sz="6" w:space="0" w:color="0B5D43"/>
              <w:right w:val="single" w:sz="6" w:space="0" w:color="0B5D43"/>
            </w:tcBorders>
            <w:shd w:val="clear" w:color="auto" w:fill="0B5D43"/>
          </w:tcPr>
          <w:p w14:paraId="0ACDE270" w14:textId="77777777" w:rsidR="00946419" w:rsidRPr="00971513" w:rsidRDefault="008D57A3">
            <w:pPr>
              <w:jc w:val="center"/>
              <w:rPr>
                <w:rFonts w:cs="Arial"/>
                <w:sz w:val="24"/>
                <w:szCs w:val="24"/>
                <w:lang w:val="es-CO"/>
              </w:rPr>
            </w:pPr>
            <w:r w:rsidRPr="00971513">
              <w:rPr>
                <w:rFonts w:cs="Arial"/>
                <w:b/>
                <w:color w:val="FFFFFF"/>
                <w:sz w:val="24"/>
                <w:szCs w:val="24"/>
                <w:lang w:val="es-CO"/>
              </w:rPr>
              <w:t>Clave</w:t>
            </w:r>
          </w:p>
        </w:tc>
        <w:tc>
          <w:tcPr>
            <w:tcW w:w="3402" w:type="dxa"/>
            <w:tcBorders>
              <w:top w:val="single" w:sz="6" w:space="0" w:color="0B5D43"/>
              <w:left w:val="single" w:sz="6" w:space="0" w:color="0B5D43"/>
              <w:bottom w:val="single" w:sz="6" w:space="0" w:color="0B5D43"/>
              <w:right w:val="single" w:sz="6" w:space="0" w:color="0B5D43"/>
            </w:tcBorders>
            <w:shd w:val="clear" w:color="auto" w:fill="0B5D43"/>
          </w:tcPr>
          <w:p w14:paraId="1774A1A1" w14:textId="77777777" w:rsidR="00946419" w:rsidRPr="00971513" w:rsidRDefault="008D57A3">
            <w:pPr>
              <w:jc w:val="center"/>
              <w:rPr>
                <w:rFonts w:cs="Arial"/>
                <w:sz w:val="24"/>
                <w:szCs w:val="24"/>
                <w:lang w:val="es-CO"/>
              </w:rPr>
            </w:pPr>
            <w:r w:rsidRPr="00971513">
              <w:rPr>
                <w:rFonts w:cs="Arial"/>
                <w:b/>
                <w:color w:val="FFFFFF"/>
                <w:sz w:val="24"/>
                <w:szCs w:val="24"/>
                <w:lang w:val="es-CO"/>
              </w:rPr>
              <w:t>Tema evaluado</w:t>
            </w:r>
          </w:p>
        </w:tc>
        <w:tc>
          <w:tcPr>
            <w:tcW w:w="4554" w:type="dxa"/>
            <w:tcBorders>
              <w:top w:val="single" w:sz="6" w:space="0" w:color="0B5D43"/>
              <w:left w:val="single" w:sz="6" w:space="0" w:color="0B5D43"/>
              <w:bottom w:val="single" w:sz="6" w:space="0" w:color="0B5D43"/>
              <w:right w:val="single" w:sz="6" w:space="0" w:color="0B5D43"/>
            </w:tcBorders>
            <w:shd w:val="clear" w:color="auto" w:fill="0B5D43"/>
          </w:tcPr>
          <w:p w14:paraId="70696724" w14:textId="77777777" w:rsidR="00946419" w:rsidRPr="00971513" w:rsidRDefault="008D57A3">
            <w:pPr>
              <w:jc w:val="center"/>
              <w:rPr>
                <w:rFonts w:cs="Arial"/>
                <w:sz w:val="24"/>
                <w:szCs w:val="24"/>
                <w:lang w:val="es-CO"/>
              </w:rPr>
            </w:pPr>
            <w:r w:rsidRPr="00971513">
              <w:rPr>
                <w:rFonts w:cs="Arial"/>
                <w:b/>
                <w:color w:val="FFFFFF"/>
                <w:sz w:val="24"/>
                <w:szCs w:val="24"/>
                <w:lang w:val="es-CO"/>
              </w:rPr>
              <w:t>Referencia principal</w:t>
            </w:r>
          </w:p>
        </w:tc>
      </w:tr>
      <w:tr w:rsidR="00946419" w:rsidRPr="00971513" w14:paraId="797A5CB1" w14:textId="77777777" w:rsidTr="00971513">
        <w:trPr>
          <w:cantSplit/>
          <w:jc w:val="center"/>
        </w:trPr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  <w:vAlign w:val="center"/>
          </w:tcPr>
          <w:p w14:paraId="15FEE999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  <w:vAlign w:val="center"/>
          </w:tcPr>
          <w:p w14:paraId="6F54442F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C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</w:tcPr>
          <w:p w14:paraId="0EC8A25C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 xml:space="preserve">Límite de 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gastos de funcionamiento</w:t>
            </w:r>
          </w:p>
        </w:tc>
        <w:tc>
          <w:tcPr>
            <w:tcW w:w="4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</w:tcPr>
          <w:p w14:paraId="42094A76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Ley 617 de 2000; Módulo 4, apartado sobre límites de funcionamiento.</w:t>
            </w:r>
          </w:p>
        </w:tc>
      </w:tr>
      <w:tr w:rsidR="00946419" w:rsidRPr="00971513" w14:paraId="56AD1B45" w14:textId="77777777" w:rsidTr="00971513">
        <w:trPr>
          <w:cantSplit/>
          <w:jc w:val="center"/>
        </w:trPr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42EB9C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59C82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B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620316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FONPET y mesadas pensionales</w:t>
            </w:r>
          </w:p>
        </w:tc>
        <w:tc>
          <w:tcPr>
            <w:tcW w:w="4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1D575B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Ley 549 de 1999; tratamiento explicado en el Módulo 4.</w:t>
            </w:r>
          </w:p>
        </w:tc>
      </w:tr>
      <w:tr w:rsidR="00946419" w:rsidRPr="00971513" w14:paraId="1775BFBA" w14:textId="77777777" w:rsidTr="00971513">
        <w:trPr>
          <w:cantSplit/>
          <w:jc w:val="center"/>
        </w:trPr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  <w:vAlign w:val="center"/>
          </w:tcPr>
          <w:p w14:paraId="49FBFE68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  <w:vAlign w:val="center"/>
          </w:tcPr>
          <w:p w14:paraId="635BBB8A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</w:tcPr>
          <w:p w14:paraId="51367C37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Déficit fiscal de vigencia anterior</w:t>
            </w:r>
          </w:p>
        </w:tc>
        <w:tc>
          <w:tcPr>
            <w:tcW w:w="4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</w:tcPr>
          <w:p w14:paraId="32483714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Decreto 111 de 1996, art. 46; Le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y 617 de 2000, según el cuestionario aportado.</w:t>
            </w:r>
          </w:p>
        </w:tc>
      </w:tr>
      <w:tr w:rsidR="00946419" w:rsidRPr="00971513" w14:paraId="35E80F86" w14:textId="77777777" w:rsidTr="00971513">
        <w:trPr>
          <w:cantSplit/>
          <w:jc w:val="center"/>
        </w:trPr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4904A9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4482D0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A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5B40F9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Control político del gasto</w:t>
            </w:r>
          </w:p>
        </w:tc>
        <w:tc>
          <w:tcPr>
            <w:tcW w:w="4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D88160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Constitución Política; Estatuto Orgánico del Presupuesto; Ley 5 de 1992, conforme al módulo.</w:t>
            </w:r>
          </w:p>
        </w:tc>
      </w:tr>
      <w:tr w:rsidR="00946419" w:rsidRPr="00971513" w14:paraId="332C9C26" w14:textId="77777777" w:rsidTr="00971513">
        <w:trPr>
          <w:cantSplit/>
          <w:jc w:val="center"/>
        </w:trPr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  <w:vAlign w:val="center"/>
          </w:tcPr>
          <w:p w14:paraId="22A864BE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  <w:vAlign w:val="center"/>
          </w:tcPr>
          <w:p w14:paraId="312D976E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C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</w:tcPr>
          <w:p w14:paraId="3D171899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Sistema de control interno</w:t>
            </w:r>
          </w:p>
        </w:tc>
        <w:tc>
          <w:tcPr>
            <w:tcW w:w="4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</w:tcPr>
          <w:p w14:paraId="3A1783EB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 xml:space="preserve">Constitución Política, arts. 209 y 269; Ley 87 de 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1993.</w:t>
            </w:r>
          </w:p>
        </w:tc>
      </w:tr>
      <w:tr w:rsidR="00946419" w:rsidRPr="00971513" w14:paraId="0B9F4310" w14:textId="77777777" w:rsidTr="00971513">
        <w:trPr>
          <w:cantSplit/>
          <w:jc w:val="center"/>
        </w:trPr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6F261C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15E4E0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B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FA4402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Evaluación de gestión y resultados</w:t>
            </w:r>
          </w:p>
        </w:tc>
        <w:tc>
          <w:tcPr>
            <w:tcW w:w="4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0FEA60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Constitución Política, art. 343; referente DNP/Sinergia presentado en el módulo.</w:t>
            </w:r>
          </w:p>
        </w:tc>
      </w:tr>
      <w:tr w:rsidR="00946419" w:rsidRPr="00971513" w14:paraId="7EAAFB08" w14:textId="77777777" w:rsidTr="00971513">
        <w:trPr>
          <w:cantSplit/>
          <w:jc w:val="center"/>
        </w:trPr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  <w:vAlign w:val="center"/>
          </w:tcPr>
          <w:p w14:paraId="77DC7CA6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  <w:vAlign w:val="center"/>
          </w:tcPr>
          <w:p w14:paraId="60A6E337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A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</w:tcPr>
          <w:p w14:paraId="7D679902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Seguimiento financiero e inversión</w:t>
            </w:r>
          </w:p>
        </w:tc>
        <w:tc>
          <w:tcPr>
            <w:tcW w:w="4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</w:tcPr>
          <w:p w14:paraId="0A65CE60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 xml:space="preserve">Decreto 111 de 1996, arts. 92 a 94; competencias de Hacienda y Planeación </w:t>
            </w:r>
            <w:r w:rsidRPr="00971513">
              <w:rPr>
                <w:rFonts w:cs="Arial"/>
                <w:color w:val="222222"/>
                <w:sz w:val="24"/>
                <w:szCs w:val="24"/>
              </w:rPr>
              <w:t>descritas en el módulo.</w:t>
            </w:r>
          </w:p>
        </w:tc>
      </w:tr>
      <w:tr w:rsidR="00946419" w:rsidRPr="00971513" w14:paraId="1CF3DB94" w14:textId="77777777" w:rsidTr="00971513">
        <w:trPr>
          <w:cantSplit/>
          <w:jc w:val="center"/>
        </w:trPr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6D7106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95A443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CB50D7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Responsabilidades en la ordenación del gasto</w:t>
            </w:r>
          </w:p>
        </w:tc>
        <w:tc>
          <w:tcPr>
            <w:tcW w:w="4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E93DC7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Decreto 111 de 1996, art. 112, según el apartado de responsabilidades fiscales.</w:t>
            </w:r>
          </w:p>
        </w:tc>
      </w:tr>
      <w:tr w:rsidR="00946419" w:rsidRPr="00971513" w14:paraId="0D13B770" w14:textId="77777777" w:rsidTr="00971513">
        <w:trPr>
          <w:cantSplit/>
          <w:jc w:val="center"/>
        </w:trPr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  <w:vAlign w:val="center"/>
          </w:tcPr>
          <w:p w14:paraId="523B7FE7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9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  <w:vAlign w:val="center"/>
          </w:tcPr>
          <w:p w14:paraId="4FA6912A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B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</w:tcPr>
          <w:p w14:paraId="441BE6B4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Informes de ejecución presupuestal</w:t>
            </w:r>
          </w:p>
        </w:tc>
        <w:tc>
          <w:tcPr>
            <w:tcW w:w="4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AF8"/>
          </w:tcPr>
          <w:p w14:paraId="7D6E5730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Resolución 036 de 1998; Decreto 111 de 1996, art. 93.</w:t>
            </w:r>
          </w:p>
        </w:tc>
      </w:tr>
      <w:tr w:rsidR="00946419" w:rsidRPr="00971513" w14:paraId="3564E250" w14:textId="77777777" w:rsidTr="00971513">
        <w:trPr>
          <w:cantSplit/>
          <w:jc w:val="center"/>
        </w:trPr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7105D9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FA3E95" w14:textId="77777777" w:rsidR="00946419" w:rsidRPr="00971513" w:rsidRDefault="008D57A3">
            <w:pPr>
              <w:spacing w:after="0"/>
              <w:jc w:val="center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b/>
                <w:color w:val="0B5D43"/>
                <w:sz w:val="24"/>
                <w:szCs w:val="24"/>
              </w:rPr>
              <w:t>C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3FB16C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Veeduría ciudadana</w:t>
            </w:r>
          </w:p>
        </w:tc>
        <w:tc>
          <w:tcPr>
            <w:tcW w:w="4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86472A" w14:textId="77777777" w:rsidR="00946419" w:rsidRPr="00971513" w:rsidRDefault="008D57A3">
            <w:pPr>
              <w:spacing w:after="0"/>
              <w:rPr>
                <w:rFonts w:cs="Arial"/>
                <w:sz w:val="24"/>
                <w:szCs w:val="24"/>
              </w:rPr>
            </w:pPr>
            <w:r w:rsidRPr="00971513">
              <w:rPr>
                <w:rFonts w:cs="Arial"/>
                <w:color w:val="222222"/>
                <w:sz w:val="24"/>
                <w:szCs w:val="24"/>
              </w:rPr>
              <w:t>Ley 850 de 2003; Constitución Política, art. 270, según el módulo.</w:t>
            </w:r>
          </w:p>
        </w:tc>
      </w:tr>
    </w:tbl>
    <w:p w14:paraId="263F822D" w14:textId="77777777" w:rsidR="00971513" w:rsidRDefault="00971513">
      <w:pPr>
        <w:keepNext/>
        <w:keepLines/>
        <w:spacing w:before="200" w:after="120"/>
        <w:rPr>
          <w:b/>
          <w:color w:val="0B5D43"/>
          <w:sz w:val="28"/>
        </w:rPr>
      </w:pPr>
    </w:p>
    <w:p w14:paraId="7A4AD88C" w14:textId="4BAEBF91" w:rsidR="00946419" w:rsidRPr="004D6432" w:rsidRDefault="008D57A3">
      <w:pPr>
        <w:keepNext/>
        <w:keepLines/>
        <w:spacing w:before="200" w:after="120"/>
        <w:rPr>
          <w:rFonts w:cs="Arial"/>
          <w:sz w:val="24"/>
          <w:szCs w:val="24"/>
          <w:lang w:val="es-CO"/>
        </w:rPr>
      </w:pPr>
      <w:r w:rsidRPr="004D6432">
        <w:rPr>
          <w:rFonts w:cs="Arial"/>
          <w:b/>
          <w:color w:val="0B5D43"/>
          <w:sz w:val="24"/>
          <w:szCs w:val="24"/>
          <w:lang w:val="es-CO"/>
        </w:rPr>
        <w:t>Retroalimentación y fundamento por ítem</w:t>
      </w:r>
      <w:r w:rsidR="004D6432">
        <w:rPr>
          <w:rFonts w:cs="Arial"/>
          <w:b/>
          <w:color w:val="0B5D43"/>
          <w:sz w:val="24"/>
          <w:szCs w:val="24"/>
          <w:lang w:val="es-CO"/>
        </w:rPr>
        <w:t>.</w:t>
      </w:r>
    </w:p>
    <w:p w14:paraId="2462699F" w14:textId="77777777" w:rsidR="00946419" w:rsidRPr="004D6432" w:rsidRDefault="008D57A3">
      <w:pPr>
        <w:keepNext/>
        <w:keepLines/>
        <w:spacing w:before="100" w:after="40"/>
        <w:rPr>
          <w:rFonts w:cs="Arial"/>
          <w:sz w:val="24"/>
          <w:szCs w:val="24"/>
        </w:rPr>
      </w:pPr>
      <w:r w:rsidRPr="004D6432">
        <w:rPr>
          <w:rFonts w:cs="Arial"/>
          <w:b/>
          <w:color w:val="0B5D43"/>
          <w:sz w:val="24"/>
          <w:szCs w:val="24"/>
        </w:rPr>
        <w:t>1. Límite de gastos de funcionamiento</w:t>
      </w:r>
    </w:p>
    <w:p w14:paraId="6E7ACEDA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Respuesta correcta: </w:t>
      </w:r>
      <w:r w:rsidRPr="004D6432">
        <w:rPr>
          <w:rFonts w:cs="Arial"/>
          <w:color w:val="222222"/>
          <w:sz w:val="24"/>
          <w:szCs w:val="24"/>
        </w:rPr>
        <w:t xml:space="preserve">C. Ajustar el proyecto para respetar el límite máximo </w:t>
      </w:r>
      <w:r w:rsidRPr="004D6432">
        <w:rPr>
          <w:rFonts w:cs="Arial"/>
          <w:color w:val="222222"/>
          <w:sz w:val="24"/>
          <w:szCs w:val="24"/>
        </w:rPr>
        <w:t>aplicable.</w:t>
      </w:r>
    </w:p>
    <w:p w14:paraId="785E7615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Fundamento normativo y técnico: </w:t>
      </w:r>
      <w:r w:rsidRPr="004D6432">
        <w:rPr>
          <w:rFonts w:cs="Arial"/>
          <w:color w:val="222222"/>
          <w:sz w:val="24"/>
          <w:szCs w:val="24"/>
        </w:rPr>
        <w:t>El cuestionario base y el Módulo 4 señalan que la Ley 617 de 2000 fija límites máximos de gastos de funcionamiento según la categoría territorial; para los municipios de cuarta a sexta categoría, el material aport</w:t>
      </w:r>
      <w:r w:rsidRPr="004D6432">
        <w:rPr>
          <w:rFonts w:cs="Arial"/>
          <w:color w:val="222222"/>
          <w:sz w:val="24"/>
          <w:szCs w:val="24"/>
        </w:rPr>
        <w:t>ado identifica un límite del 80 %.</w:t>
      </w:r>
    </w:p>
    <w:p w14:paraId="5AE4EB41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es correcta: </w:t>
      </w:r>
      <w:r w:rsidRPr="004D6432">
        <w:rPr>
          <w:rFonts w:cs="Arial"/>
          <w:color w:val="222222"/>
          <w:sz w:val="24"/>
          <w:szCs w:val="24"/>
        </w:rPr>
        <w:t>El caso plantea un porcentaje del 90 %, superior al límite indicado en el material. La respuesta adecuada es ajustar el proyecto antes de su ejecución para que la relación entre gastos de funcionamien</w:t>
      </w:r>
      <w:r w:rsidRPr="004D6432">
        <w:rPr>
          <w:rFonts w:cs="Arial"/>
          <w:color w:val="222222"/>
          <w:sz w:val="24"/>
          <w:szCs w:val="24"/>
        </w:rPr>
        <w:t>to e ingresos corrientes de libre destinación se mantenga dentro del máximo permitido.</w:t>
      </w:r>
    </w:p>
    <w:p w14:paraId="1B21FE8C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lastRenderedPageBreak/>
        <w:t xml:space="preserve">Por qué no las demás: </w:t>
      </w:r>
      <w:r w:rsidRPr="004D6432">
        <w:rPr>
          <w:rFonts w:cs="Arial"/>
          <w:color w:val="222222"/>
          <w:sz w:val="24"/>
          <w:szCs w:val="24"/>
        </w:rPr>
        <w:t>A desconoce el límite legal; B altera la denominación sin corregir la naturaleza del gasto; D posterga una corrección que debe reflejarse en la pro</w:t>
      </w:r>
      <w:r w:rsidRPr="004D6432">
        <w:rPr>
          <w:rFonts w:cs="Arial"/>
          <w:color w:val="222222"/>
          <w:sz w:val="24"/>
          <w:szCs w:val="24"/>
        </w:rPr>
        <w:t>gramación o, cuando corresponda, en la ejecución presupuestal.</w:t>
      </w:r>
    </w:p>
    <w:p w14:paraId="093590C0" w14:textId="77777777" w:rsidR="004D6432" w:rsidRDefault="004D6432">
      <w:pPr>
        <w:keepNext/>
        <w:keepLines/>
        <w:spacing w:before="100" w:after="40"/>
        <w:rPr>
          <w:rFonts w:cs="Arial"/>
          <w:b/>
          <w:color w:val="0B5D43"/>
          <w:sz w:val="24"/>
          <w:szCs w:val="24"/>
        </w:rPr>
      </w:pPr>
    </w:p>
    <w:p w14:paraId="60B35E24" w14:textId="09F7F9C4" w:rsidR="00946419" w:rsidRPr="004D6432" w:rsidRDefault="008D57A3">
      <w:pPr>
        <w:keepNext/>
        <w:keepLines/>
        <w:spacing w:before="100" w:after="40"/>
        <w:rPr>
          <w:rFonts w:cs="Arial"/>
          <w:sz w:val="24"/>
          <w:szCs w:val="24"/>
        </w:rPr>
      </w:pPr>
      <w:r w:rsidRPr="004D6432">
        <w:rPr>
          <w:rFonts w:cs="Arial"/>
          <w:b/>
          <w:color w:val="0B5D43"/>
          <w:sz w:val="24"/>
          <w:szCs w:val="24"/>
        </w:rPr>
        <w:t>2. Tratamiento del FONPET y las mesadas</w:t>
      </w:r>
      <w:r w:rsidRPr="004D6432">
        <w:rPr>
          <w:rFonts w:cs="Arial"/>
          <w:b/>
          <w:color w:val="0B5D43"/>
          <w:sz w:val="24"/>
          <w:szCs w:val="24"/>
        </w:rPr>
        <w:t xml:space="preserve"> pensionales</w:t>
      </w:r>
    </w:p>
    <w:p w14:paraId="5C2F81C4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Respuesta correcta: </w:t>
      </w:r>
      <w:r w:rsidRPr="004D6432">
        <w:rPr>
          <w:rFonts w:cs="Arial"/>
          <w:color w:val="222222"/>
          <w:sz w:val="24"/>
          <w:szCs w:val="24"/>
        </w:rPr>
        <w:t>B. Las mesadas directas computan; los aportes al FONPET no.</w:t>
      </w:r>
    </w:p>
    <w:p w14:paraId="25922242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Fundamento normativo y técnico: </w:t>
      </w:r>
      <w:r w:rsidRPr="004D6432">
        <w:rPr>
          <w:rFonts w:cs="Arial"/>
          <w:color w:val="222222"/>
          <w:sz w:val="24"/>
          <w:szCs w:val="24"/>
        </w:rPr>
        <w:t>El material explica que los aportes al FONPET se orientan a provisionar el pasivo pensional y no computan como gastos de funcionami</w:t>
      </w:r>
      <w:r w:rsidRPr="004D6432">
        <w:rPr>
          <w:rFonts w:cs="Arial"/>
          <w:color w:val="222222"/>
          <w:sz w:val="24"/>
          <w:szCs w:val="24"/>
        </w:rPr>
        <w:t>ento, mientras que los pagos directos de mesadas pensionales sí conservan esa naturaleza. Se cita la Ley 549 de 1999.</w:t>
      </w:r>
    </w:p>
    <w:p w14:paraId="72390096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es correcta: </w:t>
      </w:r>
      <w:r w:rsidRPr="004D6432">
        <w:rPr>
          <w:rFonts w:cs="Arial"/>
          <w:color w:val="222222"/>
          <w:sz w:val="24"/>
          <w:szCs w:val="24"/>
        </w:rPr>
        <w:t>La diferencia está en el tratamiento presupuestal señalado para cada concepto: la provisión mediante FONPET no se com</w:t>
      </w:r>
      <w:r w:rsidRPr="004D6432">
        <w:rPr>
          <w:rFonts w:cs="Arial"/>
          <w:color w:val="222222"/>
          <w:sz w:val="24"/>
          <w:szCs w:val="24"/>
        </w:rPr>
        <w:t>puta como funcionamiento, pero el pago directo y periódico de mesadas sí.</w:t>
      </w:r>
    </w:p>
    <w:p w14:paraId="0FD866B1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no las demás: </w:t>
      </w:r>
      <w:r w:rsidRPr="004D6432">
        <w:rPr>
          <w:rFonts w:cs="Arial"/>
          <w:color w:val="222222"/>
          <w:sz w:val="24"/>
          <w:szCs w:val="24"/>
        </w:rPr>
        <w:t>A equipara dos tratamientos que el módulo diferencia; C invierte la regla expuesta; D excluye indebidamente las mesadas directas del cálculo.</w:t>
      </w:r>
    </w:p>
    <w:p w14:paraId="56219743" w14:textId="77777777" w:rsidR="004D6432" w:rsidRDefault="004D6432">
      <w:pPr>
        <w:keepNext/>
        <w:keepLines/>
        <w:spacing w:before="100" w:after="40"/>
        <w:rPr>
          <w:rFonts w:cs="Arial"/>
          <w:b/>
          <w:color w:val="0B5D43"/>
          <w:sz w:val="24"/>
          <w:szCs w:val="24"/>
        </w:rPr>
      </w:pPr>
    </w:p>
    <w:p w14:paraId="1ABFDBD4" w14:textId="66FEC03B" w:rsidR="00946419" w:rsidRPr="004D6432" w:rsidRDefault="008D57A3">
      <w:pPr>
        <w:keepNext/>
        <w:keepLines/>
        <w:spacing w:before="100" w:after="40"/>
        <w:rPr>
          <w:rFonts w:cs="Arial"/>
          <w:sz w:val="24"/>
          <w:szCs w:val="24"/>
        </w:rPr>
      </w:pPr>
      <w:r w:rsidRPr="004D6432">
        <w:rPr>
          <w:rFonts w:cs="Arial"/>
          <w:b/>
          <w:color w:val="0B5D43"/>
          <w:sz w:val="24"/>
          <w:szCs w:val="24"/>
        </w:rPr>
        <w:t>3. Déficit fiscal de la vigencia anterior</w:t>
      </w:r>
    </w:p>
    <w:p w14:paraId="4D610B16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Respuesta correcta: </w:t>
      </w:r>
      <w:r w:rsidRPr="004D6432">
        <w:rPr>
          <w:rFonts w:cs="Arial"/>
          <w:color w:val="222222"/>
          <w:sz w:val="24"/>
          <w:szCs w:val="24"/>
        </w:rPr>
        <w:t>D. Incluir la partida necesaria para saldar el déficit.</w:t>
      </w:r>
    </w:p>
    <w:p w14:paraId="1EF3383D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>Fundamento n</w:t>
      </w:r>
      <w:r w:rsidRPr="004D6432">
        <w:rPr>
          <w:rFonts w:cs="Arial"/>
          <w:b/>
          <w:color w:val="074632"/>
          <w:sz w:val="24"/>
          <w:szCs w:val="24"/>
        </w:rPr>
        <w:t xml:space="preserve">ormativo y técnico: </w:t>
      </w:r>
      <w:r w:rsidRPr="004D6432">
        <w:rPr>
          <w:rFonts w:cs="Arial"/>
          <w:color w:val="222222"/>
          <w:sz w:val="24"/>
          <w:szCs w:val="24"/>
        </w:rPr>
        <w:t>El cuestionario base remite al artículo 46 del Decreto 111 de 1996 y al tratamiento del déficit previsto en la Ley 617 de 2000, según el cual debe incorporarse en el nuevo presupuesto la partida necesaria para saldarlo.</w:t>
      </w:r>
    </w:p>
    <w:p w14:paraId="73C14F8D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>Por qué es corre</w:t>
      </w:r>
      <w:r w:rsidRPr="004D6432">
        <w:rPr>
          <w:rFonts w:cs="Arial"/>
          <w:b/>
          <w:color w:val="074632"/>
          <w:sz w:val="24"/>
          <w:szCs w:val="24"/>
        </w:rPr>
        <w:t xml:space="preserve">cta: </w:t>
      </w:r>
      <w:r w:rsidRPr="004D6432">
        <w:rPr>
          <w:rFonts w:cs="Arial"/>
          <w:color w:val="222222"/>
          <w:sz w:val="24"/>
          <w:szCs w:val="24"/>
        </w:rPr>
        <w:t>El déficit no puede quedar como un simple dato extracontable cuando el marco presupuestal exige prever su saneamiento en la vigencia siguiente.</w:t>
      </w:r>
    </w:p>
    <w:p w14:paraId="5A15DACB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no las demás: </w:t>
      </w:r>
      <w:r w:rsidRPr="004D6432">
        <w:rPr>
          <w:rFonts w:cs="Arial"/>
          <w:color w:val="222222"/>
          <w:sz w:val="24"/>
          <w:szCs w:val="24"/>
        </w:rPr>
        <w:t>A y B omiten la apropiación necesaria; C confunde el déficit con una reserva presupue</w:t>
      </w:r>
      <w:r w:rsidRPr="004D6432">
        <w:rPr>
          <w:rFonts w:cs="Arial"/>
          <w:color w:val="222222"/>
          <w:sz w:val="24"/>
          <w:szCs w:val="24"/>
        </w:rPr>
        <w:t xml:space="preserve">stal, figura asociada a compromisos y no a la simple existencia de un </w:t>
      </w:r>
      <w:proofErr w:type="spellStart"/>
      <w:r w:rsidRPr="004D6432">
        <w:rPr>
          <w:rFonts w:cs="Arial"/>
          <w:color w:val="222222"/>
          <w:sz w:val="24"/>
          <w:szCs w:val="24"/>
        </w:rPr>
        <w:t>déficit</w:t>
      </w:r>
      <w:proofErr w:type="spellEnd"/>
      <w:r w:rsidRPr="004D6432">
        <w:rPr>
          <w:rFonts w:cs="Arial"/>
          <w:color w:val="222222"/>
          <w:sz w:val="24"/>
          <w:szCs w:val="24"/>
        </w:rPr>
        <w:t xml:space="preserve"> fiscal.</w:t>
      </w:r>
    </w:p>
    <w:p w14:paraId="12DCF049" w14:textId="77777777" w:rsidR="004D6432" w:rsidRDefault="004D6432">
      <w:pPr>
        <w:keepNext/>
        <w:keepLines/>
        <w:spacing w:before="100" w:after="40"/>
        <w:rPr>
          <w:rFonts w:cs="Arial"/>
          <w:b/>
          <w:color w:val="0B5D43"/>
          <w:sz w:val="24"/>
          <w:szCs w:val="24"/>
        </w:rPr>
      </w:pPr>
    </w:p>
    <w:p w14:paraId="6A80F829" w14:textId="4F9E9C3F" w:rsidR="00946419" w:rsidRPr="004D6432" w:rsidRDefault="008D57A3">
      <w:pPr>
        <w:keepNext/>
        <w:keepLines/>
        <w:spacing w:before="100" w:after="40"/>
        <w:rPr>
          <w:rFonts w:cs="Arial"/>
          <w:sz w:val="24"/>
          <w:szCs w:val="24"/>
        </w:rPr>
      </w:pPr>
      <w:r w:rsidRPr="004D6432">
        <w:rPr>
          <w:rFonts w:cs="Arial"/>
          <w:b/>
          <w:color w:val="0B5D43"/>
          <w:sz w:val="24"/>
          <w:szCs w:val="24"/>
        </w:rPr>
        <w:t>4. Control político sobre</w:t>
      </w:r>
      <w:r w:rsidRPr="004D6432">
        <w:rPr>
          <w:rFonts w:cs="Arial"/>
          <w:b/>
          <w:color w:val="0B5D43"/>
          <w:sz w:val="24"/>
          <w:szCs w:val="24"/>
        </w:rPr>
        <w:t xml:space="preserve"> la ejecución del gasto</w:t>
      </w:r>
    </w:p>
    <w:p w14:paraId="70BD2AF6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Respuesta correcta: </w:t>
      </w:r>
      <w:r w:rsidRPr="004D6432">
        <w:rPr>
          <w:rFonts w:cs="Arial"/>
          <w:color w:val="222222"/>
          <w:sz w:val="24"/>
          <w:szCs w:val="24"/>
        </w:rPr>
        <w:t>A. Control político.</w:t>
      </w:r>
    </w:p>
    <w:p w14:paraId="2426190E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Fundamento normativo y técnico: </w:t>
      </w:r>
      <w:r w:rsidRPr="004D6432">
        <w:rPr>
          <w:rFonts w:cs="Arial"/>
          <w:color w:val="222222"/>
          <w:sz w:val="24"/>
          <w:szCs w:val="24"/>
        </w:rPr>
        <w:t>El Módulo 4 señala que el control político del gasto corresponde al Congreso y, en el nivel municipal, al concejo, mediante mecanismos como citaciones e inform</w:t>
      </w:r>
      <w:r w:rsidRPr="004D6432">
        <w:rPr>
          <w:rFonts w:cs="Arial"/>
          <w:color w:val="222222"/>
          <w:sz w:val="24"/>
          <w:szCs w:val="24"/>
        </w:rPr>
        <w:t>es. El material menciona la Constitución, el Estatuto Orgánico del Presupuesto y la Ley 5 de 1992 para el nivel nacional.</w:t>
      </w:r>
    </w:p>
    <w:p w14:paraId="649BE0F6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es correcta: </w:t>
      </w:r>
      <w:r w:rsidRPr="004D6432">
        <w:rPr>
          <w:rFonts w:cs="Arial"/>
          <w:color w:val="222222"/>
          <w:sz w:val="24"/>
          <w:szCs w:val="24"/>
        </w:rPr>
        <w:t xml:space="preserve">La finalidad de la citación es que un funcionario de la administración rinda explicaciones ante la </w:t>
      </w:r>
      <w:r w:rsidRPr="004D6432">
        <w:rPr>
          <w:rFonts w:cs="Arial"/>
          <w:color w:val="222222"/>
          <w:sz w:val="24"/>
          <w:szCs w:val="24"/>
        </w:rPr>
        <w:t>corporación política sobre la ejecución del gasto, lo que corresponde a control político.</w:t>
      </w:r>
    </w:p>
    <w:p w14:paraId="4B122405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no las demás: </w:t>
      </w:r>
      <w:r w:rsidRPr="004D6432">
        <w:rPr>
          <w:rFonts w:cs="Arial"/>
          <w:color w:val="222222"/>
          <w:sz w:val="24"/>
          <w:szCs w:val="24"/>
        </w:rPr>
        <w:t xml:space="preserve">B atribuye al concejo una función de vigilancia fiscal propia de las contralorías; C confunde la corporación política con el sistema interno de </w:t>
      </w:r>
      <w:r w:rsidRPr="004D6432">
        <w:rPr>
          <w:rFonts w:cs="Arial"/>
          <w:color w:val="222222"/>
          <w:sz w:val="24"/>
          <w:szCs w:val="24"/>
        </w:rPr>
        <w:t>la alcaldía; D convierte una citación en una auditoría financiera.</w:t>
      </w:r>
    </w:p>
    <w:p w14:paraId="72980450" w14:textId="77777777" w:rsidR="004D6432" w:rsidRDefault="004D6432">
      <w:pPr>
        <w:keepNext/>
        <w:keepLines/>
        <w:spacing w:before="100" w:after="40"/>
        <w:rPr>
          <w:rFonts w:cs="Arial"/>
          <w:b/>
          <w:color w:val="0B5D43"/>
          <w:sz w:val="24"/>
          <w:szCs w:val="24"/>
        </w:rPr>
      </w:pPr>
    </w:p>
    <w:p w14:paraId="24BEA1CB" w14:textId="5D5332CB" w:rsidR="00946419" w:rsidRPr="004D6432" w:rsidRDefault="008D57A3" w:rsidP="004D6432">
      <w:pPr>
        <w:keepNext/>
        <w:keepLines/>
        <w:spacing w:after="0"/>
        <w:rPr>
          <w:rFonts w:cs="Arial"/>
          <w:sz w:val="24"/>
          <w:szCs w:val="24"/>
        </w:rPr>
      </w:pPr>
      <w:r w:rsidRPr="004D6432">
        <w:rPr>
          <w:rFonts w:cs="Arial"/>
          <w:b/>
          <w:color w:val="0B5D43"/>
          <w:sz w:val="24"/>
          <w:szCs w:val="24"/>
        </w:rPr>
        <w:t>5. Sistema de control interno obligatorio</w:t>
      </w:r>
    </w:p>
    <w:p w14:paraId="4051AA4F" w14:textId="77777777" w:rsidR="00946419" w:rsidRPr="004D6432" w:rsidRDefault="008D57A3" w:rsidP="004D6432">
      <w:pPr>
        <w:spacing w:after="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>Respue</w:t>
      </w:r>
      <w:r w:rsidRPr="004D6432">
        <w:rPr>
          <w:rFonts w:cs="Arial"/>
          <w:b/>
          <w:color w:val="074632"/>
          <w:sz w:val="24"/>
          <w:szCs w:val="24"/>
        </w:rPr>
        <w:t xml:space="preserve">sta correcta: </w:t>
      </w:r>
      <w:r w:rsidRPr="004D6432">
        <w:rPr>
          <w:rFonts w:cs="Arial"/>
          <w:color w:val="222222"/>
          <w:sz w:val="24"/>
          <w:szCs w:val="24"/>
        </w:rPr>
        <w:t>C. Incumplimiento del deber de diseñar y aplicar control interno.</w:t>
      </w:r>
    </w:p>
    <w:p w14:paraId="17FF7012" w14:textId="77777777" w:rsidR="00946419" w:rsidRPr="004D6432" w:rsidRDefault="008D57A3" w:rsidP="004D6432">
      <w:pPr>
        <w:spacing w:after="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lastRenderedPageBreak/>
        <w:t xml:space="preserve">Fundamento normativo y técnico: </w:t>
      </w:r>
      <w:r w:rsidRPr="004D6432">
        <w:rPr>
          <w:rFonts w:cs="Arial"/>
          <w:color w:val="222222"/>
          <w:sz w:val="24"/>
          <w:szCs w:val="24"/>
        </w:rPr>
        <w:t>El Módulo 4 remite a los artículos 209 y 269 de la Constitución y a la Ley 87 de 1993 para señalar que las entidades públicas deben contar con m</w:t>
      </w:r>
      <w:r w:rsidRPr="004D6432">
        <w:rPr>
          <w:rFonts w:cs="Arial"/>
          <w:color w:val="222222"/>
          <w:sz w:val="24"/>
          <w:szCs w:val="24"/>
        </w:rPr>
        <w:t>étodos y procedimientos de control interno.</w:t>
      </w:r>
    </w:p>
    <w:p w14:paraId="3D7B0E13" w14:textId="77777777" w:rsidR="00946419" w:rsidRPr="004D6432" w:rsidRDefault="008D57A3" w:rsidP="004D6432">
      <w:pPr>
        <w:spacing w:after="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es correcta: </w:t>
      </w:r>
      <w:r w:rsidRPr="004D6432">
        <w:rPr>
          <w:rFonts w:cs="Arial"/>
          <w:color w:val="222222"/>
          <w:sz w:val="24"/>
          <w:szCs w:val="24"/>
        </w:rPr>
        <w:t xml:space="preserve">Las auditorías externas no sustituyen el autocontrol institucional. La entidad debe establecer sus propios mecanismos de control, seguimiento e información para apoyar la legalidad, la </w:t>
      </w:r>
      <w:r w:rsidRPr="004D6432">
        <w:rPr>
          <w:rFonts w:cs="Arial"/>
          <w:color w:val="222222"/>
          <w:sz w:val="24"/>
          <w:szCs w:val="24"/>
        </w:rPr>
        <w:t>gestión y los resultados.</w:t>
      </w:r>
    </w:p>
    <w:p w14:paraId="34D7B6D6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no las demás: </w:t>
      </w:r>
      <w:r w:rsidRPr="004D6432">
        <w:rPr>
          <w:rFonts w:cs="Arial"/>
          <w:color w:val="222222"/>
          <w:sz w:val="24"/>
          <w:szCs w:val="24"/>
        </w:rPr>
        <w:t>A no es un requisito general para cada entidad; B puede ser una herramienta de aseguramiento, pero no reemplaza el sistema interno; D se refiere a una función externa de naturaleza política.</w:t>
      </w:r>
    </w:p>
    <w:p w14:paraId="09314009" w14:textId="77777777" w:rsidR="004D6432" w:rsidRDefault="004D6432">
      <w:pPr>
        <w:keepNext/>
        <w:keepLines/>
        <w:spacing w:before="100" w:after="40"/>
        <w:rPr>
          <w:rFonts w:cs="Arial"/>
          <w:b/>
          <w:color w:val="0B5D43"/>
          <w:sz w:val="24"/>
          <w:szCs w:val="24"/>
        </w:rPr>
      </w:pPr>
    </w:p>
    <w:p w14:paraId="2A7A9430" w14:textId="68C2833A" w:rsidR="00946419" w:rsidRPr="004D6432" w:rsidRDefault="008D57A3">
      <w:pPr>
        <w:keepNext/>
        <w:keepLines/>
        <w:spacing w:before="100" w:after="40"/>
        <w:rPr>
          <w:rFonts w:cs="Arial"/>
          <w:sz w:val="24"/>
          <w:szCs w:val="24"/>
        </w:rPr>
      </w:pPr>
      <w:r w:rsidRPr="004D6432">
        <w:rPr>
          <w:rFonts w:cs="Arial"/>
          <w:b/>
          <w:color w:val="0B5D43"/>
          <w:sz w:val="24"/>
          <w:szCs w:val="24"/>
        </w:rPr>
        <w:t>6. Evaluación de gestión y resultados</w:t>
      </w:r>
    </w:p>
    <w:p w14:paraId="3B93B6DA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Respuesta correcta: </w:t>
      </w:r>
      <w:r w:rsidRPr="004D6432">
        <w:rPr>
          <w:rFonts w:cs="Arial"/>
          <w:color w:val="222222"/>
          <w:sz w:val="24"/>
          <w:szCs w:val="24"/>
        </w:rPr>
        <w:t>B. Evaluación de gestión y resultados.</w:t>
      </w:r>
    </w:p>
    <w:p w14:paraId="2CDA92A0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Fundamento normativo y técnico: </w:t>
      </w:r>
      <w:r w:rsidRPr="004D6432">
        <w:rPr>
          <w:rFonts w:cs="Arial"/>
          <w:color w:val="222222"/>
          <w:sz w:val="24"/>
          <w:szCs w:val="24"/>
        </w:rPr>
        <w:t xml:space="preserve">El artículo 343 de la </w:t>
      </w:r>
      <w:r w:rsidRPr="004D6432">
        <w:rPr>
          <w:rFonts w:cs="Arial"/>
          <w:color w:val="222222"/>
          <w:sz w:val="24"/>
          <w:szCs w:val="24"/>
        </w:rPr>
        <w:t>Constitución, según el material, atribuye al organismo nacional de planeación y a sus equivalentes el diseño y organización de sistemas de evaluación de gestión y resultados de la administración pública.</w:t>
      </w:r>
    </w:p>
    <w:p w14:paraId="5837DE43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es correcta: </w:t>
      </w:r>
      <w:r w:rsidRPr="004D6432">
        <w:rPr>
          <w:rFonts w:cs="Arial"/>
          <w:color w:val="222222"/>
          <w:sz w:val="24"/>
          <w:szCs w:val="24"/>
        </w:rPr>
        <w:t>Los indicadores descritos compa</w:t>
      </w:r>
      <w:r w:rsidRPr="004D6432">
        <w:rPr>
          <w:rFonts w:cs="Arial"/>
          <w:color w:val="222222"/>
          <w:sz w:val="24"/>
          <w:szCs w:val="24"/>
        </w:rPr>
        <w:t>ran metas, desempeño y resultados de programas y proyectos para apoyar la toma de decisiones, que es precisamente la finalidad señalada en el módulo.</w:t>
      </w:r>
    </w:p>
    <w:p w14:paraId="72569DE2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no las demás: </w:t>
      </w:r>
      <w:r w:rsidRPr="004D6432">
        <w:rPr>
          <w:rFonts w:cs="Arial"/>
          <w:color w:val="222222"/>
          <w:sz w:val="24"/>
          <w:szCs w:val="24"/>
        </w:rPr>
        <w:t>A se limita a soportes y cuentas; C confunde medición de desempeño con determinación</w:t>
      </w:r>
      <w:r w:rsidRPr="004D6432">
        <w:rPr>
          <w:rFonts w:cs="Arial"/>
          <w:color w:val="222222"/>
          <w:sz w:val="24"/>
          <w:szCs w:val="24"/>
        </w:rPr>
        <w:t xml:space="preserve"> de daño fiscal; D corresponde a un mecanismo político que no es sustituido por indicadores.</w:t>
      </w:r>
    </w:p>
    <w:p w14:paraId="57DA79DC" w14:textId="77777777" w:rsidR="004D6432" w:rsidRDefault="004D6432">
      <w:pPr>
        <w:keepNext/>
        <w:keepLines/>
        <w:spacing w:before="100" w:after="40"/>
        <w:rPr>
          <w:rFonts w:cs="Arial"/>
          <w:b/>
          <w:color w:val="0B5D43"/>
          <w:sz w:val="24"/>
          <w:szCs w:val="24"/>
        </w:rPr>
      </w:pPr>
    </w:p>
    <w:p w14:paraId="4873CA4F" w14:textId="41724554" w:rsidR="00946419" w:rsidRPr="004D6432" w:rsidRDefault="008D57A3">
      <w:pPr>
        <w:keepNext/>
        <w:keepLines/>
        <w:spacing w:before="100" w:after="40"/>
        <w:rPr>
          <w:rFonts w:cs="Arial"/>
          <w:sz w:val="24"/>
          <w:szCs w:val="24"/>
        </w:rPr>
      </w:pPr>
      <w:r w:rsidRPr="004D6432">
        <w:rPr>
          <w:rFonts w:cs="Arial"/>
          <w:b/>
          <w:color w:val="0B5D43"/>
          <w:sz w:val="24"/>
          <w:szCs w:val="24"/>
        </w:rPr>
        <w:t>7. Seguimiento</w:t>
      </w:r>
      <w:r w:rsidRPr="004D6432">
        <w:rPr>
          <w:rFonts w:cs="Arial"/>
          <w:b/>
          <w:color w:val="0B5D43"/>
          <w:sz w:val="24"/>
          <w:szCs w:val="24"/>
        </w:rPr>
        <w:t xml:space="preserve"> financiero del presupuesto</w:t>
      </w:r>
    </w:p>
    <w:p w14:paraId="1D2523C6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Respuesta correcta: </w:t>
      </w:r>
      <w:r w:rsidRPr="004D6432">
        <w:rPr>
          <w:rFonts w:cs="Arial"/>
          <w:color w:val="222222"/>
          <w:sz w:val="24"/>
          <w:szCs w:val="24"/>
        </w:rPr>
        <w:t>A. Seguimiento financiero e inversión articulados.</w:t>
      </w:r>
    </w:p>
    <w:p w14:paraId="34DA2C10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Fundamento normativo y técnico: </w:t>
      </w:r>
      <w:r w:rsidRPr="004D6432">
        <w:rPr>
          <w:rFonts w:cs="Arial"/>
          <w:color w:val="222222"/>
          <w:sz w:val="24"/>
          <w:szCs w:val="24"/>
        </w:rPr>
        <w:t>El Módulo 4, con referencia a los artículos 92, 93 y 94 del Decreto 111 de 1996, explica el seguimiento financiero del presup</w:t>
      </w:r>
      <w:r w:rsidRPr="004D6432">
        <w:rPr>
          <w:rFonts w:cs="Arial"/>
          <w:color w:val="222222"/>
          <w:sz w:val="24"/>
          <w:szCs w:val="24"/>
        </w:rPr>
        <w:t>uesto y distingue las competencias de Hacienda y Planeación, incluyendo el seguimiento de proyectos de inversión.</w:t>
      </w:r>
    </w:p>
    <w:p w14:paraId="30D92014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es correcta: </w:t>
      </w:r>
      <w:r w:rsidRPr="004D6432">
        <w:rPr>
          <w:rFonts w:cs="Arial"/>
          <w:color w:val="222222"/>
          <w:sz w:val="24"/>
          <w:szCs w:val="24"/>
        </w:rPr>
        <w:t>La situación reproduce esa distribución funcional: Hacienda analiza la ejecución financiera y Planeación verifica program</w:t>
      </w:r>
      <w:r w:rsidRPr="004D6432">
        <w:rPr>
          <w:rFonts w:cs="Arial"/>
          <w:color w:val="222222"/>
          <w:sz w:val="24"/>
          <w:szCs w:val="24"/>
        </w:rPr>
        <w:t>as y proyectos, con necesidad de trabajo coordinado.</w:t>
      </w:r>
    </w:p>
    <w:p w14:paraId="14B076EF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no las demás: </w:t>
      </w:r>
      <w:r w:rsidRPr="004D6432">
        <w:rPr>
          <w:rFonts w:cs="Arial"/>
          <w:color w:val="222222"/>
          <w:sz w:val="24"/>
          <w:szCs w:val="24"/>
        </w:rPr>
        <w:t>B atribuye la tarea exclusivamente al control fiscal externo; C la confunde con disciplina; D la equipara al control político pese a que es ejecutada por dependencias administrativa</w:t>
      </w:r>
      <w:r w:rsidRPr="004D6432">
        <w:rPr>
          <w:rFonts w:cs="Arial"/>
          <w:color w:val="222222"/>
          <w:sz w:val="24"/>
          <w:szCs w:val="24"/>
        </w:rPr>
        <w:t>s.</w:t>
      </w:r>
    </w:p>
    <w:p w14:paraId="5847EF41" w14:textId="77777777" w:rsidR="004D6432" w:rsidRDefault="004D6432">
      <w:pPr>
        <w:keepNext/>
        <w:keepLines/>
        <w:spacing w:before="100" w:after="40"/>
        <w:rPr>
          <w:rFonts w:cs="Arial"/>
          <w:b/>
          <w:color w:val="0B5D43"/>
          <w:sz w:val="24"/>
          <w:szCs w:val="24"/>
        </w:rPr>
      </w:pPr>
    </w:p>
    <w:p w14:paraId="41F7933E" w14:textId="7381DEA9" w:rsidR="00946419" w:rsidRPr="004D6432" w:rsidRDefault="008D57A3">
      <w:pPr>
        <w:keepNext/>
        <w:keepLines/>
        <w:spacing w:before="100" w:after="40"/>
        <w:rPr>
          <w:rFonts w:cs="Arial"/>
          <w:sz w:val="24"/>
          <w:szCs w:val="24"/>
        </w:rPr>
      </w:pPr>
      <w:r w:rsidRPr="004D6432">
        <w:rPr>
          <w:rFonts w:cs="Arial"/>
          <w:b/>
          <w:color w:val="0B5D43"/>
          <w:sz w:val="24"/>
          <w:szCs w:val="24"/>
        </w:rPr>
        <w:t>8. Responsabilidad por compromisos sin autorización presupuestal</w:t>
      </w:r>
    </w:p>
    <w:p w14:paraId="51D89B3F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Respuesta correcta: </w:t>
      </w:r>
      <w:r w:rsidRPr="004D6432">
        <w:rPr>
          <w:rFonts w:cs="Arial"/>
          <w:color w:val="222222"/>
          <w:sz w:val="24"/>
          <w:szCs w:val="24"/>
        </w:rPr>
        <w:t>D. Abstenerse y advertir la posible resp</w:t>
      </w:r>
      <w:r w:rsidRPr="004D6432">
        <w:rPr>
          <w:rFonts w:cs="Arial"/>
          <w:color w:val="222222"/>
          <w:sz w:val="24"/>
          <w:szCs w:val="24"/>
        </w:rPr>
        <w:t>onsabilidad.</w:t>
      </w:r>
    </w:p>
    <w:p w14:paraId="7DC8A509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Fundamento normativo y técnico: </w:t>
      </w:r>
      <w:r w:rsidRPr="004D6432">
        <w:rPr>
          <w:rFonts w:cs="Arial"/>
          <w:color w:val="222222"/>
          <w:sz w:val="24"/>
          <w:szCs w:val="24"/>
        </w:rPr>
        <w:t xml:space="preserve">El apartado de responsabilidades fiscales del Módulo 4 remite al artículo 112 del Decreto 111 de 1996 y señala responsabilidad de los sujetos presupuestales que contraigan obligaciones no autorizadas o efectúen </w:t>
      </w:r>
      <w:r w:rsidRPr="004D6432">
        <w:rPr>
          <w:rFonts w:cs="Arial"/>
          <w:color w:val="222222"/>
          <w:sz w:val="24"/>
          <w:szCs w:val="24"/>
        </w:rPr>
        <w:t>pagos contrarios al Estatuto Orgánico del Presupuesto.</w:t>
      </w:r>
    </w:p>
    <w:p w14:paraId="157052B8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es correcta: </w:t>
      </w:r>
      <w:r w:rsidRPr="004D6432">
        <w:rPr>
          <w:rFonts w:cs="Arial"/>
          <w:color w:val="222222"/>
          <w:sz w:val="24"/>
          <w:szCs w:val="24"/>
        </w:rPr>
        <w:t>Sin apropiación disponible ni CDP, el supuesto presenta una ausencia de respaldo presupuestal previo. La actuación prudente y ajustada al material es impedir que se asuma la obliga</w:t>
      </w:r>
      <w:r w:rsidRPr="004D6432">
        <w:rPr>
          <w:rFonts w:cs="Arial"/>
          <w:color w:val="222222"/>
          <w:sz w:val="24"/>
          <w:szCs w:val="24"/>
        </w:rPr>
        <w:t>ción y advertir las consecuencias para los responsables.</w:t>
      </w:r>
    </w:p>
    <w:p w14:paraId="1122077B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lastRenderedPageBreak/>
        <w:t xml:space="preserve">Por qué no las demás: </w:t>
      </w:r>
      <w:r w:rsidRPr="004D6432">
        <w:rPr>
          <w:rFonts w:cs="Arial"/>
          <w:color w:val="222222"/>
          <w:sz w:val="24"/>
          <w:szCs w:val="24"/>
        </w:rPr>
        <w:t>A pretende legalizar posteriormente un requisito previo; B afecta un rubro con objeto distinto; C confunde liquidez de caja con autorización presupuestal.</w:t>
      </w:r>
    </w:p>
    <w:p w14:paraId="0DD245F7" w14:textId="77777777" w:rsidR="004D6432" w:rsidRDefault="004D6432">
      <w:pPr>
        <w:keepNext/>
        <w:keepLines/>
        <w:spacing w:before="100" w:after="40"/>
        <w:rPr>
          <w:rFonts w:cs="Arial"/>
          <w:b/>
          <w:color w:val="0B5D43"/>
          <w:sz w:val="24"/>
          <w:szCs w:val="24"/>
        </w:rPr>
      </w:pPr>
    </w:p>
    <w:p w14:paraId="62591828" w14:textId="5AB2862D" w:rsidR="00946419" w:rsidRPr="004D6432" w:rsidRDefault="008D57A3">
      <w:pPr>
        <w:keepNext/>
        <w:keepLines/>
        <w:spacing w:before="100" w:after="40"/>
        <w:rPr>
          <w:rFonts w:cs="Arial"/>
          <w:sz w:val="24"/>
          <w:szCs w:val="24"/>
        </w:rPr>
      </w:pPr>
      <w:r w:rsidRPr="004D6432">
        <w:rPr>
          <w:rFonts w:cs="Arial"/>
          <w:b/>
          <w:color w:val="0B5D43"/>
          <w:sz w:val="24"/>
          <w:szCs w:val="24"/>
        </w:rPr>
        <w:t>9. Informes presupuestales de ejecución</w:t>
      </w:r>
    </w:p>
    <w:p w14:paraId="0F00A547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Respuesta correcta: </w:t>
      </w:r>
      <w:r w:rsidRPr="004D6432">
        <w:rPr>
          <w:rFonts w:cs="Arial"/>
          <w:color w:val="222222"/>
          <w:sz w:val="24"/>
          <w:szCs w:val="24"/>
        </w:rPr>
        <w:t>B. Remitir oportunamente los informes de ejecución.</w:t>
      </w:r>
    </w:p>
    <w:p w14:paraId="26D15A1A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Fundamento normativo y </w:t>
      </w:r>
      <w:r w:rsidRPr="004D6432">
        <w:rPr>
          <w:rFonts w:cs="Arial"/>
          <w:b/>
          <w:color w:val="074632"/>
          <w:sz w:val="24"/>
          <w:szCs w:val="24"/>
        </w:rPr>
        <w:t xml:space="preserve">técnico: </w:t>
      </w:r>
      <w:r w:rsidRPr="004D6432">
        <w:rPr>
          <w:rFonts w:cs="Arial"/>
          <w:color w:val="222222"/>
          <w:sz w:val="24"/>
          <w:szCs w:val="24"/>
        </w:rPr>
        <w:t>El Módulo 4 indica que la Resolución 036 de 1998 y el artículo 93 del Decreto 111 de 1996 regulan registros e informes presupuestales y señala el Informe Mensual de Ejecución del Presupuesto de Ingresos y el Informe Mensual de Ejecución del Presup</w:t>
      </w:r>
      <w:r w:rsidRPr="004D6432">
        <w:rPr>
          <w:rFonts w:cs="Arial"/>
          <w:color w:val="222222"/>
          <w:sz w:val="24"/>
          <w:szCs w:val="24"/>
        </w:rPr>
        <w:t>uesto de Gastos.</w:t>
      </w:r>
    </w:p>
    <w:p w14:paraId="487A71F5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es correcta: </w:t>
      </w:r>
      <w:r w:rsidRPr="004D6432">
        <w:rPr>
          <w:rFonts w:cs="Arial"/>
          <w:color w:val="222222"/>
          <w:sz w:val="24"/>
          <w:szCs w:val="24"/>
        </w:rPr>
        <w:t xml:space="preserve">Los libros son fuente de información, pero el material también exige la remisión de informes para programación, ejecución y seguimiento; por ello no son opcionales por el solo hecho de llevar registros </w:t>
      </w:r>
      <w:r w:rsidRPr="004D6432">
        <w:rPr>
          <w:rFonts w:cs="Arial"/>
          <w:color w:val="222222"/>
          <w:sz w:val="24"/>
          <w:szCs w:val="24"/>
        </w:rPr>
        <w:t>internos.</w:t>
      </w:r>
    </w:p>
    <w:p w14:paraId="1C72AE08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no las demás: </w:t>
      </w:r>
      <w:r w:rsidRPr="004D6432">
        <w:rPr>
          <w:rFonts w:cs="Arial"/>
          <w:color w:val="222222"/>
          <w:sz w:val="24"/>
          <w:szCs w:val="24"/>
        </w:rPr>
        <w:t>A desconoce la obligación informativa; C elimina uno de los informes previstos; D confunde estados financieros con reportes específicos de ejecución presupuestal.</w:t>
      </w:r>
    </w:p>
    <w:p w14:paraId="70BBDAE3" w14:textId="77777777" w:rsidR="004D6432" w:rsidRDefault="004D6432">
      <w:pPr>
        <w:keepNext/>
        <w:keepLines/>
        <w:spacing w:before="100" w:after="40"/>
        <w:rPr>
          <w:rFonts w:cs="Arial"/>
          <w:b/>
          <w:color w:val="0B5D43"/>
          <w:sz w:val="24"/>
          <w:szCs w:val="24"/>
        </w:rPr>
      </w:pPr>
    </w:p>
    <w:p w14:paraId="51EC4BDA" w14:textId="56D2D17F" w:rsidR="00946419" w:rsidRPr="004D6432" w:rsidRDefault="008D57A3">
      <w:pPr>
        <w:keepNext/>
        <w:keepLines/>
        <w:spacing w:before="100" w:after="40"/>
        <w:rPr>
          <w:rFonts w:cs="Arial"/>
          <w:sz w:val="24"/>
          <w:szCs w:val="24"/>
        </w:rPr>
      </w:pPr>
      <w:r w:rsidRPr="004D6432">
        <w:rPr>
          <w:rFonts w:cs="Arial"/>
          <w:b/>
          <w:color w:val="0B5D43"/>
          <w:sz w:val="24"/>
          <w:szCs w:val="24"/>
        </w:rPr>
        <w:t>10. Veeduría ciudadana sobre recursos públicos</w:t>
      </w:r>
    </w:p>
    <w:p w14:paraId="7126BCB0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Respuesta correcta: </w:t>
      </w:r>
      <w:r w:rsidRPr="004D6432">
        <w:rPr>
          <w:rFonts w:cs="Arial"/>
          <w:color w:val="222222"/>
          <w:sz w:val="24"/>
          <w:szCs w:val="24"/>
        </w:rPr>
        <w:t>C. Organizar una veeduría ciudadana.</w:t>
      </w:r>
    </w:p>
    <w:p w14:paraId="7621AB9D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Fundamento normativo y técnico: </w:t>
      </w:r>
      <w:r w:rsidRPr="004D6432">
        <w:rPr>
          <w:rFonts w:cs="Arial"/>
          <w:color w:val="222222"/>
          <w:sz w:val="24"/>
          <w:szCs w:val="24"/>
        </w:rPr>
        <w:t xml:space="preserve">El Módulo 4 reproduce la </w:t>
      </w:r>
      <w:r w:rsidRPr="004D6432">
        <w:rPr>
          <w:rFonts w:cs="Arial"/>
          <w:color w:val="222222"/>
          <w:sz w:val="24"/>
          <w:szCs w:val="24"/>
        </w:rPr>
        <w:t>definición de veeduría ciudadana de la Ley 850 de 2003 y la relaciona con el artículo 270 de la Constitución: es un mecanismo democrático para ejercer vigilancia sobre la gestión pública en ámbitos donde se empleen recursos públicos.</w:t>
      </w:r>
    </w:p>
    <w:p w14:paraId="04C193A9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es correcta: </w:t>
      </w:r>
      <w:r w:rsidRPr="004D6432">
        <w:rPr>
          <w:rFonts w:cs="Arial"/>
          <w:color w:val="222222"/>
          <w:sz w:val="24"/>
          <w:szCs w:val="24"/>
        </w:rPr>
        <w:t>E</w:t>
      </w:r>
      <w:r w:rsidRPr="004D6432">
        <w:rPr>
          <w:rFonts w:cs="Arial"/>
          <w:color w:val="222222"/>
          <w:sz w:val="24"/>
          <w:szCs w:val="24"/>
        </w:rPr>
        <w:t>l grupo desea vigilar un contrato y hacer seguimiento sin asumir competencias administrativas ni fiscales. La veeduría es el mecanismo de participación descrito para ese propósito.</w:t>
      </w:r>
    </w:p>
    <w:p w14:paraId="114A63FC" w14:textId="77777777" w:rsidR="00946419" w:rsidRPr="004D6432" w:rsidRDefault="008D57A3">
      <w:pPr>
        <w:spacing w:after="40"/>
        <w:ind w:left="144"/>
        <w:rPr>
          <w:rFonts w:cs="Arial"/>
          <w:sz w:val="24"/>
          <w:szCs w:val="24"/>
        </w:rPr>
      </w:pPr>
      <w:r w:rsidRPr="004D6432">
        <w:rPr>
          <w:rFonts w:cs="Arial"/>
          <w:b/>
          <w:color w:val="074632"/>
          <w:sz w:val="24"/>
          <w:szCs w:val="24"/>
        </w:rPr>
        <w:t xml:space="preserve">Por qué no las demás: </w:t>
      </w:r>
      <w:r w:rsidRPr="004D6432">
        <w:rPr>
          <w:rFonts w:cs="Arial"/>
          <w:color w:val="222222"/>
          <w:sz w:val="24"/>
          <w:szCs w:val="24"/>
        </w:rPr>
        <w:t>A crea una figura inexistente y confunde participació</w:t>
      </w:r>
      <w:r w:rsidRPr="004D6432">
        <w:rPr>
          <w:rFonts w:cs="Arial"/>
          <w:color w:val="222222"/>
          <w:sz w:val="24"/>
          <w:szCs w:val="24"/>
        </w:rPr>
        <w:t>n con control interno; B atribuye a los ciudadanos una potestad institucional que no tienen; D supone una delegación del control político que no corresponde al mecanismo planteado.</w:t>
      </w:r>
    </w:p>
    <w:p w14:paraId="5474DA65" w14:textId="77777777" w:rsidR="00946419" w:rsidRPr="004D6432" w:rsidRDefault="008D57A3">
      <w:pPr>
        <w:rPr>
          <w:rFonts w:cs="Arial"/>
          <w:sz w:val="24"/>
          <w:szCs w:val="24"/>
        </w:rPr>
      </w:pPr>
      <w:r w:rsidRPr="004D6432">
        <w:rPr>
          <w:rFonts w:cs="Arial"/>
          <w:sz w:val="24"/>
          <w:szCs w:val="24"/>
        </w:rPr>
        <w:br w:type="page"/>
      </w:r>
    </w:p>
    <w:p w14:paraId="21EB3E44" w14:textId="0F03228A" w:rsidR="00946419" w:rsidRPr="004D6432" w:rsidRDefault="008D57A3">
      <w:pPr>
        <w:keepNext/>
        <w:keepLines/>
        <w:spacing w:before="120" w:after="120"/>
        <w:rPr>
          <w:rFonts w:cs="Arial"/>
          <w:b/>
          <w:color w:val="0B5D43"/>
          <w:sz w:val="24"/>
          <w:szCs w:val="24"/>
          <w:lang w:val="es-CO"/>
        </w:rPr>
      </w:pPr>
      <w:r w:rsidRPr="004D6432">
        <w:rPr>
          <w:rFonts w:cs="Arial"/>
          <w:b/>
          <w:color w:val="0B5D43"/>
          <w:sz w:val="24"/>
          <w:szCs w:val="24"/>
        </w:rPr>
        <w:lastRenderedPageBreak/>
        <w:t xml:space="preserve">Normativa y </w:t>
      </w:r>
      <w:r w:rsidRPr="004D6432">
        <w:rPr>
          <w:rFonts w:cs="Arial"/>
          <w:b/>
          <w:color w:val="0B5D43"/>
          <w:sz w:val="24"/>
          <w:szCs w:val="24"/>
          <w:lang w:val="es-CO"/>
        </w:rPr>
        <w:t>referentes técnicos utilizados</w:t>
      </w:r>
      <w:r w:rsidR="004D6432" w:rsidRPr="004D6432">
        <w:rPr>
          <w:rFonts w:cs="Arial"/>
          <w:b/>
          <w:color w:val="0B5D43"/>
          <w:sz w:val="24"/>
          <w:szCs w:val="24"/>
          <w:lang w:val="es-CO"/>
        </w:rPr>
        <w:t>.</w:t>
      </w:r>
    </w:p>
    <w:p w14:paraId="0650D05E" w14:textId="77777777" w:rsidR="004D6432" w:rsidRPr="004D6432" w:rsidRDefault="004D6432">
      <w:pPr>
        <w:keepNext/>
        <w:keepLines/>
        <w:spacing w:before="120" w:after="120"/>
        <w:rPr>
          <w:rFonts w:cs="Arial"/>
          <w:sz w:val="24"/>
          <w:szCs w:val="24"/>
        </w:rPr>
      </w:pPr>
    </w:p>
    <w:p w14:paraId="58C08DEB" w14:textId="5D417849" w:rsidR="00946419" w:rsidRPr="004D6432" w:rsidRDefault="008D57A3" w:rsidP="004D6432">
      <w:pPr>
        <w:pStyle w:val="Prrafodelista"/>
        <w:numPr>
          <w:ilvl w:val="0"/>
          <w:numId w:val="10"/>
        </w:numPr>
        <w:spacing w:after="60"/>
        <w:rPr>
          <w:rFonts w:cs="Arial"/>
          <w:sz w:val="24"/>
          <w:szCs w:val="24"/>
          <w:lang w:val="es-CO"/>
        </w:rPr>
      </w:pPr>
      <w:r w:rsidRPr="004D6432">
        <w:rPr>
          <w:rFonts w:cs="Arial"/>
          <w:sz w:val="24"/>
          <w:szCs w:val="24"/>
          <w:lang w:val="es-CO"/>
        </w:rPr>
        <w:t>Decreto 111 de 1996 — Estatuto Orgánico del Presupuesto, de acuerdo con los artículos y temas citados en el material aporta</w:t>
      </w:r>
      <w:r w:rsidRPr="004D6432">
        <w:rPr>
          <w:rFonts w:cs="Arial"/>
          <w:sz w:val="24"/>
          <w:szCs w:val="24"/>
          <w:lang w:val="es-CO"/>
        </w:rPr>
        <w:t>do.</w:t>
      </w:r>
    </w:p>
    <w:p w14:paraId="6E115AB1" w14:textId="703DDF19" w:rsidR="00946419" w:rsidRPr="004D6432" w:rsidRDefault="008D57A3" w:rsidP="004D6432">
      <w:pPr>
        <w:pStyle w:val="Prrafodelista"/>
        <w:numPr>
          <w:ilvl w:val="0"/>
          <w:numId w:val="10"/>
        </w:numPr>
        <w:spacing w:after="60"/>
        <w:rPr>
          <w:rFonts w:cs="Arial"/>
          <w:sz w:val="24"/>
          <w:szCs w:val="24"/>
          <w:lang w:val="es-CO"/>
        </w:rPr>
      </w:pPr>
      <w:r w:rsidRPr="004D6432">
        <w:rPr>
          <w:rFonts w:cs="Arial"/>
          <w:sz w:val="24"/>
          <w:szCs w:val="24"/>
          <w:lang w:val="es-CO"/>
        </w:rPr>
        <w:t>Ley 617 de 2000 — racionalización del gasto y límites de funcionamiento de entidades territoriales, conforme al cuestionario y al Módulo 4.</w:t>
      </w:r>
    </w:p>
    <w:p w14:paraId="2AD12ED7" w14:textId="1B4ACF07" w:rsidR="00946419" w:rsidRPr="004D6432" w:rsidRDefault="008D57A3" w:rsidP="004D6432">
      <w:pPr>
        <w:pStyle w:val="Prrafodelista"/>
        <w:numPr>
          <w:ilvl w:val="0"/>
          <w:numId w:val="10"/>
        </w:numPr>
        <w:spacing w:after="60"/>
        <w:rPr>
          <w:rFonts w:cs="Arial"/>
          <w:sz w:val="24"/>
          <w:szCs w:val="24"/>
          <w:lang w:val="es-CO"/>
        </w:rPr>
      </w:pPr>
      <w:r w:rsidRPr="004D6432">
        <w:rPr>
          <w:rFonts w:cs="Arial"/>
          <w:sz w:val="24"/>
          <w:szCs w:val="24"/>
          <w:lang w:val="es-CO"/>
        </w:rPr>
        <w:t>Ley 549 de 1999 — tratamiento del pasivo pensional y FONPET, según el contenido del módulo.</w:t>
      </w:r>
    </w:p>
    <w:p w14:paraId="35FEAF5E" w14:textId="143CAA69" w:rsidR="00946419" w:rsidRPr="004D6432" w:rsidRDefault="008D57A3" w:rsidP="004D6432">
      <w:pPr>
        <w:pStyle w:val="Prrafodelista"/>
        <w:numPr>
          <w:ilvl w:val="0"/>
          <w:numId w:val="10"/>
        </w:numPr>
        <w:spacing w:after="60"/>
        <w:rPr>
          <w:rFonts w:cs="Arial"/>
          <w:sz w:val="24"/>
          <w:szCs w:val="24"/>
          <w:lang w:val="es-CO"/>
        </w:rPr>
      </w:pPr>
      <w:r w:rsidRPr="004D6432">
        <w:rPr>
          <w:rFonts w:cs="Arial"/>
          <w:sz w:val="24"/>
          <w:szCs w:val="24"/>
          <w:lang w:val="es-CO"/>
        </w:rPr>
        <w:t>Constitución P</w:t>
      </w:r>
      <w:r w:rsidRPr="004D6432">
        <w:rPr>
          <w:rFonts w:cs="Arial"/>
          <w:sz w:val="24"/>
          <w:szCs w:val="24"/>
          <w:lang w:val="es-CO"/>
        </w:rPr>
        <w:t>olítica de Colombia — artículos 209, 267, 269, 270 y 343, conforme a los apartados de control y evaluación incluidos en el Módulo 4.</w:t>
      </w:r>
    </w:p>
    <w:p w14:paraId="069A8B02" w14:textId="07634159" w:rsidR="00946419" w:rsidRPr="004D6432" w:rsidRDefault="008D57A3" w:rsidP="004D6432">
      <w:pPr>
        <w:pStyle w:val="Prrafodelista"/>
        <w:numPr>
          <w:ilvl w:val="0"/>
          <w:numId w:val="10"/>
        </w:numPr>
        <w:spacing w:after="60"/>
        <w:rPr>
          <w:rFonts w:cs="Arial"/>
          <w:sz w:val="24"/>
          <w:szCs w:val="24"/>
          <w:lang w:val="es-CO"/>
        </w:rPr>
      </w:pPr>
      <w:r w:rsidRPr="004D6432">
        <w:rPr>
          <w:rFonts w:cs="Arial"/>
          <w:sz w:val="24"/>
          <w:szCs w:val="24"/>
          <w:lang w:val="es-CO"/>
        </w:rPr>
        <w:t>Ley 87 de 1993 — Sistema de Control Interno.</w:t>
      </w:r>
    </w:p>
    <w:p w14:paraId="71D387BE" w14:textId="40C11B6D" w:rsidR="00946419" w:rsidRPr="004D6432" w:rsidRDefault="008D57A3" w:rsidP="004D6432">
      <w:pPr>
        <w:pStyle w:val="Prrafodelista"/>
        <w:numPr>
          <w:ilvl w:val="0"/>
          <w:numId w:val="10"/>
        </w:numPr>
        <w:spacing w:after="60"/>
        <w:rPr>
          <w:rFonts w:cs="Arial"/>
          <w:sz w:val="24"/>
          <w:szCs w:val="24"/>
          <w:lang w:val="es-CO"/>
        </w:rPr>
      </w:pPr>
      <w:r w:rsidRPr="004D6432">
        <w:rPr>
          <w:rFonts w:cs="Arial"/>
          <w:sz w:val="24"/>
          <w:szCs w:val="24"/>
          <w:lang w:val="es-CO"/>
        </w:rPr>
        <w:t>Ley 850 de 2003 — veedurías ciudadanas.</w:t>
      </w:r>
    </w:p>
    <w:p w14:paraId="5B0B70D1" w14:textId="677BAC37" w:rsidR="00946419" w:rsidRPr="004D6432" w:rsidRDefault="008D57A3" w:rsidP="004D6432">
      <w:pPr>
        <w:pStyle w:val="Prrafodelista"/>
        <w:numPr>
          <w:ilvl w:val="0"/>
          <w:numId w:val="10"/>
        </w:numPr>
        <w:spacing w:after="60"/>
        <w:rPr>
          <w:rFonts w:cs="Arial"/>
          <w:sz w:val="24"/>
          <w:szCs w:val="24"/>
          <w:lang w:val="es-CO"/>
        </w:rPr>
      </w:pPr>
      <w:r w:rsidRPr="004D6432">
        <w:rPr>
          <w:rFonts w:cs="Arial"/>
          <w:sz w:val="24"/>
          <w:szCs w:val="24"/>
          <w:lang w:val="es-CO"/>
        </w:rPr>
        <w:t>Resolución 036 de 1998 de la Dir</w:t>
      </w:r>
      <w:r w:rsidRPr="004D6432">
        <w:rPr>
          <w:rFonts w:cs="Arial"/>
          <w:sz w:val="24"/>
          <w:szCs w:val="24"/>
          <w:lang w:val="es-CO"/>
        </w:rPr>
        <w:t>ección General del Presupuesto Nacional — registros e informes presupuestales, conforme al material aportado.</w:t>
      </w:r>
    </w:p>
    <w:p w14:paraId="60F3F83C" w14:textId="0C212345" w:rsidR="00946419" w:rsidRPr="004D6432" w:rsidRDefault="008D57A3" w:rsidP="004D6432">
      <w:pPr>
        <w:pStyle w:val="Prrafodelista"/>
        <w:numPr>
          <w:ilvl w:val="0"/>
          <w:numId w:val="10"/>
        </w:numPr>
        <w:spacing w:after="60"/>
        <w:rPr>
          <w:rFonts w:cs="Arial"/>
          <w:sz w:val="24"/>
          <w:szCs w:val="24"/>
          <w:lang w:val="es-CO"/>
        </w:rPr>
      </w:pPr>
      <w:r w:rsidRPr="004D6432">
        <w:rPr>
          <w:rFonts w:cs="Arial"/>
          <w:sz w:val="24"/>
          <w:szCs w:val="24"/>
          <w:lang w:val="es-CO"/>
        </w:rPr>
        <w:t>Cuestionario Módulo 4 aportado por la Academia de Formación Líderes del Mérito S.A.S., utilizado como fuente temática y normativa para la reform</w:t>
      </w:r>
      <w:r w:rsidRPr="004D6432">
        <w:rPr>
          <w:rFonts w:cs="Arial"/>
          <w:sz w:val="24"/>
          <w:szCs w:val="24"/>
          <w:lang w:val="es-CO"/>
        </w:rPr>
        <w:t>ulación de los diez ítems.</w:t>
      </w:r>
    </w:p>
    <w:p w14:paraId="0A870EBC" w14:textId="17344C61" w:rsidR="00946419" w:rsidRPr="004D6432" w:rsidRDefault="008D57A3" w:rsidP="004D6432">
      <w:pPr>
        <w:pStyle w:val="Prrafodelista"/>
        <w:numPr>
          <w:ilvl w:val="0"/>
          <w:numId w:val="10"/>
        </w:numPr>
        <w:spacing w:after="60"/>
        <w:rPr>
          <w:rFonts w:cs="Arial"/>
          <w:sz w:val="24"/>
          <w:szCs w:val="24"/>
        </w:rPr>
      </w:pPr>
      <w:r w:rsidRPr="004D6432">
        <w:rPr>
          <w:rFonts w:cs="Arial"/>
          <w:sz w:val="24"/>
          <w:szCs w:val="24"/>
          <w:lang w:val="es-CO"/>
        </w:rPr>
        <w:t xml:space="preserve">Módulo 4 de la Academia de Formación Líderes del Mérito S.A.S.: Saneamiento fiscal, </w:t>
      </w:r>
      <w:r w:rsidRPr="004D6432">
        <w:rPr>
          <w:rFonts w:cs="Arial"/>
          <w:sz w:val="24"/>
          <w:szCs w:val="24"/>
        </w:rPr>
        <w:t>control, evaluación y seguimiento presupuestal.</w:t>
      </w:r>
    </w:p>
    <w:sectPr w:rsidR="00946419" w:rsidRPr="004D6432" w:rsidSect="00971513">
      <w:headerReference w:type="default" r:id="rId9"/>
      <w:footerReference w:type="default" r:id="rId10"/>
      <w:pgSz w:w="12240" w:h="15840"/>
      <w:pgMar w:top="936" w:right="1008" w:bottom="936" w:left="1008" w:header="136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39063" w14:textId="77777777" w:rsidR="008D57A3" w:rsidRDefault="008D57A3">
      <w:pPr>
        <w:spacing w:after="0"/>
      </w:pPr>
      <w:r>
        <w:separator/>
      </w:r>
    </w:p>
  </w:endnote>
  <w:endnote w:type="continuationSeparator" w:id="0">
    <w:p w14:paraId="49CDA379" w14:textId="77777777" w:rsidR="008D57A3" w:rsidRDefault="008D57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44B37" w14:textId="1885C03F" w:rsidR="00946419" w:rsidRDefault="008D57A3">
    <w:pPr>
      <w:pStyle w:val="Piedepgina"/>
      <w:jc w:val="center"/>
    </w:pPr>
    <w:r>
      <w:rPr>
        <w:color w:val="6E6E6E"/>
        <w:sz w:val="16"/>
      </w:rPr>
      <w:t>A</w:t>
    </w:r>
    <w:r>
      <w:rPr>
        <w:color w:val="6E6E6E"/>
        <w:sz w:val="16"/>
      </w:rPr>
      <w:t xml:space="preserve">cademia de Formación Líderes del Mérito S.A.S. · Evaluación Módulo 4 ·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AD10D" w14:textId="77777777" w:rsidR="008D57A3" w:rsidRDefault="008D57A3">
      <w:pPr>
        <w:spacing w:after="0"/>
      </w:pPr>
      <w:r>
        <w:separator/>
      </w:r>
    </w:p>
  </w:footnote>
  <w:footnote w:type="continuationSeparator" w:id="0">
    <w:p w14:paraId="5D03A351" w14:textId="77777777" w:rsidR="008D57A3" w:rsidRDefault="008D57A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60144" w14:textId="31CE8EFF" w:rsidR="00946419" w:rsidRPr="00971513" w:rsidRDefault="00971513" w:rsidP="00971513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C50ABA5" wp14:editId="41AB4E6E">
          <wp:simplePos x="0" y="0"/>
          <wp:positionH relativeFrom="column">
            <wp:posOffset>2963545</wp:posOffset>
          </wp:positionH>
          <wp:positionV relativeFrom="paragraph">
            <wp:posOffset>-475615</wp:posOffset>
          </wp:positionV>
          <wp:extent cx="3692769" cy="36576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520" b="34842"/>
                  <a:stretch/>
                </pic:blipFill>
                <pic:spPr bwMode="auto">
                  <a:xfrm>
                    <a:off x="0" y="0"/>
                    <a:ext cx="3692769" cy="365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12206ED2" wp14:editId="31DB1802">
          <wp:simplePos x="0" y="0"/>
          <wp:positionH relativeFrom="margin">
            <wp:posOffset>68580</wp:posOffset>
          </wp:positionH>
          <wp:positionV relativeFrom="paragraph">
            <wp:posOffset>-711834</wp:posOffset>
          </wp:positionV>
          <wp:extent cx="807720" cy="850232"/>
          <wp:effectExtent l="0" t="0" r="0" b="762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46" t="2943" r="11125" b="7101"/>
                  <a:stretch/>
                </pic:blipFill>
                <pic:spPr bwMode="auto">
                  <a:xfrm>
                    <a:off x="0" y="0"/>
                    <a:ext cx="811811" cy="8545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B0149F"/>
    <w:multiLevelType w:val="hybridMultilevel"/>
    <w:tmpl w:val="8DD2151C"/>
    <w:lvl w:ilvl="0" w:tplc="C0D4320E">
      <w:numFmt w:val="bullet"/>
      <w:lvlText w:val="•"/>
      <w:lvlJc w:val="left"/>
      <w:pPr>
        <w:ind w:left="504" w:hanging="360"/>
      </w:pPr>
      <w:rPr>
        <w:rFonts w:ascii="Arial" w:eastAsiaTheme="minorEastAsia" w:hAnsi="Arial" w:cs="Arial" w:hint="default"/>
        <w:b/>
        <w:color w:val="C79818"/>
      </w:rPr>
    </w:lvl>
    <w:lvl w:ilvl="1" w:tplc="2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415C22C0"/>
    <w:multiLevelType w:val="hybridMultilevel"/>
    <w:tmpl w:val="8CC04814"/>
    <w:lvl w:ilvl="0" w:tplc="FCF28486">
      <w:start w:val="1"/>
      <w:numFmt w:val="bullet"/>
      <w:lvlText w:val=""/>
      <w:lvlJc w:val="left"/>
      <w:pPr>
        <w:ind w:left="86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432"/>
    <w:rsid w:val="008D57A3"/>
    <w:rsid w:val="00946419"/>
    <w:rsid w:val="009715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D5546D"/>
  <w14:defaultImageDpi w14:val="300"/>
  <w15:docId w15:val="{82B3CD69-B86D-444F-841C-E9774F63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3214</Words>
  <Characters>17683</Characters>
  <Application>Microsoft Office Word</Application>
  <DocSecurity>0</DocSecurity>
  <Lines>147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Evaluación Módulo 4 - Saneamiento fiscal, control, evaluación y seguimiento presupuestal</vt:lpstr>
      <vt:lpstr/>
    </vt:vector>
  </TitlesOfParts>
  <Manager/>
  <Company/>
  <LinksUpToDate>false</LinksUpToDate>
  <CharactersWithSpaces>20856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Módulo 4 - Saneamiento fiscal, control, evaluación y seguimiento presupuestal</dc:title>
  <dc:subject>Banco de 10 casos hipotéticos de selección múltiple con única mejor respuesta</dc:subject>
  <dc:creator>Academia de Formación Líderes del Mérito S.A.S.</dc:creator>
  <cp:keywords>Módulo 4, presupuesto público, saneamiento fiscal, control, evaluación, seguimiento, casos hipotéticos</cp:keywords>
  <dc:description>generated by python-docx</dc:description>
  <cp:lastModifiedBy>USUARIO</cp:lastModifiedBy>
  <cp:revision>2</cp:revision>
  <dcterms:created xsi:type="dcterms:W3CDTF">2013-12-23T23:15:00Z</dcterms:created>
  <dcterms:modified xsi:type="dcterms:W3CDTF">2026-08-31T22:02:00Z</dcterms:modified>
  <cp:category/>
</cp:coreProperties>
</file>