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750" w:right="75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450" w:before="450" w:lineRule="auto"/>
        <w:ind w:left="750" w:right="75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750" w:right="75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50" w:right="750" w:firstLine="0"/>
        <w:rPr>
          <w:color w:val="0000ee"/>
          <w:sz w:val="18"/>
          <w:szCs w:val="18"/>
          <w:u w:val="single"/>
        </w:rPr>
      </w:pPr>
      <w:hyperlink w:anchor="gjdgxs">
        <w:r w:rsidDel="00000000" w:rsidR="00000000" w:rsidRPr="00000000">
          <w:rPr>
            <w:color w:val="0000ee"/>
            <w:sz w:val="18"/>
            <w:szCs w:val="18"/>
            <w:u w:val="single"/>
            <w:rtl w:val="0"/>
          </w:rPr>
          <w:t xml:space="preserve">About           </w:t>
        </w:r>
      </w:hyperlink>
      <w:r w:rsidDel="00000000" w:rsidR="00000000" w:rsidRPr="00000000">
        <w:rPr>
          <w:rtl w:val="0"/>
        </w:rPr>
        <w:t xml:space="preserve"> </w:t>
      </w:r>
      <w:hyperlink w:anchor="gjdgxs">
        <w:r w:rsidDel="00000000" w:rsidR="00000000" w:rsidRPr="00000000">
          <w:rPr>
            <w:color w:val="0000ee"/>
            <w:sz w:val="18"/>
            <w:szCs w:val="18"/>
            <w:u w:val="single"/>
            <w:rtl w:val="0"/>
          </w:rPr>
          <w:t xml:space="preserve">Electives           </w:t>
        </w:r>
      </w:hyperlink>
      <w:r w:rsidDel="00000000" w:rsidR="00000000" w:rsidRPr="00000000">
        <w:rPr>
          <w:rtl w:val="0"/>
        </w:rPr>
        <w:t xml:space="preserve"> </w:t>
      </w:r>
      <w:hyperlink w:anchor="gjdgxs">
        <w:r w:rsidDel="00000000" w:rsidR="00000000" w:rsidRPr="00000000">
          <w:rPr>
            <w:color w:val="0000ee"/>
            <w:sz w:val="18"/>
            <w:szCs w:val="18"/>
            <w:u w:val="single"/>
            <w:rtl w:val="0"/>
          </w:rPr>
          <w:t xml:space="preserve">BTTHS           </w:t>
        </w:r>
      </w:hyperlink>
      <w:r w:rsidDel="00000000" w:rsidR="00000000" w:rsidRPr="00000000">
        <w:rPr>
          <w:rtl w:val="0"/>
        </w:rPr>
        <w:t xml:space="preserve"> </w:t>
      </w:r>
      <w:hyperlink w:anchor="gjdgxs">
        <w:r w:rsidDel="00000000" w:rsidR="00000000" w:rsidRPr="00000000">
          <w:rPr>
            <w:color w:val="0000ee"/>
            <w:sz w:val="18"/>
            <w:szCs w:val="18"/>
            <w:u w:val="single"/>
            <w:rtl w:val="0"/>
          </w:rPr>
          <w:t xml:space="preserve">Team</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50" w:right="750" w:firstLine="0"/>
        <w:rPr>
          <w:color w:val="0000ee"/>
          <w:sz w:val="18"/>
          <w:szCs w:val="18"/>
          <w:u w:val="single"/>
        </w:rPr>
      </w:pPr>
      <w:r w:rsidDel="00000000" w:rsidR="00000000" w:rsidRPr="00000000">
        <w:rPr>
          <w:color w:val="0000ee"/>
          <w:sz w:val="18"/>
          <w:szCs w:val="18"/>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50" w:right="750" w:firstLine="0"/>
        <w:rPr>
          <w:color w:val="ffffff"/>
          <w:sz w:val="18"/>
          <w:szCs w:val="18"/>
          <w:shd w:fill="3d54b0" w:val="clear"/>
        </w:rPr>
      </w:pPr>
      <w:hyperlink r:id="rId8">
        <w:r w:rsidDel="00000000" w:rsidR="00000000" w:rsidRPr="00000000">
          <w:rPr>
            <w:color w:val="ffffff"/>
            <w:sz w:val="18"/>
            <w:szCs w:val="18"/>
            <w:shd w:fill="3d54b0" w:val="clear"/>
            <w:rtl w:val="0"/>
          </w:rPr>
          <w:t xml:space="preserve">Learn more</w:t>
        </w:r>
      </w:hyperlink>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0" w:before="0" w:lineRule="auto"/>
        <w:rPr>
          <w:color w:val="ffffff"/>
          <w:sz w:val="18"/>
          <w:szCs w:val="18"/>
          <w:shd w:fill="3d54b0"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25" w:lineRule="auto"/>
        <w:jc w:val="center"/>
        <w:rPr>
          <w:highlight w:val="white"/>
        </w:rPr>
      </w:pPr>
      <w:r w:rsidDel="00000000" w:rsidR="00000000" w:rsidRPr="00000000">
        <w:rPr>
          <w:highlight w:val="white"/>
          <w:rtl w:val="0"/>
        </w:rPr>
        <w:t xml:space="preserve">ICT AND TLE MONTH CELEBRATION 2023</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highlight w:val="white"/>
        </w:rPr>
      </w:pPr>
      <w:r w:rsidDel="00000000" w:rsidR="00000000" w:rsidRPr="00000000">
        <w:rPr>
          <w:highlight w:val="white"/>
          <w:rtl w:val="0"/>
        </w:rPr>
        <w:t xml:space="preserve">Theme: Dig Up: Rediscovering essential life skills and integrating digital citizenship for 21st century education.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As technology advances at a rapid rate, it is bound to be incorporated into every aspect of our lives, including education. This TLE and ICT Week Celebration, we celebrate the rediscovery of crucial life skills through integrated technology in 21st century. Digital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mail@business.com?subject=You've+got+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