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Kế hoạch nghiên cứu</w:t>
      </w:r>
    </w:p>
    <w:p>
      <w:pPr>
        <w:spacing w:after="80"/>
        <w:jc w:val="center"/>
      </w:pPr>
      <w:r>
        <w:rPr>
          <w:rFonts w:ascii="Calibri" w:cs="Calibri" w:eastAsia="Calibri" w:hAnsi="Calibri"/>
          <w:b/>
          <w:bCs/>
          <w:sz w:val="28"/>
          <w:szCs w:val="28"/>
        </w:rPr>
        <w:t xml:space="preserve">Dự đoán có chọn lọc dựa trên khả năng phân giải cho MLLM ảnh viễn thám</w:t>
      </w:r>
    </w:p>
    <w:p>
      <w:pPr>
        <w:spacing w:after="80"/>
        <w:jc w:val="center"/>
      </w:pPr>
      <w:r>
        <w:rPr>
          <w:rFonts w:ascii="Calibri" w:cs="Calibri" w:eastAsia="Calibri" w:hAnsi="Calibri"/>
          <w:i/>
          <w:iCs/>
          <w:sz w:val="22"/>
          <w:szCs w:val="22"/>
        </w:rPr>
        <w:t xml:space="preserve">Resolvability-Gated Selective Prediction for Remote-Sensing MLLMs — benchmark RS-Resolve, chẩn đoán đa mô hình và bộ định tuyến RGSP</w:t>
      </w:r>
    </w:p>
    <w:p>
      <w:pPr>
        <w:spacing w:after="300"/>
        <w:jc w:val="center"/>
      </w:pPr>
      <w:r>
        <w:rPr>
          <w:rFonts w:ascii="Calibri" w:cs="Calibri" w:eastAsia="Calibri" w:hAnsi="Calibri"/>
          <w:color w:val="555555"/>
          <w:sz w:val="20"/>
          <w:szCs w:val="20"/>
        </w:rPr>
        <w:t xml:space="preserve">Mục tiêu: IEEE Transactions on Geoscience and Remote Sensing (Q1). Phiên bản 07/09/2026.</w:t>
      </w:r>
    </w:p>
    <w:p>
      <w:pPr>
        <w:pStyle w:val="Heading1"/>
        <w:spacing w:after="160" w:before="360"/>
      </w:pPr>
      <w:r>
        <w:t xml:space="preserve">1. Ý tưởng trong một trang</w:t>
      </w:r>
    </w:p>
    <w:p>
      <w:pPr>
        <w:spacing w:after="120"/>
      </w:pPr>
      <w:r>
        <w:rPr>
          <w:rFonts w:ascii="Calibri" w:cs="Calibri" w:eastAsia="Calibri" w:hAnsi="Calibri"/>
          <w:b/>
          <w:bCs/>
          <w:sz w:val="22"/>
          <w:szCs w:val="22"/>
        </w:rPr>
        <w:t xml:space="preserve">Vấn đề. </w:t>
      </w:r>
      <w:r>
        <w:rPr>
          <w:rFonts w:ascii="Calibri" w:cs="Calibri" w:eastAsia="Calibri" w:hAnsi="Calibri"/>
          <w:sz w:val="22"/>
          <w:szCs w:val="22"/>
        </w:rPr>
        <w:t xml:space="preserve">Mô hình ngôn ngữ đa phương thức cho ảnh viễn thám (RS-MLLM) sai nhiều nhất khi vật thể được hỏi quá nhỏ. Các nghiên cứu gần đây đã gọi tên hiện tượng (RADAR: lỗi Type 2 "cannot see clearly"; XLRS-Bench: lỗi tập trung ở vật thể chiếm rất ít pixel) nhưng chưa ai định lượng nó bằng một đại lượng tính trước được, chưa tách hai nguyên nhân khác nhau, và chưa hỏi khi nào mô hình nên từ chối trả lời thay vì đoán.</w:t>
      </w:r>
    </w:p>
    <w:p>
      <w:pPr>
        <w:spacing w:after="120"/>
      </w:pPr>
      <w:r>
        <w:rPr>
          <w:rFonts w:ascii="Calibri" w:cs="Calibri" w:eastAsia="Calibri" w:hAnsi="Calibri"/>
          <w:b/>
          <w:bCs/>
          <w:sz w:val="22"/>
          <w:szCs w:val="22"/>
        </w:rPr>
        <w:t xml:space="preserve">Quan sát cốt lõi. </w:t>
      </w:r>
      <w:r>
        <w:rPr>
          <w:rFonts w:ascii="Calibri" w:cs="Calibri" w:eastAsia="Calibri" w:hAnsi="Calibri"/>
          <w:sz w:val="22"/>
          <w:szCs w:val="22"/>
        </w:rPr>
        <w:t xml:space="preserve">Trong viễn thám, kích thước vật lý của lớp vật thể và GSD của ảnh đều biết trước. Từ đó tính được hai con số cho mỗi câu hỏi mà không cần chạy mô hình:</w:t>
      </w:r>
    </w:p>
    <w:p>
      <w:pPr>
        <w:pStyle w:val="ListParagraph"/>
        <w:numPr>
          <w:ilvl w:val="0"/>
          <w:numId w:val="2"/>
        </w:numPr>
        <w:spacing w:after="80"/>
      </w:pPr>
      <w:r>
        <w:rPr>
          <w:rFonts w:ascii="Calibri" w:cs="Calibri" w:eastAsia="Calibri" w:hAnsi="Calibri"/>
          <w:b/>
          <w:bCs/>
          <w:sz w:val="22"/>
          <w:szCs w:val="22"/>
        </w:rPr>
        <w:t xml:space="preserve">ρ_px = L / g</w:t>
      </w:r>
      <w:r>
        <w:rPr>
          <w:rFonts w:ascii="Calibri" w:cs="Calibri" w:eastAsia="Calibri" w:hAnsi="Calibri"/>
          <w:sz w:val="22"/>
          <w:szCs w:val="22"/>
        </w:rPr>
        <w:t xml:space="preserve"> — vật thể chiếm bao nhiêu pixel gốc (L: kích thước vật lý, g: GSD). Đây là đại lượng của tiêu chí Johnson (1958) và thang NIIRS mà viễn thám dùng suốt 60 năm để dự đoán người nhìn thấy gì. Nếu ρ_px quá nhỏ, thông tin không có trong ảnh: không mô hình nào, không zoom nào cứu được.</w:t>
      </w:r>
    </w:p>
    <w:p>
      <w:pPr>
        <w:pStyle w:val="ListParagraph"/>
        <w:numPr>
          <w:ilvl w:val="0"/>
          <w:numId w:val="2"/>
        </w:numPr>
        <w:spacing w:after="80"/>
      </w:pPr>
      <w:r>
        <w:rPr>
          <w:rFonts w:ascii="Calibri" w:cs="Calibri" w:eastAsia="Calibri" w:hAnsi="Calibri"/>
          <w:b/>
          <w:bCs/>
          <w:sz w:val="22"/>
          <w:szCs w:val="22"/>
        </w:rPr>
        <w:t xml:space="preserve">ρ_tok = ρ_px · s / P</w:t>
      </w:r>
      <w:r>
        <w:rPr>
          <w:rFonts w:ascii="Calibri" w:cs="Calibri" w:eastAsia="Calibri" w:hAnsi="Calibri"/>
          <w:sz w:val="22"/>
          <w:szCs w:val="22"/>
        </w:rPr>
        <w:t xml:space="preserve"> — vật thể chiếm bao nhiêu token trong biểu diễn của mô hình (s: hệ số mô hình co/giãn ảnh, P: kích thước patch hiệu dụng). Nếu ρ_px đủ nhưng ρ_tok nhỏ, vật thể có trong ảnh nhưng không có trong token: cắt vùng quanh nó rồi hỏi lại sẽ khôi phục được. Đây là nút thắt riêng của MLLM mà Johnson không có.</w:t>
      </w:r>
    </w:p>
    <w:p>
      <w:pPr>
        <w:spacing w:after="120"/>
      </w:pPr>
      <w:r>
        <w:rPr>
          <w:rFonts w:ascii="Calibri" w:cs="Calibri" w:eastAsia="Calibri" w:hAnsi="Calibri"/>
          <w:b/>
          <w:bCs/>
          <w:sz w:val="22"/>
          <w:szCs w:val="22"/>
        </w:rPr>
        <w:t xml:space="preserve">Ba đóng góp. </w:t>
      </w:r>
      <w:r>
        <w:rPr>
          <w:rFonts w:ascii="Calibri" w:cs="Calibri" w:eastAsia="Calibri" w:hAnsi="Calibri"/>
          <w:sz w:val="22"/>
          <w:szCs w:val="22"/>
        </w:rPr>
        <w:t xml:space="preserve">(1) </w:t>
      </w:r>
      <w:r>
        <w:rPr>
          <w:rFonts w:ascii="Calibri" w:cs="Calibri" w:eastAsia="Calibri" w:hAnsi="Calibri"/>
          <w:b/>
          <w:bCs/>
          <w:sz w:val="22"/>
          <w:szCs w:val="22"/>
        </w:rPr>
        <w:t xml:space="preserve">RS-Resolve</w:t>
      </w:r>
      <w:r>
        <w:rPr>
          <w:rFonts w:ascii="Calibri" w:cs="Calibri" w:eastAsia="Calibri" w:hAnsi="Calibri"/>
          <w:sz w:val="22"/>
          <w:szCs w:val="22"/>
        </w:rPr>
        <w:t xml:space="preserve">: benchmark 30–40 nghìn câu hỏi sinh tự động từ nhãn phát hiện vật thể và GSD của DOTA-v2, DIOR, xView, VisDrone, iSAID; mỗi câu gắn ρ_px, ρ_tok, mật độ, loại thuộc tính và cờ "không thể trả lời do cảm biến" được neo bằng ngưỡng của người. (2) </w:t>
      </w:r>
      <w:r>
        <w:rPr>
          <w:rFonts w:ascii="Calibri" w:cs="Calibri" w:eastAsia="Calibri" w:hAnsi="Calibri"/>
          <w:b/>
          <w:bCs/>
          <w:sz w:val="22"/>
          <w:szCs w:val="22"/>
        </w:rPr>
        <w:t xml:space="preserve">Chẩn đoán</w:t>
      </w:r>
      <w:r>
        <w:rPr>
          <w:rFonts w:ascii="Calibri" w:cs="Calibri" w:eastAsia="Calibri" w:hAnsi="Calibri"/>
          <w:sz w:val="22"/>
          <w:szCs w:val="22"/>
        </w:rPr>
        <w:t xml:space="preserve"> trên ≥ 8 MLLM: chứng minh nút thắt token tồn tại độc lập với nút thắt pixel bằng thí nghiệm giữ ảnh cố định và chỉ đổi trần độ phân giải của mô hình; đo tiêu chí Johnson cho MLLM. (3) </w:t>
      </w:r>
      <w:r>
        <w:rPr>
          <w:rFonts w:ascii="Calibri" w:cs="Calibri" w:eastAsia="Calibri" w:hAnsi="Calibri"/>
          <w:b/>
          <w:bCs/>
          <w:sz w:val="22"/>
          <w:szCs w:val="22"/>
        </w:rPr>
        <w:t xml:space="preserve">RGSP</w:t>
      </w:r>
      <w:r>
        <w:rPr>
          <w:rFonts w:ascii="Calibri" w:cs="Calibri" w:eastAsia="Calibri" w:hAnsi="Calibri"/>
          <w:sz w:val="22"/>
          <w:szCs w:val="22"/>
        </w:rPr>
        <w:t xml:space="preserve">: bộ định tuyến không cần huấn luyện với bốn nhánh — từ chối / từ chối vì zoom không đủ / zoom xác định / trả lời — quyết định từ hai con số trên, ngưỡng hiệu chỉnh có bảo đảm thống kê về tỷ lệ sai.</w:t>
      </w:r>
    </w:p>
    <w:p>
      <w:pPr>
        <w:spacing w:after="120"/>
      </w:pPr>
      <w:r>
        <w:rPr>
          <w:rFonts w:ascii="Calibri" w:cs="Calibri" w:eastAsia="Calibri" w:hAnsi="Calibri"/>
          <w:b/>
          <w:bCs/>
          <w:sz w:val="22"/>
          <w:szCs w:val="22"/>
        </w:rPr>
        <w:t xml:space="preserve">Vì sao khả thi. </w:t>
      </w:r>
      <w:r>
        <w:rPr>
          <w:rFonts w:ascii="Calibri" w:cs="Calibri" w:eastAsia="Calibri" w:hAnsi="Calibri"/>
          <w:sz w:val="22"/>
          <w:szCs w:val="22"/>
        </w:rPr>
        <w:t xml:space="preserve">Không huấn luyện gì; ảnh và nhãn có sẵn; câu hỏi sinh bằng script; chỉ ~1 000 câu cần người. Inference 7–8B trên GPU 48 GB. 6–8 tuần đến bản thảo có số, với điểm dừng sớm sau 2 tuần nếu giả thuyết chính sai.</w:t>
      </w:r>
    </w:p>
    <w:p>
      <w:pPr>
        <w:pStyle w:val="Heading1"/>
        <w:spacing w:after="160" w:before="360"/>
      </w:pPr>
      <w:r>
        <w:t xml:space="preserve">2. Bối cảnh và khoảng trống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3510"/>
        <w:gridCol w:w="3276"/>
      </w:tblGrid>
      <w:tr>
        <w:trPr>
          <w:tblHeader/>
        </w:trPr>
        <w:tc>
          <w:tcPr>
            <w:tcW w:type="dxa" w:w="2574"/>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Công trình</w:t>
            </w:r>
          </w:p>
        </w:tc>
        <w:tc>
          <w:tcPr>
            <w:tcW w:type="dxa" w:w="351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Đã làm</w:t>
            </w:r>
          </w:p>
        </w:tc>
        <w:tc>
          <w:tcPr>
            <w:tcW w:type="dxa" w:w="3276"/>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Chưa làm</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RADAR / RSHBench (arXiv:2603.02754)</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Taxonomy lỗi Type 1 "cannot find" / Type 2 "cannot see clearly"; zoom theo attention; focus test</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đo Type 2 bằng biến vật lý; không hỏi "sửa được hay phải từ chối"</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RSHallu (arXiv:2602.10799)</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Ba bộ đánh giá hallucination; hiệu chỉnh logit + prompt</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có trục độ phân giải / GSD</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XLRS-Bench, RSHR-Bench, UHR-Micro</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Ghi nhận lỗi tập trung ở vật thể ít pixel; "resolution illusion"</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Định tính; đo bằng tỷ lệ diện tích, không theo GSD hay token</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CHOICE (NeurIPS D&amp;B 2025)</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RS-VLM từ chối kém; kêu gọi chú trọng refusal</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có cơ chế</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ScaleEarth (arXiv:2605.07562)</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GSD là biến vật lý liên tục để huấn luyện</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Training-based; không đo hallucination theo footprint; không từ chối</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Zoom/UHR: ZoomEarth, GeoEyes, LRS-VQA, GeoLLaVA-8K, UHR-BAT</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Nhìn kỹ hơn bằng crop / chọn token</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Ngầm định zoom luôn giúp; không phân biệt "chưa nhìn" và "không thể nhìn"</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Do You See Me; ViCrop</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Độ chính xác MLLM phụ thuộc kích thước so với patch (hình tổng hợp, ảnh tự nhiên)</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Chưa kiểm chứng trên ảnh viễn thám với GSD thật</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Selective prediction VLM: SIEVES, FUSE (2026)</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Khung risk–coverage cho VLM; SIEVES có tập con RS</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Mọi tín hiệu đều sinh từ mô hình; không có tiên nghiệm vật lý; chưa có cho RS-VQA</w:t>
            </w:r>
          </w:p>
        </w:tc>
      </w:tr>
      <w:tr>
        <w:tc>
          <w:tcPr>
            <w:tcW w:type="dxa" w:w="257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Johnson criteria; NIIRS / GIQE</w:t>
            </w:r>
          </w:p>
        </w:tc>
        <w:tc>
          <w:tcPr>
            <w:tcW w:type="dxa" w:w="351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Số pixel cần cho detection / recognition / identification ở người</w:t>
            </w:r>
          </w:p>
        </w:tc>
        <w:tc>
          <w:tcPr>
            <w:tcW w:type="dxa" w:w="327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Chưa đo cho MLLM; không có khái niệm token</w:t>
            </w:r>
          </w:p>
        </w:tc>
      </w:tr>
    </w:tbl>
    <w:p>
      <w:pPr>
        <w:spacing w:after="120"/>
      </w:pPr>
      <w:r>
        <w:rPr>
          <w:rFonts w:ascii="Calibri" w:cs="Calibri" w:eastAsia="Calibri" w:hAnsi="Calibri"/>
          <w:b/>
          <w:bCs/>
          <w:sz w:val="22"/>
          <w:szCs w:val="22"/>
        </w:rPr>
        <w:t xml:space="preserve">Khoảng trống: </w:t>
      </w:r>
      <w:r>
        <w:rPr>
          <w:rFonts w:ascii="Calibri" w:cs="Calibri" w:eastAsia="Calibri" w:hAnsi="Calibri"/>
          <w:sz w:val="22"/>
          <w:szCs w:val="22"/>
        </w:rPr>
        <w:t xml:space="preserve">chưa công trình nào (a) gắn nhãn khả năng phân giải theo footprint vật lý ÷ GSD ÷ patch cho câu hỏi RS-VQA, (b) đo hallucination và hành vi từ chối của RS-MLLM theo nhãn đó, (c) dùng tiên nghiệm vật lý tính trước làm tín hiệu cho dự đoán có chọn lọc. Đã kiểm chứng qua 16 vòng tra cứu đến 04/09/2026; sẽ tra lại ở tuần 8 và trước khi nộp.</w:t>
      </w:r>
    </w:p>
    <w:p>
      <w:pPr>
        <w:spacing w:after="120"/>
      </w:pPr>
      <w:r>
        <w:rPr>
          <w:rFonts w:ascii="Calibri" w:cs="Calibri" w:eastAsia="Calibri" w:hAnsi="Calibri"/>
          <w:b/>
          <w:bCs/>
          <w:sz w:val="22"/>
          <w:szCs w:val="22"/>
        </w:rPr>
        <w:t xml:space="preserve">Không claim: </w:t>
      </w:r>
      <w:r>
        <w:rPr>
          <w:rFonts w:ascii="Calibri" w:cs="Calibri" w:eastAsia="Calibri" w:hAnsi="Calibri"/>
          <w:sz w:val="22"/>
          <w:szCs w:val="22"/>
        </w:rPr>
        <w:t xml:space="preserve">selective prediction cho VLM, ảnh hưởng của kích thước lên MLLM, benchmark câu hỏi không thể trả lời, và mối liên hệ pixel–khả năng diễn giải đều đã có. Điều mới là đo tiêu chí Johnson cho MLLM, tách thêm nút thắt token, và dùng hai đại lượng đó để định tuyến có bảo đảm rủi ro.</w:t>
      </w:r>
    </w:p>
    <w:p>
      <w:pPr>
        <w:pStyle w:val="Heading1"/>
        <w:spacing w:after="160" w:before="360"/>
      </w:pPr>
      <w:r>
        <w:t xml:space="preserve">3. Câu hỏi nghiên cứu và giả thuyết</w:t>
      </w:r>
    </w:p>
    <w:p>
      <w:pPr>
        <w:spacing w:after="120"/>
      </w:pPr>
      <w:r>
        <w:rPr>
          <w:rFonts w:ascii="Calibri" w:cs="Calibri" w:eastAsia="Calibri" w:hAnsi="Calibri"/>
          <w:b/>
          <w:bCs/>
          <w:sz w:val="22"/>
          <w:szCs w:val="22"/>
        </w:rPr>
        <w:t xml:space="preserve">Câu hỏi: </w:t>
      </w:r>
      <w:r>
        <w:rPr>
          <w:rFonts w:ascii="Calibri" w:cs="Calibri" w:eastAsia="Calibri" w:hAnsi="Calibri"/>
          <w:sz w:val="22"/>
          <w:szCs w:val="22"/>
        </w:rPr>
        <w:t xml:space="preserve">Khi vật thể được hỏi nằm dưới ngưỡng phân giải của cảm biến hoặc của bộ mã hoá, RS-MLLM có hallucinate thay vì từ chối không? Hiện tượng đó có dự đoán được từ GSD và kích thước vật lý không? Và một quy tắc từ chối / zoom dựa trên hai con số tính trước có tốt hơn confidence của chính mô hình về mặt coverage ở cùng mức rủi ro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78"/>
        <w:gridCol w:w="3042"/>
      </w:tblGrid>
      <w:tr>
        <w:trPr>
          <w:tblHeader/>
        </w:trPr>
        <w:tc>
          <w:tcPr>
            <w:tcW w:type="dxa" w:w="234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Giả thuyết</w:t>
            </w:r>
          </w:p>
        </w:tc>
        <w:tc>
          <w:tcPr>
            <w:tcW w:type="dxa" w:w="3978"/>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Nội dung</w:t>
            </w:r>
          </w:p>
        </w:tc>
        <w:tc>
          <w:tcPr>
            <w:tcW w:type="dxa" w:w="3042"/>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Cách kiểm định</w:t>
            </w:r>
          </w:p>
        </w:tc>
      </w:tr>
      <w:tr>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H1 — Nút thắt token tồn tại</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Giữ ảnh cố định (ρ_px, ngữ cảnh, mật độ không đổi), chỉ đổi trần độ phân giải đầu vào của mô hình để đổi ρ_tok: tỷ lệ thất bại giảm khi ρ_tok tăng</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Mô hình hỗn hợp logistic với hiệu ứng ngẫu nhiên theo instance; hệ số của log ρ_tok âm có ý nghĩa ở ≥ 2/3 mô hình</w:t>
            </w:r>
          </w:p>
        </w:tc>
      </w:tr>
      <w:tr>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H2 — Hai ngưỡng</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Ngưỡng cảm biến p₀ (theo pixel gốc) gần độc lập mô hình và cùng bậc với người và với Johnson; ngưỡng bộ mã hoá ρ* ổn định theo token xuyên kiến trúc, trong khi ngưỡng theo pixel mô hình hay GSD thì không</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Hệ số biến thiên xuyên mô hình; bootstrap CI; so với ngưỡng người</w:t>
            </w:r>
          </w:p>
        </w:tc>
      </w:tr>
      <w:tr>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H3 — Bậc thang Johnson</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Thuộc tính suy giảm theo thứ tự tần số không gian: màu (thấp) &lt; tồn tại &lt; trục định hướng &lt; lớp &lt; loại con</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Ngưỡng 50 % theo ρ_px của từng loại; kiểm định thứ tự đơn điệu (Jonckheere)</w:t>
            </w:r>
          </w:p>
        </w:tc>
      </w:tr>
      <w:tr>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H4 — Zoom giúp đúng một ô</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Zoom giảm thất bại chỉ khi ρ_px đủ nhưng ρ_tok thiếu và zoom tối đa cho phép đủ đưa ρ_tok qua ngưỡng; không giúp khi ρ_px thiếu</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 trận (ρ_px, ρ_tok); Δ thất bại so với zero-shot theo ô</w:t>
            </w:r>
          </w:p>
        </w:tc>
      </w:tr>
      <w:tr>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H5 — Tiên nghiệm tốt hơn confidence</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Ở cùng selective risk α, RGSP đạt coverage cao hơn confidence nội tại, điểm bằng chứng thị giác, prompt từ chối, và bảng tra lớp × GSD</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Risk–coverage, coverage@α, AURC; paired bootstrap</w:t>
            </w:r>
          </w:p>
        </w:tc>
      </w:tr>
    </w:tbl>
    <w:p>
      <w:pPr>
        <w:pStyle w:val="Heading1"/>
        <w:spacing w:after="160" w:before="360"/>
      </w:pPr>
      <w:r>
        <w:t xml:space="preserve">4. Định nghĩa</w:t>
      </w:r>
    </w:p>
    <w:p>
      <w:pPr>
        <w:pStyle w:val="Heading2"/>
        <w:spacing w:after="120" w:before="240"/>
      </w:pPr>
      <w:r>
        <w:t xml:space="preserve">4.1. Hai footprint</w:t>
      </w:r>
    </w:p>
    <w:p>
      <w:pPr>
        <w:spacing w:after="120"/>
      </w:pPr>
      <w:r>
        <w:rPr>
          <w:rFonts w:ascii="Calibri" w:cs="Calibri" w:eastAsia="Calibri" w:hAnsi="Calibri"/>
          <w:sz w:val="22"/>
          <w:szCs w:val="22"/>
        </w:rPr>
        <w:t xml:space="preserve">L là kích thước vật lý đặc trưng (m): min(w, h)·g của box nếu câu hỏi về một instance; kích thước nhỏ nhất hợp lý của lớp nếu câu hỏi về sự tồn tại. g là GSD (m/px). s là hệ số px mô hình / px gốc của view chứa vật thể (tile, thumbnail hoặc ảnh co giãn); P là patch hiệu dụng sau gộp token.</w:t>
      </w:r>
    </w:p>
    <w:p>
      <w:pPr>
        <w:spacing w:after="160" w:before="60"/>
        <w:jc w:val="center"/>
      </w:pPr>
      <w:r>
        <w:rPr>
          <w:rFonts w:ascii="Calibri" w:cs="Calibri" w:eastAsia="Calibri" w:hAnsi="Calibri"/>
          <w:b/>
          <w:bCs/>
          <w:sz w:val="24"/>
          <w:szCs w:val="24"/>
        </w:rPr>
        <w:t xml:space="preserve">ρ_px = L / g          ρ_tok = max_view ( ρ_px · s / P )</w:t>
      </w:r>
    </w:p>
    <w:p>
      <w:pPr>
        <w:spacing w:after="120"/>
      </w:pPr>
      <w:r>
        <w:rPr>
          <w:rFonts w:ascii="Calibri" w:cs="Calibri" w:eastAsia="Calibri" w:hAnsi="Calibri"/>
          <w:sz w:val="22"/>
          <w:szCs w:val="22"/>
        </w:rPr>
        <w:t xml:space="preserve">s </w:t>
      </w:r>
      <w:r>
        <w:rPr>
          <w:rFonts w:ascii="Calibri" w:cs="Calibri" w:eastAsia="Calibri" w:hAnsi="Calibri"/>
          <w:b/>
          <w:bCs/>
          <w:sz w:val="22"/>
          <w:szCs w:val="22"/>
        </w:rPr>
        <w:t xml:space="preserve">không tính bằng công thức</w:t>
      </w:r>
      <w:r>
        <w:rPr>
          <w:rFonts w:ascii="Calibri" w:cs="Calibri" w:eastAsia="Calibri" w:hAnsi="Calibri"/>
          <w:sz w:val="22"/>
          <w:szCs w:val="22"/>
        </w:rPr>
        <w:t xml:space="preserve"> mà đọc trực tiếp từ bộ tiền xử lý của từng mô hình ở từng trần độ phân giải: ghi lưới token thực và ánh xạ toạ độ, rồi đếm số token mà box phủ trên chiều nhỏ. Bảng dưới liệt kê patch hiệu dụng và trần độ phân giải dùng để biến thiên.</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1937"/>
        <w:gridCol w:w="1775"/>
        <w:gridCol w:w="807"/>
        <w:gridCol w:w="1291"/>
        <w:gridCol w:w="1130"/>
        <w:gridCol w:w="2421"/>
      </w:tblGrid>
      <w:tr>
        <w:trPr>
          <w:tblHeader/>
        </w:trPr>
        <w:tc>
          <w:tcPr>
            <w:tcW w:type="dxa" w:w="1937"/>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Mô hình</w:t>
            </w:r>
          </w:p>
        </w:tc>
        <w:tc>
          <w:tcPr>
            <w:tcW w:type="dxa" w:w="1775"/>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Bộ mã hoá</w:t>
            </w:r>
          </w:p>
        </w:tc>
        <w:tc>
          <w:tcPr>
            <w:tcW w:type="dxa" w:w="807"/>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Patch p</w:t>
            </w:r>
          </w:p>
        </w:tc>
        <w:tc>
          <w:tcPr>
            <w:tcW w:type="dxa" w:w="1291"/>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Gộp token</w:t>
            </w:r>
          </w:p>
        </w:tc>
        <w:tc>
          <w:tcPr>
            <w:tcW w:type="dxa" w:w="113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P (px/token)</w:t>
            </w:r>
          </w:p>
        </w:tc>
        <w:tc>
          <w:tcPr>
            <w:tcW w:type="dxa" w:w="2421"/>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Trần độ phân giải biến thiên</w:t>
            </w:r>
          </w:p>
        </w:tc>
      </w:tr>
      <w:tr>
        <w:tc>
          <w:tcPr>
            <w:tcW w:type="dxa" w:w="193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Qwen3-VL-8B</w:t>
            </w:r>
          </w:p>
        </w:tc>
        <w:tc>
          <w:tcPr>
            <w:tcW w:type="dxa" w:w="177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SigLIP2-SO400M</w:t>
            </w:r>
          </w:p>
        </w:tc>
        <w:tc>
          <w:tcPr>
            <w:tcW w:type="dxa" w:w="80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16</w:t>
            </w:r>
          </w:p>
        </w:tc>
        <w:tc>
          <w:tcPr>
            <w:tcW w:type="dxa" w:w="129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merger 2×2</w:t>
            </w:r>
          </w:p>
        </w:tc>
        <w:tc>
          <w:tcPr>
            <w:tcW w:type="dxa" w:w="11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32</w:t>
            </w:r>
          </w:p>
        </w:tc>
        <w:tc>
          <w:tcPr>
            <w:tcW w:type="dxa" w:w="242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max_pixels ∈ {256², 512², 1024², 2048²}</w:t>
            </w:r>
          </w:p>
        </w:tc>
      </w:tr>
      <w:tr>
        <w:tc>
          <w:tcPr>
            <w:tcW w:type="dxa" w:w="193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InternVL3.5-8B</w:t>
            </w:r>
          </w:p>
        </w:tc>
        <w:tc>
          <w:tcPr>
            <w:tcW w:type="dxa" w:w="177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InternViT-300M</w:t>
            </w:r>
          </w:p>
        </w:tc>
        <w:tc>
          <w:tcPr>
            <w:tcW w:type="dxa" w:w="80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14</w:t>
            </w:r>
          </w:p>
        </w:tc>
        <w:tc>
          <w:tcPr>
            <w:tcW w:type="dxa" w:w="129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unshuffle 2×2</w:t>
            </w:r>
          </w:p>
        </w:tc>
        <w:tc>
          <w:tcPr>
            <w:tcW w:type="dxa" w:w="11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28</w:t>
            </w:r>
          </w:p>
        </w:tc>
        <w:tc>
          <w:tcPr>
            <w:tcW w:type="dxa" w:w="242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max_tiles ∈ {1, 4, 12}</w:t>
            </w:r>
          </w:p>
        </w:tc>
      </w:tr>
      <w:tr>
        <w:tc>
          <w:tcPr>
            <w:tcW w:type="dxa" w:w="193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LLaVA-1.5-7B</w:t>
            </w:r>
          </w:p>
        </w:tc>
        <w:tc>
          <w:tcPr>
            <w:tcW w:type="dxa" w:w="177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CLIP ViT-L/14@336</w:t>
            </w:r>
          </w:p>
        </w:tc>
        <w:tc>
          <w:tcPr>
            <w:tcW w:type="dxa" w:w="80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14</w:t>
            </w:r>
          </w:p>
        </w:tc>
        <w:tc>
          <w:tcPr>
            <w:tcW w:type="dxa" w:w="129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w:t>
            </w:r>
          </w:p>
        </w:tc>
        <w:tc>
          <w:tcPr>
            <w:tcW w:type="dxa" w:w="11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14</w:t>
            </w:r>
          </w:p>
        </w:tc>
        <w:tc>
          <w:tcPr>
            <w:tcW w:type="dxa" w:w="242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resize ∈ {224, 336}</w:t>
            </w:r>
          </w:p>
        </w:tc>
      </w:tr>
      <w:tr>
        <w:tc>
          <w:tcPr>
            <w:tcW w:type="dxa" w:w="193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GeoChat-7B</w:t>
            </w:r>
          </w:p>
        </w:tc>
        <w:tc>
          <w:tcPr>
            <w:tcW w:type="dxa" w:w="177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CLIP ViT-L/14@504</w:t>
            </w:r>
          </w:p>
        </w:tc>
        <w:tc>
          <w:tcPr>
            <w:tcW w:type="dxa" w:w="80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14</w:t>
            </w:r>
          </w:p>
        </w:tc>
        <w:tc>
          <w:tcPr>
            <w:tcW w:type="dxa" w:w="129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w:t>
            </w:r>
          </w:p>
        </w:tc>
        <w:tc>
          <w:tcPr>
            <w:tcW w:type="dxa" w:w="11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14</w:t>
            </w:r>
          </w:p>
        </w:tc>
        <w:tc>
          <w:tcPr>
            <w:tcW w:type="dxa" w:w="242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resize ∈ {336, 504}</w:t>
            </w:r>
          </w:p>
        </w:tc>
      </w:tr>
      <w:tr>
        <w:tc>
          <w:tcPr>
            <w:tcW w:type="dxa" w:w="193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LLaVA-OneVision-7B</w:t>
            </w:r>
          </w:p>
        </w:tc>
        <w:tc>
          <w:tcPr>
            <w:tcW w:type="dxa" w:w="177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SigLIP-SO400M@384</w:t>
            </w:r>
          </w:p>
        </w:tc>
        <w:tc>
          <w:tcPr>
            <w:tcW w:type="dxa" w:w="80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14</w:t>
            </w:r>
          </w:p>
        </w:tc>
        <w:tc>
          <w:tcPr>
            <w:tcW w:type="dxa" w:w="129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w:t>
            </w:r>
          </w:p>
        </w:tc>
        <w:tc>
          <w:tcPr>
            <w:tcW w:type="dxa" w:w="11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14 / ô</w:t>
            </w:r>
          </w:p>
        </w:tc>
        <w:tc>
          <w:tcPr>
            <w:tcW w:type="dxa" w:w="242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grid ∈ {1×1, 2×2, 3×3}</w:t>
            </w:r>
          </w:p>
        </w:tc>
      </w:tr>
      <w:tr>
        <w:tc>
          <w:tcPr>
            <w:tcW w:type="dxa" w:w="193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SkySenseGPT, EarthDial, VHM, LHRS-Bot-Nova</w:t>
            </w:r>
          </w:p>
        </w:tc>
        <w:tc>
          <w:tcPr>
            <w:tcW w:type="dxa" w:w="177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theo cấu hình</w:t>
            </w:r>
          </w:p>
        </w:tc>
        <w:tc>
          <w:tcPr>
            <w:tcW w:type="dxa" w:w="80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t>
            </w:r>
          </w:p>
        </w:tc>
        <w:tc>
          <w:tcPr>
            <w:tcW w:type="dxa" w:w="129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t>
            </w:r>
          </w:p>
        </w:tc>
        <w:tc>
          <w:tcPr>
            <w:tcW w:type="dxa" w:w="11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t>
            </w:r>
          </w:p>
        </w:tc>
        <w:tc>
          <w:tcPr>
            <w:tcW w:type="dxa" w:w="242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theo cấu hình</w:t>
            </w:r>
          </w:p>
        </w:tc>
      </w:tr>
      <w:tr>
        <w:tc>
          <w:tcPr>
            <w:tcW w:type="dxa" w:w="193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GPT-5.x, Gemini 3 Pro</w:t>
            </w:r>
          </w:p>
        </w:tc>
        <w:tc>
          <w:tcPr>
            <w:tcW w:type="dxa" w:w="177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biết</w:t>
            </w:r>
          </w:p>
        </w:tc>
        <w:tc>
          <w:tcPr>
            <w:tcW w:type="dxa" w:w="807"/>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t>
            </w:r>
          </w:p>
        </w:tc>
        <w:tc>
          <w:tcPr>
            <w:tcW w:type="dxa" w:w="129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t>
            </w:r>
          </w:p>
        </w:tc>
        <w:tc>
          <w:tcPr>
            <w:tcW w:type="dxa" w:w="11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n/a</w:t>
            </w:r>
          </w:p>
        </w:tc>
        <w:tc>
          <w:tcPr>
            <w:tcW w:type="dxa" w:w="2421"/>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biến thiên; chỉ phân tích theo ρ_px</w:t>
            </w:r>
          </w:p>
        </w:tc>
      </w:tr>
    </w:tbl>
    <w:p>
      <w:pPr>
        <w:pStyle w:val="Heading2"/>
        <w:spacing w:after="120" w:before="240"/>
      </w:pPr>
      <w:r>
        <w:t xml:space="preserve">4.2. Ba chế độ lỗi</w:t>
      </w:r>
    </w:p>
    <w:p>
      <w:pPr>
        <w:pStyle w:val="ListParagraph"/>
        <w:numPr>
          <w:ilvl w:val="0"/>
          <w:numId w:val="2"/>
        </w:numPr>
        <w:spacing w:after="80"/>
      </w:pPr>
      <w:r>
        <w:rPr>
          <w:rFonts w:ascii="Calibri" w:cs="Calibri" w:eastAsia="Calibri" w:hAnsi="Calibri"/>
          <w:b/>
          <w:bCs/>
          <w:sz w:val="22"/>
          <w:szCs w:val="22"/>
        </w:rPr>
        <w:t xml:space="preserve">Pixel-limited </w:t>
      </w:r>
      <w:r>
        <w:rPr>
          <w:rFonts w:ascii="Calibri" w:cs="Calibri" w:eastAsia="Calibri" w:hAnsi="Calibri"/>
          <w:sz w:val="22"/>
          <w:szCs w:val="22"/>
        </w:rPr>
        <w:t xml:space="preserve">(ρ_px &lt; p₀): thông tin không có trong ảnh gốc. Câu trả lời đúng cho thuộc tính tần số cao là "không thể xác định từ ảnh".</w:t>
      </w:r>
    </w:p>
    <w:p>
      <w:pPr>
        <w:pStyle w:val="ListParagraph"/>
        <w:numPr>
          <w:ilvl w:val="0"/>
          <w:numId w:val="2"/>
        </w:numPr>
        <w:spacing w:after="80"/>
      </w:pPr>
      <w:r>
        <w:rPr>
          <w:rFonts w:ascii="Calibri" w:cs="Calibri" w:eastAsia="Calibri" w:hAnsi="Calibri"/>
          <w:b/>
          <w:bCs/>
          <w:sz w:val="22"/>
          <w:szCs w:val="22"/>
        </w:rPr>
        <w:t xml:space="preserve">Token-limited </w:t>
      </w:r>
      <w:r>
        <w:rPr>
          <w:rFonts w:ascii="Calibri" w:cs="Calibri" w:eastAsia="Calibri" w:hAnsi="Calibri"/>
          <w:sz w:val="22"/>
          <w:szCs w:val="22"/>
        </w:rPr>
        <w:t xml:space="preserve">(ρ_px ≥ p₀, ρ_tok &lt; ρ*): vật thể có trong ảnh nhưng rơi dưới ngưỡng token. Zoom có thể khắc phục nếu hệ số phóng tối đa cho phép đủ.</w:t>
      </w:r>
    </w:p>
    <w:p>
      <w:pPr>
        <w:pStyle w:val="ListParagraph"/>
        <w:numPr>
          <w:ilvl w:val="0"/>
          <w:numId w:val="2"/>
        </w:numPr>
        <w:spacing w:after="80"/>
      </w:pPr>
      <w:r>
        <w:rPr>
          <w:rFonts w:ascii="Calibri" w:cs="Calibri" w:eastAsia="Calibri" w:hAnsi="Calibri"/>
          <w:b/>
          <w:bCs/>
          <w:sz w:val="22"/>
          <w:szCs w:val="22"/>
        </w:rPr>
        <w:t xml:space="preserve">Attention-limited </w:t>
      </w:r>
      <w:r>
        <w:rPr>
          <w:rFonts w:ascii="Calibri" w:cs="Calibri" w:eastAsia="Calibri" w:hAnsi="Calibri"/>
          <w:sz w:val="22"/>
          <w:szCs w:val="22"/>
        </w:rPr>
        <w:t xml:space="preserve">(cả hai đủ, mô hình chú ý sai vùng): không dự đoán được từ siêu dữ liệu. Nằm ngoài khung; là lý do của biến thể RGSP+ kết hợp tín hiệu mô hình.</w:t>
      </w:r>
    </w:p>
    <w:p>
      <w:pPr>
        <w:pStyle w:val="Heading2"/>
        <w:spacing w:after="120" w:before="240"/>
      </w:pPr>
      <w:r>
        <w:t xml:space="preserve">4.3. Hai ngưỡng cảm biến với hai vai trò</w:t>
      </w:r>
    </w:p>
    <w:p>
      <w:pPr>
        <w:pStyle w:val="ListParagraph"/>
        <w:numPr>
          <w:ilvl w:val="0"/>
          <w:numId w:val="2"/>
        </w:numPr>
        <w:spacing w:after="80"/>
      </w:pPr>
      <w:r>
        <w:rPr>
          <w:rFonts w:ascii="Calibri" w:cs="Calibri" w:eastAsia="Calibri" w:hAnsi="Calibri"/>
          <w:b/>
          <w:bCs/>
          <w:sz w:val="22"/>
          <w:szCs w:val="22"/>
        </w:rPr>
        <w:t xml:space="preserve">p₀^50: </w:t>
      </w:r>
      <w:r>
        <w:rPr>
          <w:rFonts w:ascii="Calibri" w:cs="Calibri" w:eastAsia="Calibri" w:hAnsi="Calibri"/>
          <w:sz w:val="22"/>
          <w:szCs w:val="22"/>
        </w:rPr>
        <w:t xml:space="preserve">điểm thất bại 50 % theo ρ_px khi không bị nút thắt token — tương đương ngưỡng Johnson. Chỉ dùng để mô tả và so xuyên mô hình.</w:t>
      </w:r>
    </w:p>
    <w:p>
      <w:pPr>
        <w:pStyle w:val="ListParagraph"/>
        <w:numPr>
          <w:ilvl w:val="0"/>
          <w:numId w:val="2"/>
        </w:numPr>
        <w:spacing w:after="80"/>
      </w:pPr>
      <w:r>
        <w:rPr>
          <w:rFonts w:ascii="Calibri" w:cs="Calibri" w:eastAsia="Calibri" w:hAnsi="Calibri"/>
          <w:b/>
          <w:bCs/>
          <w:sz w:val="22"/>
          <w:szCs w:val="22"/>
        </w:rPr>
        <w:t xml:space="preserve">p₀^U: </w:t>
      </w:r>
      <w:r>
        <w:rPr>
          <w:rFonts w:ascii="Calibri" w:cs="Calibri" w:eastAsia="Calibri" w:hAnsi="Calibri"/>
          <w:sz w:val="22"/>
          <w:szCs w:val="22"/>
        </w:rPr>
        <w:t xml:space="preserve">giá trị ρ_px dưới đó độ chính xác thuộc tính tần số cao không phân biệt được với mức ngẫu nhiên ở mọi mô hình pilot và ở người. Chỉ p₀^U định nghĩa tập "không thể trả lời". Được ước lượng một lần từ pilot trên phần hiệu chỉnh, cố định trước khi sinh benchmark đầy đủ, không cập nhật theo mô hình đánh giá sau; báo độ nhạy ±1 ô.</w:t>
      </w:r>
    </w:p>
    <w:p>
      <w:pPr>
        <w:pStyle w:val="Heading2"/>
        <w:spacing w:after="120" w:before="240"/>
      </w:pPr>
      <w:r>
        <w:t xml:space="preserve">4.4. Thuộc tính theo tần số không gian</w:t>
      </w:r>
    </w:p>
    <w:p>
      <w:pPr>
        <w:spacing w:after="120"/>
      </w:pPr>
      <w:r>
        <w:rPr>
          <w:rFonts w:ascii="Calibri" w:cs="Calibri" w:eastAsia="Calibri" w:hAnsi="Calibri"/>
          <w:sz w:val="22"/>
          <w:szCs w:val="22"/>
        </w:rPr>
        <w:t xml:space="preserve">Màu là thuộc tính tần số thấp (mixed pixel: xe đỏ chiếm 0,3 pixel vẫn kéo giá trị phổ về đỏ) nên sống được dưới p₀; chỉ dùng làm đối chứng dương. Tồn tại, trục định hướng, lớp, loại con và đếm là tần số cao; chỉ nhóm này định nghĩa "không thể xác định". Thứ tự kỳ vọng theo Johnson: tồn tại &lt; trục định hướng &lt; lớp &lt; loại con.</w:t>
      </w:r>
    </w:p>
    <w:p>
      <w:pPr>
        <w:pStyle w:val="Heading2"/>
        <w:spacing w:after="120" w:before="240"/>
      </w:pPr>
      <w:r>
        <w:t xml:space="preserve">4.5. Kết cục và metric</w:t>
      </w:r>
    </w:p>
    <w:p>
      <w:pPr>
        <w:pStyle w:val="ListParagraph"/>
        <w:numPr>
          <w:ilvl w:val="0"/>
          <w:numId w:val="2"/>
        </w:numPr>
        <w:spacing w:after="80"/>
      </w:pPr>
      <w:r>
        <w:rPr>
          <w:rFonts w:ascii="Calibri" w:cs="Calibri" w:eastAsia="Calibri" w:hAnsi="Calibri"/>
          <w:b/>
          <w:bCs/>
          <w:sz w:val="22"/>
          <w:szCs w:val="22"/>
        </w:rPr>
        <w:t xml:space="preserve">Hallucination: </w:t>
      </w:r>
      <w:r>
        <w:rPr>
          <w:rFonts w:ascii="Calibri" w:cs="Calibri" w:eastAsia="Calibri" w:hAnsi="Calibri"/>
          <w:sz w:val="22"/>
          <w:szCs w:val="22"/>
        </w:rPr>
        <w:t xml:space="preserve">khẳng định tồn tại lớp không có; gán thuộc tính tần số cao / vị trí / số lượng cho instance có ρ_px &lt; p₀^U; trả lời có nội dung khi đáp án là "không thể xác định".</w:t>
      </w:r>
    </w:p>
    <w:p>
      <w:pPr>
        <w:pStyle w:val="ListParagraph"/>
        <w:numPr>
          <w:ilvl w:val="0"/>
          <w:numId w:val="2"/>
        </w:numPr>
        <w:spacing w:after="80"/>
      </w:pPr>
      <w:r>
        <w:rPr>
          <w:rFonts w:ascii="Calibri" w:cs="Calibri" w:eastAsia="Calibri" w:hAnsi="Calibri"/>
          <w:b/>
          <w:bCs/>
          <w:sz w:val="22"/>
          <w:szCs w:val="22"/>
        </w:rPr>
        <w:t xml:space="preserve">Lỗi nhận thức: </w:t>
      </w:r>
      <w:r>
        <w:rPr>
          <w:rFonts w:ascii="Calibri" w:cs="Calibri" w:eastAsia="Calibri" w:hAnsi="Calibri"/>
          <w:sz w:val="22"/>
          <w:szCs w:val="22"/>
        </w:rPr>
        <w:t xml:space="preserve">sai ở vùng ρ_px ≥ p₀^U. Báo riêng, không gộp vào hallucination.</w:t>
      </w:r>
    </w:p>
    <w:p>
      <w:pPr>
        <w:pStyle w:val="ListParagraph"/>
        <w:numPr>
          <w:ilvl w:val="0"/>
          <w:numId w:val="2"/>
        </w:numPr>
        <w:spacing w:after="80"/>
      </w:pPr>
      <w:r>
        <w:rPr>
          <w:rFonts w:ascii="Calibri" w:cs="Calibri" w:eastAsia="Calibri" w:hAnsi="Calibri"/>
          <w:b/>
          <w:bCs/>
          <w:sz w:val="22"/>
          <w:szCs w:val="22"/>
        </w:rPr>
        <w:t xml:space="preserve">Từ chối: </w:t>
      </w:r>
      <w:r>
        <w:rPr>
          <w:rFonts w:ascii="Calibri" w:cs="Calibri" w:eastAsia="Calibri" w:hAnsi="Calibri"/>
          <w:sz w:val="22"/>
          <w:szCs w:val="22"/>
        </w:rPr>
        <w:t xml:space="preserve">chọn "Không thể xác định từ ảnh" (tuỳ chọn trung tính, không nhắc độ phân giải). Đúng trên tập không thể trả lời; là từ chối thừa trên tập trả lời được.</w:t>
      </w:r>
    </w:p>
    <w:p>
      <w:pPr>
        <w:spacing w:after="120"/>
      </w:pPr>
      <w:r>
        <w:rPr>
          <w:rFonts w:ascii="Calibri" w:cs="Calibri" w:eastAsia="Calibri" w:hAnsi="Calibri"/>
          <w:sz w:val="22"/>
          <w:szCs w:val="22"/>
        </w:rPr>
        <w:t xml:space="preserve">Tập trả lời được A: câu tần số cao có ρ_px ≥ p₀^U, câu màu có ρ_px ≥ sàn riêng của màu. Trên A: coverage, selective risk (tỷ lệ sai trong số được trả lời), AURC. Trên phần bù U: abstention accuracy. Từ chối đúng trên U không tính là mất coverage. Không báo hallucination rate mà không kèm coverage.</w:t>
      </w:r>
    </w:p>
    <w:p>
      <w:pPr>
        <w:pStyle w:val="Heading1"/>
        <w:spacing w:after="160" w:before="360"/>
      </w:pPr>
      <w:r>
        <w:t xml:space="preserve">5. Benchmark RS-Resolve</w:t>
      </w:r>
    </w:p>
    <w:p>
      <w:pPr>
        <w:pStyle w:val="Heading2"/>
        <w:spacing w:after="120" w:before="240"/>
      </w:pPr>
      <w:r>
        <w:t xml:space="preserve">5.1. Nguồn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64"/>
        <w:gridCol w:w="3120"/>
        <w:gridCol w:w="2496"/>
      </w:tblGrid>
      <w:tr>
        <w:trPr>
          <w:tblHeader/>
        </w:trPr>
        <w:tc>
          <w:tcPr>
            <w:tcW w:type="dxa" w:w="208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Bộ dữ liệu</w:t>
            </w:r>
          </w:p>
        </w:tc>
        <w:tc>
          <w:tcPr>
            <w:tcW w:type="dxa" w:w="1664"/>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GSD</w:t>
            </w:r>
          </w:p>
        </w:tc>
        <w:tc>
          <w:tcPr>
            <w:tcW w:type="dxa" w:w="312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Vai trò</w:t>
            </w:r>
          </w:p>
        </w:tc>
        <w:tc>
          <w:tcPr>
            <w:tcW w:type="dxa" w:w="2496"/>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License</w:t>
            </w:r>
          </w:p>
        </w:tc>
      </w:tr>
      <w:tr>
        <w:tc>
          <w:tcPr>
            <w:tcW w:type="dxa" w:w="208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DOTA-v2.0 + iSAID</w:t>
            </w:r>
          </w:p>
        </w:tc>
        <w:tc>
          <w:tcPr>
            <w:tcW w:type="dxa" w:w="166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0,1–4,5 m</w:t>
            </w:r>
          </w:p>
        </w:tc>
        <w:tc>
          <w:tcPr>
            <w:tcW w:type="dxa" w:w="312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Nguồn chính; OBB cho trục định hướng; mask cho diện tích và màu</w:t>
            </w:r>
          </w:p>
        </w:tc>
        <w:tc>
          <w:tcPr>
            <w:tcW w:type="dxa" w:w="249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Academic; không phân phối lại ảnh</w:t>
            </w:r>
          </w:p>
        </w:tc>
      </w:tr>
      <w:tr>
        <w:tc>
          <w:tcPr>
            <w:tcW w:type="dxa" w:w="208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DIOR</w:t>
            </w:r>
          </w:p>
        </w:tc>
        <w:tc>
          <w:tcPr>
            <w:tcW w:type="dxa" w:w="166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0,5–30 m</w:t>
            </w:r>
          </w:p>
        </w:tc>
        <w:tc>
          <w:tcPr>
            <w:tcW w:type="dxa" w:w="312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Đầu GSD thô</w:t>
            </w:r>
          </w:p>
        </w:tc>
        <w:tc>
          <w:tcPr>
            <w:tcW w:type="dxa" w:w="249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Academic</w:t>
            </w:r>
          </w:p>
        </w:tc>
      </w:tr>
      <w:tr>
        <w:tc>
          <w:tcPr>
            <w:tcW w:type="dxa" w:w="208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xView</w:t>
            </w:r>
          </w:p>
        </w:tc>
        <w:tc>
          <w:tcPr>
            <w:tcW w:type="dxa" w:w="166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0,3 m</w:t>
            </w:r>
          </w:p>
        </w:tc>
        <w:tc>
          <w:tcPr>
            <w:tcW w:type="dxa" w:w="312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GSD cố định; 60 lớp con có kích thước vật lý → câu hỏi loại con</w:t>
            </w:r>
          </w:p>
        </w:tc>
        <w:tc>
          <w:tcPr>
            <w:tcW w:type="dxa" w:w="249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Cần ký thoả thuận; chỉ phát hành QA + ID</w:t>
            </w:r>
          </w:p>
        </w:tc>
      </w:tr>
      <w:tr>
        <w:tc>
          <w:tcPr>
            <w:tcW w:type="dxa" w:w="208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VisDrone</w:t>
            </w:r>
          </w:p>
        </w:tc>
        <w:tc>
          <w:tcPr>
            <w:tcW w:type="dxa" w:w="166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ước lượng từ độ cao</w:t>
            </w:r>
          </w:p>
        </w:tc>
        <w:tc>
          <w:tcPr>
            <w:tcW w:type="dxa" w:w="312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Cực trị mật độ; chỉ dùng cho phân tích độ nhạy</w:t>
            </w:r>
          </w:p>
        </w:tc>
        <w:tc>
          <w:tcPr>
            <w:tcW w:type="dxa" w:w="249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Academic</w:t>
            </w:r>
          </w:p>
        </w:tc>
      </w:tr>
      <w:tr>
        <w:tc>
          <w:tcPr>
            <w:tcW w:type="dxa" w:w="208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RSHBench, RSHalluEval, CHOICE-HD</w:t>
            </w:r>
          </w:p>
        </w:tc>
        <w:tc>
          <w:tcPr>
            <w:tcW w:type="dxa" w:w="166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theo mẫu có GSD</w:t>
            </w:r>
          </w:p>
        </w:tc>
        <w:tc>
          <w:tcPr>
            <w:tcW w:type="dxa" w:w="312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Gắn ρ_px hậu kỳ để đối chiếu</w:t>
            </w:r>
          </w:p>
        </w:tc>
        <w:tc>
          <w:tcPr>
            <w:tcW w:type="dxa" w:w="249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Theo gốc</w:t>
            </w:r>
          </w:p>
        </w:tc>
      </w:tr>
    </w:tbl>
    <w:p>
      <w:pPr>
        <w:spacing w:after="120"/>
      </w:pPr>
      <w:r>
        <w:rPr>
          <w:rFonts w:ascii="Calibri" w:cs="Calibri" w:eastAsia="Calibri" w:hAnsi="Calibri"/>
          <w:sz w:val="22"/>
          <w:szCs w:val="22"/>
        </w:rPr>
        <w:t xml:space="preserve">Phát hành: câu hỏi, mã ảnh, nhãn ρ, ngưỡng người, và script sinh để gắn ρ_px cho bất kỳ benchmark viễn thám có GSD.</w:t>
      </w:r>
    </w:p>
    <w:p>
      <w:pPr>
        <w:pStyle w:val="Heading2"/>
        <w:spacing w:after="120" w:before="240"/>
      </w:pPr>
      <w:r>
        <w:t xml:space="preserve">5.2. Loại câu hỏi (sinh tự động từ nhãn)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2535"/>
        <w:gridCol w:w="2340"/>
        <w:gridCol w:w="2730"/>
      </w:tblGrid>
      <w:tr>
        <w:trPr>
          <w:tblHeader/>
        </w:trPr>
        <w:tc>
          <w:tcPr>
            <w:tcW w:type="dxa" w:w="1755"/>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Loại</w:t>
            </w:r>
          </w:p>
        </w:tc>
        <w:tc>
          <w:tcPr>
            <w:tcW w:type="dxa" w:w="2535"/>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Ví dụ</w:t>
            </w:r>
          </w:p>
        </w:tc>
        <w:tc>
          <w:tcPr>
            <w:tcW w:type="dxa" w:w="234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Đáp án</w:t>
            </w:r>
          </w:p>
        </w:tc>
        <w:tc>
          <w:tcPr>
            <w:tcW w:type="dxa" w:w="273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Ghi chú thiết kế</w:t>
            </w:r>
          </w:p>
        </w:tc>
      </w:tr>
      <w:tr>
        <w:tc>
          <w:tcPr>
            <w:tcW w:type="dxa" w:w="175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Q1 Tồn tại (+)</w:t>
            </w:r>
          </w:p>
        </w:tc>
        <w:tc>
          <w:tcPr>
            <w:tcW w:type="dxa" w:w="253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Có xe ô tô nhỏ trong ảnh không?</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Có</w:t>
            </w:r>
          </w:p>
        </w:tc>
        <w:tc>
          <w:tcPr>
            <w:tcW w:type="dxa" w:w="27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Tách Q1-iso (≤ 3 instance cùng lớp, láng giềng ≥ 4 token) và Q1-agg (bãi xe, cảng). Chỉ Q1-iso dùng ước lượng ngưỡng</w:t>
            </w:r>
          </w:p>
        </w:tc>
      </w:tr>
      <w:tr>
        <w:tc>
          <w:tcPr>
            <w:tcW w:type="dxa" w:w="175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Q2 Tồn tại (−) phủ định khó</w:t>
            </w:r>
          </w:p>
        </w:tc>
        <w:tc>
          <w:tcPr>
            <w:tcW w:type="dxa" w:w="253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Có sân bóng chày không? (chỉ có sân bóng đá)</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nếu ρ_px giả định của lớp hỏi ≥ p₀^U; "Không thể xác định" nếu dưới</w:t>
            </w:r>
          </w:p>
        </w:tc>
        <w:tc>
          <w:tcPr>
            <w:tcW w:type="dxa" w:w="27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Cặp lớp khác hình thái, không khác cỡ: bóng chày / bóng đá, cầu / đập, bể chứa / bùng binh, tennis / bóng rổ, trực thăng / máy bay nhỏ</w:t>
            </w:r>
          </w:p>
        </w:tc>
      </w:tr>
      <w:tr>
        <w:tc>
          <w:tcPr>
            <w:tcW w:type="dxa" w:w="175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Q3-HF Thuộc tính tần số cao</w:t>
            </w:r>
          </w:p>
        </w:tc>
        <w:tc>
          <w:tcPr>
            <w:tcW w:type="dxa" w:w="253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Trục dài của xe ở ô B2 gần Bắc–Nam hay Đông–Tây? / Tàu ở góc trên trái là loại gì?</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Trục định hướng 0–180° từ OBB (2 hoặc 4 bin; không hỏi heading); lớp con xView; "Không thể xác định" nếu ρ_px &lt; p₀^U</w:t>
            </w:r>
          </w:p>
        </w:tc>
        <w:tc>
          <w:tcPr>
            <w:tcW w:type="dxa" w:w="27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Chỉ instance cô lập; loại instance gần vuông; ghi bậc Johnson</w:t>
            </w:r>
          </w:p>
        </w:tc>
      </w:tr>
      <w:tr>
        <w:tc>
          <w:tcPr>
            <w:tcW w:type="dxa" w:w="175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Q3-LF Màu</w:t>
            </w:r>
          </w:p>
        </w:tc>
        <w:tc>
          <w:tcPr>
            <w:tcW w:type="dxa" w:w="253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Xe ở ô B2 màu gì?</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6 nhóm màu, GT từ ảnh gốc mịn của cặp lấy mẫu lại</w:t>
            </w:r>
          </w:p>
        </w:tc>
        <w:tc>
          <w:tcPr>
            <w:tcW w:type="dxa" w:w="27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Sinh cả dưới p₀^U để đo suy giảm; đối chứng dương</w:t>
            </w:r>
          </w:p>
        </w:tc>
      </w:tr>
      <w:tr>
        <w:tc>
          <w:tcPr>
            <w:tcW w:type="dxa" w:w="175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Q4 Đếm theo ô lưới</w:t>
            </w:r>
          </w:p>
        </w:tc>
        <w:tc>
          <w:tcPr>
            <w:tcW w:type="dxa" w:w="253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Có bao nhiêu xe trong ô B2?</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Số từ nhãn; loại box &lt; 50 % trong ô</w:t>
            </w:r>
          </w:p>
        </w:tc>
        <w:tc>
          <w:tcPr>
            <w:tcW w:type="dxa" w:w="27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Báo riêng theo mật độ</w:t>
            </w:r>
          </w:p>
        </w:tc>
      </w:tr>
      <w:tr>
        <w:tc>
          <w:tcPr>
            <w:tcW w:type="dxa" w:w="175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Q5 Tham chiếu</w:t>
            </w:r>
          </w:p>
        </w:tc>
        <w:tc>
          <w:tcPr>
            <w:tcW w:type="dxa" w:w="253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Xe thứ ba từ trái ở hàng trên → box</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Box</w:t>
            </w:r>
          </w:p>
        </w:tc>
        <w:tc>
          <w:tcPr>
            <w:tcW w:type="dxa" w:w="27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Chỉ khi thứ tự xác định</w:t>
            </w:r>
          </w:p>
        </w:tc>
      </w:tr>
      <w:tr>
        <w:tc>
          <w:tcPr>
            <w:tcW w:type="dxa" w:w="175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Q6 Không thể trả lời do cảm biến</w:t>
            </w:r>
          </w:p>
        </w:tc>
        <w:tc>
          <w:tcPr>
            <w:tcW w:type="dxa" w:w="253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Q3-HF / Q4 / Q5 về instance có 0,5·p₀^U ≤ ρ_px &lt; p₀^U</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thể xác định từ ảnh"</w:t>
            </w:r>
          </w:p>
        </w:tc>
        <w:tc>
          <w:tcPr>
            <w:tcW w:type="dxa" w:w="273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dùng câu bất khả thi hiển nhiên</w:t>
            </w:r>
          </w:p>
        </w:tc>
      </w:tr>
    </w:tbl>
    <w:p>
      <w:pPr>
        <w:spacing w:after="120"/>
      </w:pPr>
      <w:r>
        <w:rPr>
          <w:rFonts w:ascii="Calibri" w:cs="Calibri" w:eastAsia="Calibri" w:hAnsi="Calibri"/>
          <w:sz w:val="22"/>
          <w:szCs w:val="22"/>
        </w:rPr>
        <w:t xml:space="preserve">Mọi câu dạng trắc nghiệm có tuỳ chọn từ chối; kèm giao thức mở chấm bằng LLM-judge với kiểm tra người 500 mẫu. Đáp án chỉ phụ thuộc ρ_px và p₀^U — độc lập mô hình đánh giá.</w:t>
      </w:r>
    </w:p>
    <w:p>
      <w:pPr>
        <w:pStyle w:val="Heading2"/>
        <w:spacing w:after="120" w:before="240"/>
      </w:pPr>
      <w:r>
        <w:t xml:space="preserve">5.3. Hai thiết kế biến thiên</w:t>
      </w:r>
    </w:p>
    <w:p>
      <w:pPr>
        <w:spacing w:after="120"/>
      </w:pPr>
      <w:r>
        <w:rPr>
          <w:rFonts w:ascii="Calibri" w:cs="Calibri" w:eastAsia="Calibri" w:hAnsi="Calibri"/>
          <w:b/>
          <w:bCs/>
          <w:sz w:val="22"/>
          <w:szCs w:val="22"/>
        </w:rPr>
        <w:t xml:space="preserve">Thiết kế 1 — đổi trần độ phân giải của mô hình (trung tâm cho H1, H2). </w:t>
      </w:r>
      <w:r>
        <w:rPr>
          <w:rFonts w:ascii="Calibri" w:cs="Calibri" w:eastAsia="Calibri" w:hAnsi="Calibri"/>
          <w:sz w:val="22"/>
          <w:szCs w:val="22"/>
        </w:rPr>
        <w:t xml:space="preserve">Với 4 000 instance cô lập trên crop cố định 1 024², hỏi cùng câu ở mọi trần độ phân giải của mô hình. Ảnh không đổi nên ρ_px, ngữ cảnh, số instance, mật độ, vị trí đều không đổi; chỉ s đổi, chỉ ρ_tok đổi. Mô hình hỗn hợp: logit P(sai) = β₀ + β₁·log ρ_tok + u_instance + v_lớp. H1 là β₁ &lt; 0.</w:t>
      </w:r>
    </w:p>
    <w:p>
      <w:pPr>
        <w:spacing w:after="120"/>
      </w:pPr>
      <w:r>
        <w:rPr>
          <w:rFonts w:ascii="Calibri" w:cs="Calibri" w:eastAsia="Calibri" w:hAnsi="Calibri"/>
          <w:b/>
          <w:bCs/>
          <w:sz w:val="22"/>
          <w:szCs w:val="22"/>
        </w:rPr>
        <w:t xml:space="preserve">Thiết kế 2 — đổi kích thước crop (cho H4 và zoom thực tế). </w:t>
      </w:r>
      <w:r>
        <w:rPr>
          <w:rFonts w:ascii="Calibri" w:cs="Calibri" w:eastAsia="Calibri" w:hAnsi="Calibri"/>
          <w:sz w:val="22"/>
          <w:szCs w:val="22"/>
        </w:rPr>
        <w:t xml:space="preserve">Bốn crop đồng tâm 512 / 768 / 1 024 / 1 536 quanh cùng instance, vị trí ngẫu nhiên trong crop. Đây là thao tác zoom thực làm; dùng để kiểm tra β₁ tái hiện và dựng ma trận H4. Không đưa tỷ lệ diện tích vào mô hình vì cộng tuyến hoàn hảo với ρ_tok trong thiết kế này.</w:t>
      </w:r>
    </w:p>
    <w:p>
      <w:pPr>
        <w:pStyle w:val="Heading2"/>
        <w:spacing w:after="120" w:before="240"/>
      </w:pPr>
      <w:r>
        <w:t xml:space="preserve">5.4. Tách mật độ khỏi kích thước</w:t>
      </w:r>
    </w:p>
    <w:p>
      <w:pPr>
        <w:spacing w:after="120"/>
      </w:pPr>
      <w:r>
        <w:rPr>
          <w:rFonts w:ascii="Calibri" w:cs="Calibri" w:eastAsia="Calibri" w:hAnsi="Calibri"/>
          <w:sz w:val="22"/>
          <w:szCs w:val="22"/>
        </w:rPr>
        <w:t xml:space="preserve">Phân tầng 5 ô GSD × 5 ô ρ_px × 3 ô mật độ, ≥ 300 câu ở mọi ô lệch đường chéo (dày + lớn, thưa + nhỏ). Ô thiếu bổ sung bằng lấy mẫu lại có kiểm soát ảnh GSD mịn (Lanczos-3 kèm PSF Gaussian): đổi ρ_px, giữ mật độ theo token. Báo riêng gốc / lấy mẫu lại tại ρ_px khớp.</w:t>
      </w:r>
    </w:p>
    <w:p>
      <w:pPr>
        <w:pStyle w:val="Heading2"/>
        <w:spacing w:after="120" w:before="240"/>
      </w:pPr>
      <w:r>
        <w:t xml:space="preserve">5.5. Ngưỡng của người</w:t>
      </w:r>
    </w:p>
    <w:p>
      <w:pPr>
        <w:spacing w:after="120"/>
      </w:pPr>
      <w:r>
        <w:rPr>
          <w:rFonts w:ascii="Calibri" w:cs="Calibri" w:eastAsia="Calibri" w:hAnsi="Calibri"/>
          <w:sz w:val="22"/>
          <w:szCs w:val="22"/>
        </w:rPr>
        <w:t xml:space="preserve">500 câu Q3-HF trên instance cô lập, trải 5 ô ρ_px, 3 người có kinh nghiệm ảnh viễn thám, xem ảnh gốc với phóng tự do. Ước lượng ngưỡng 50 % và ngưỡng ngẫu nhiên của người theo từng bậc Johnson; báo κ. p₀^U của benchmark lấy min giữa người và mô hình pilot. Đây là neo độc lập mọi mô hình cho tập không thể trả lời.</w:t>
      </w:r>
    </w:p>
    <w:p>
      <w:pPr>
        <w:pStyle w:val="Heading2"/>
        <w:spacing w:after="120" w:before="240"/>
      </w:pPr>
      <w:r>
        <w:t xml:space="preserve">5.6. Kiểm soát chất lượng</w:t>
      </w:r>
    </w:p>
    <w:p>
      <w:pPr>
        <w:pStyle w:val="ListParagraph"/>
        <w:numPr>
          <w:ilvl w:val="0"/>
          <w:numId w:val="2"/>
        </w:numPr>
        <w:spacing w:after="80"/>
      </w:pPr>
      <w:r>
        <w:rPr>
          <w:rFonts w:ascii="Calibri" w:cs="Calibri" w:eastAsia="Calibri" w:hAnsi="Calibri"/>
          <w:sz w:val="22"/>
          <w:szCs w:val="22"/>
        </w:rPr>
        <w:t xml:space="preserve">Thiếu nhãn: kiểm tay 2 000 mẫu Q1/Q2 nghiêng về ρ_px &lt; 8; báo κ; loại lớp có tỷ lệ thiếu &gt; 5 %.</w:t>
      </w:r>
    </w:p>
    <w:p>
      <w:pPr>
        <w:pStyle w:val="ListParagraph"/>
        <w:numPr>
          <w:ilvl w:val="0"/>
          <w:numId w:val="2"/>
        </w:numPr>
        <w:spacing w:after="80"/>
      </w:pPr>
      <w:r>
        <w:rPr>
          <w:rFonts w:ascii="Calibri" w:cs="Calibri" w:eastAsia="Calibri" w:hAnsi="Calibri"/>
          <w:sz w:val="22"/>
          <w:szCs w:val="22"/>
        </w:rPr>
        <w:t xml:space="preserve">Cắt biên: loại instance &lt; 50 % trong ô lưới; độ nhạy 30/50/70 %.</w:t>
      </w:r>
    </w:p>
    <w:p>
      <w:pPr>
        <w:pStyle w:val="ListParagraph"/>
        <w:numPr>
          <w:ilvl w:val="0"/>
          <w:numId w:val="2"/>
        </w:numPr>
        <w:spacing w:after="80"/>
      </w:pPr>
      <w:r>
        <w:rPr>
          <w:rFonts w:ascii="Calibri" w:cs="Calibri" w:eastAsia="Calibri" w:hAnsi="Calibri"/>
          <w:sz w:val="22"/>
          <w:szCs w:val="22"/>
        </w:rPr>
        <w:t xml:space="preserve">GSD: siêu dữ liệu gốc; VisDrone gắn cờ, độ nhạy ±30 %.</w:t>
      </w:r>
    </w:p>
    <w:p>
      <w:pPr>
        <w:pStyle w:val="ListParagraph"/>
        <w:numPr>
          <w:ilvl w:val="0"/>
          <w:numId w:val="2"/>
        </w:numPr>
        <w:spacing w:after="80"/>
      </w:pPr>
      <w:r>
        <w:rPr>
          <w:rFonts w:ascii="Calibri" w:cs="Calibri" w:eastAsia="Calibri" w:hAnsi="Calibri"/>
          <w:sz w:val="22"/>
          <w:szCs w:val="22"/>
        </w:rPr>
        <w:t xml:space="preserve">Màu: kiểm tra người 300 mẫu; loại màu hỗn hợp. Trục: kiểm tra 300 mẫu OBB gần 45°; loại w/h &gt; 0,8.</w:t>
      </w:r>
    </w:p>
    <w:p>
      <w:pPr>
        <w:pStyle w:val="ListParagraph"/>
        <w:numPr>
          <w:ilvl w:val="0"/>
          <w:numId w:val="2"/>
        </w:numPr>
        <w:spacing w:after="80"/>
      </w:pPr>
      <w:r>
        <w:rPr>
          <w:rFonts w:ascii="Calibri" w:cs="Calibri" w:eastAsia="Calibri" w:hAnsi="Calibri"/>
          <w:sz w:val="22"/>
          <w:szCs w:val="22"/>
        </w:rPr>
        <w:t xml:space="preserve">Tiên nghiệm ngôn ngữ: chạy chỉ văn bản trên hai LLM theo ô (mẫu câu × lớp × ô GSD); loại ô vượt mức ngẫu nhiên có ý nghĩa (nhị thức, α = 0,01) và vượt ≥ 15 điểm.</w:t>
      </w:r>
    </w:p>
    <w:p>
      <w:pPr>
        <w:pStyle w:val="Heading1"/>
        <w:spacing w:after="160" w:before="360"/>
      </w:pPr>
      <w:r>
        <w:t xml:space="preserve">6. Phương pháp RGSP</w:t>
      </w:r>
    </w:p>
    <w:p>
      <w:pPr>
        <w:spacing w:after="120"/>
      </w:pPr>
      <w:r>
        <w:rPr>
          <w:rFonts w:ascii="Calibri" w:cs="Calibri" w:eastAsia="Calibri" w:hAnsi="Calibri"/>
          <w:sz w:val="22"/>
          <w:szCs w:val="22"/>
        </w:rPr>
        <w:t xml:space="preserve">Cho hệ số phóng tối đa cho phép s_max (mặc định 1: cắt về độ phân giải gốc, không phóng), ρ_tok^max = ρ_px · s_max / P là giá trị tốt nhất zoom đạt được, tính trước. Bộ định tuyến: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2"/>
        <w:gridCol w:w="2340"/>
        <w:gridCol w:w="3978"/>
      </w:tblGrid>
      <w:tr>
        <w:trPr>
          <w:tblHeader/>
        </w:trPr>
        <w:tc>
          <w:tcPr>
            <w:tcW w:type="dxa" w:w="3042"/>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Điều kiện</w:t>
            </w:r>
          </w:p>
        </w:tc>
        <w:tc>
          <w:tcPr>
            <w:tcW w:type="dxa" w:w="234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Quyết định</w:t>
            </w:r>
          </w:p>
        </w:tc>
        <w:tc>
          <w:tcPr>
            <w:tcW w:type="dxa" w:w="3978"/>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Lý do</w:t>
            </w:r>
          </w:p>
        </w:tc>
      </w:tr>
      <w:tr>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ρ_px &lt; p₀^U</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Từ chối</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Thông tin không có trong ảnh (giới hạn Johnson)</w:t>
            </w:r>
          </w:p>
        </w:tc>
      </w:tr>
      <w:tr>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ρ_px ≥ p₀^U và ρ_tok^max &lt; τ</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Từ chối</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Zoom tối đa cho phép vẫn không đủ</w:t>
            </w:r>
          </w:p>
        </w:tc>
      </w:tr>
      <w:tr>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ρ_px ≥ p₀^U và ρ_tok &lt; τ ≤ ρ_tok^max</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Zoom về crop c* rồi trả lời</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 = crop lớn nhất sao cho ρ_tok ≥ τ, tính từ chính sách tiền xử lý</w:t>
            </w:r>
          </w:p>
        </w:tc>
      </w:tr>
      <w:tr>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ρ_tok ≥ τ</w:t>
            </w:r>
          </w:p>
        </w:tc>
        <w:tc>
          <w:tcPr>
            <w:tcW w:type="dxa" w:w="234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Trả lời trực tiếp</w:t>
            </w:r>
          </w:p>
        </w:tc>
        <w:tc>
          <w:tcPr>
            <w:tcW w:type="dxa" w:w="397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Cả hai footprint đủ</w:t>
            </w:r>
          </w:p>
        </w:tc>
      </w:tr>
    </w:tbl>
    <w:p>
      <w:pPr>
        <w:spacing w:after="120"/>
      </w:pPr>
      <w:r>
        <w:rPr>
          <w:rFonts w:ascii="Calibri" w:cs="Calibri" w:eastAsia="Calibri" w:hAnsi="Calibri"/>
          <w:sz w:val="22"/>
          <w:szCs w:val="22"/>
        </w:rPr>
        <w:t xml:space="preserve">Nhánh zoom chỉ áp cho câu hỏi có vị trí vật thể trong câu (Q3–Q5). Với câu hỏi tồn tại (Q1–Q2) dùng biến thể RGSP-abstain (nhánh zoom thay bằng từ chối) — phiên bản chi phí bằng không cho mọi loại câu hỏi; biến thể quét tile xác định báo ở phụ lục kèm chi phí.</w:t>
      </w:r>
    </w:p>
    <w:p>
      <w:pPr>
        <w:spacing w:after="120"/>
      </w:pPr>
      <w:r>
        <w:rPr>
          <w:rFonts w:ascii="Calibri" w:cs="Calibri" w:eastAsia="Calibri" w:hAnsi="Calibri"/>
          <w:b/>
          <w:bCs/>
          <w:sz w:val="22"/>
          <w:szCs w:val="22"/>
        </w:rPr>
        <w:t xml:space="preserve">Hiệu chỉnh τ. </w:t>
      </w:r>
      <w:r>
        <w:rPr>
          <w:rFonts w:ascii="Calibri" w:cs="Calibri" w:eastAsia="Calibri" w:hAnsi="Calibri"/>
          <w:sz w:val="22"/>
          <w:szCs w:val="22"/>
        </w:rPr>
        <w:t xml:space="preserve">τ là tham số duy nhất được hiệu chỉnh; p₀^U cố định trước. Selective risk không đơn điệu theo τ nên không dùng Conformal Risk Control (chỉ kiểm soát rủi ro biên, và rủi ro biên ép về 0 được bằng cách từ chối nhiều). Dùng fixed-sequence testing của Learn-then-Test với bound Clopper–Pearson: quét τ từ bảo thủ đến lỏng, tại mỗi τ tính bound trên (1−δ) của selective risk trên tập được trả lời (kể cả câu qua zoom), dừng ở lần vi phạm đầu. Kết quả: P(selective risk ≤ α) ≥ 1−δ khi tập hiệu chỉnh và test cùng phân phối. Hiệu chỉnh cần chạy mô hình một lần trên ~300 câu; quyết định khi triển khai không cần chạy mô hình.</w:t>
      </w:r>
    </w:p>
    <w:p>
      <w:pPr>
        <w:spacing w:after="120"/>
      </w:pPr>
      <w:r>
        <w:rPr>
          <w:rFonts w:ascii="Calibri" w:cs="Calibri" w:eastAsia="Calibri" w:hAnsi="Calibri"/>
          <w:b/>
          <w:bCs/>
          <w:sz w:val="22"/>
          <w:szCs w:val="22"/>
        </w:rPr>
        <w:t xml:space="preserve">Biến thể. </w:t>
      </w:r>
      <w:r>
        <w:rPr>
          <w:rFonts w:ascii="Calibri" w:cs="Calibri" w:eastAsia="Calibri" w:hAnsi="Calibri"/>
          <w:sz w:val="22"/>
          <w:szCs w:val="22"/>
        </w:rPr>
        <w:t xml:space="preserve">RGSP-abstain (không zoom); RGSP đầy đủ (s_max = 1 và 2); RGSP+ hợp nhất ρ_tok với max-logit hoặc focus test của RADAR bằng hồi quy logistic (tập hiệu chỉnh chia đôi: nửa khớp, nửa hiệu chỉnh); Mondrian hiệu chỉnh τ theo ô GSD khi đổi cảm biến.</w:t>
      </w:r>
    </w:p>
    <w:p>
      <w:pPr>
        <w:spacing w:after="120"/>
      </w:pPr>
      <w:r>
        <w:rPr>
          <w:rFonts w:ascii="Calibri" w:cs="Calibri" w:eastAsia="Calibri" w:hAnsi="Calibri"/>
          <w:b/>
          <w:bCs/>
          <w:sz w:val="22"/>
          <w:szCs w:val="22"/>
        </w:rPr>
        <w:t xml:space="preserve">Đối chứng quan trọng nhất — bảng tra lớp × GSD. </w:t>
      </w:r>
      <w:r>
        <w:rPr>
          <w:rFonts w:ascii="Calibri" w:cs="Calibri" w:eastAsia="Calibri" w:hAnsi="Calibri"/>
          <w:sz w:val="22"/>
          <w:szCs w:val="22"/>
        </w:rPr>
        <w:t xml:space="preserve">Reviewer sẽ hỏi RGSP khác gì một ngưỡng GSD theo lớp. Ta đưa chính bảng tra đó (hiệu chỉnh cùng thuật toán nhưng không chia cho s/P) làm baseline Naive. Nếu chuẩn hoá theo bộ mã hoá không thêm coverage tại α, RGSP không hơn bảng tra và bài sẽ nói vậy.</w:t>
      </w:r>
    </w:p>
    <w:p>
      <w:pPr>
        <w:pStyle w:val="Heading1"/>
        <w:spacing w:after="160" w:before="360"/>
      </w:pPr>
      <w:r>
        <w:t xml:space="preserve">7. Thiết lập thực nghiệm</w:t>
      </w:r>
    </w:p>
    <w:p>
      <w:pPr>
        <w:pStyle w:val="Heading2"/>
        <w:spacing w:after="120" w:before="240"/>
      </w:pPr>
      <w:r>
        <w:t xml:space="preserve">7.1. Mô hình</w:t>
      </w:r>
    </w:p>
    <w:p>
      <w:pPr>
        <w:spacing w:after="120"/>
      </w:pPr>
      <w:r>
        <w:rPr>
          <w:rFonts w:ascii="Calibri" w:cs="Calibri" w:eastAsia="Calibri" w:hAnsi="Calibri"/>
          <w:sz w:val="22"/>
          <w:szCs w:val="22"/>
        </w:rPr>
        <w:t xml:space="preserve">Thí nghiệm biến thiên chạy đầy đủ trên 4 mô hình: Qwen3-VL-8B, InternVL3.5-8B, LLaVA-1.5-7B, GeoChat-7B. Các mô hình khác (LLaVA-OneVision, SkySenseGPT, EarthDial, VHM, LHRS-Bot-Nova) chạy tập con 1 000 instance. GPT-5.x và Gemini 3 Pro chạy 3 000 câu, chỉ phân tích theo ρ_px. ScaleEarth làm điểm tham chiếu nếu weights công khai.</w:t>
      </w:r>
    </w:p>
    <w:p>
      <w:pPr>
        <w:pStyle w:val="Heading2"/>
        <w:spacing w:after="120" w:before="240"/>
      </w:pPr>
      <w:r>
        <w:t xml:space="preserve">7.2.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4212"/>
        <w:gridCol w:w="3042"/>
      </w:tblGrid>
      <w:tr>
        <w:trPr>
          <w:tblHeader/>
        </w:trPr>
        <w:tc>
          <w:tcPr>
            <w:tcW w:type="dxa" w:w="2106"/>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Nhóm</w:t>
            </w:r>
          </w:p>
        </w:tc>
        <w:tc>
          <w:tcPr>
            <w:tcW w:type="dxa" w:w="4212"/>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Phương pháp</w:t>
            </w:r>
          </w:p>
        </w:tc>
        <w:tc>
          <w:tcPr>
            <w:tcW w:type="dxa" w:w="3042"/>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Mục đích</w:t>
            </w:r>
          </w:p>
        </w:tc>
      </w:tr>
      <w:tr>
        <w:tc>
          <w:tcPr>
            <w:tcW w:type="dxa" w:w="210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 – Không gate</w:t>
            </w:r>
          </w:p>
        </w:tc>
        <w:tc>
          <w:tcPr>
            <w:tcW w:type="dxa" w:w="421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Zero-shot; RADAR (zoom attention); prompt kiểu RSHallu</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Mốc hallucination; RADAR là mitigation gần nhất</w:t>
            </w:r>
          </w:p>
        </w:tc>
      </w:tr>
      <w:tr>
        <w:tc>
          <w:tcPr>
            <w:tcW w:type="dxa" w:w="210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 – Từ chối bằng prompt</w:t>
            </w:r>
          </w:p>
        </w:tc>
        <w:tc>
          <w:tcPr>
            <w:tcW w:type="dxa" w:w="421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Mềm / vừa / nghiêm; trung thực kiểu VHM</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Chứng minh prompt-abstain mất coverage</w:t>
            </w:r>
          </w:p>
        </w:tc>
      </w:tr>
      <w:tr>
        <w:tc>
          <w:tcPr>
            <w:tcW w:type="dxa" w:w="210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 – Confidence nội tại</w:t>
            </w:r>
          </w:p>
        </w:tc>
        <w:tc>
          <w:tcPr>
            <w:tcW w:type="dxa" w:w="421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Max-logit; entropy; tự khai; self-consistency k = 5; focus test RADAR</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Đối thủ trực tiếp của tiên nghiệm vật lý</w:t>
            </w:r>
          </w:p>
        </w:tc>
      </w:tr>
      <w:tr>
        <w:tc>
          <w:tcPr>
            <w:tcW w:type="dxa" w:w="210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 – Bằng chứng thị giác</w:t>
            </w:r>
          </w:p>
        </w:tc>
        <w:tc>
          <w:tcPr>
            <w:tcW w:type="dxa" w:w="421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Điểm kiểu SIEVES; điểm phát hiện LAE-DINO (chỉ xView/VisDrone vì LAE-DINO train trên DOTA/DIOR)</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Trả lời câu "sao không dùng detector"</w:t>
            </w:r>
          </w:p>
        </w:tc>
      </w:tr>
      <w:tr>
        <w:tc>
          <w:tcPr>
            <w:tcW w:type="dxa" w:w="210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 – Zoom</w:t>
            </w:r>
          </w:p>
        </w:tc>
        <w:tc>
          <w:tcPr>
            <w:tcW w:type="dxa" w:w="421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Cắt + phóng kiểu ViCrop; MAP-Agent / GeoEyes nếu có</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Kiểm H4</w:t>
            </w:r>
          </w:p>
        </w:tc>
      </w:tr>
      <w:tr>
        <w:tc>
          <w:tcPr>
            <w:tcW w:type="dxa" w:w="210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Naive</w:t>
            </w:r>
          </w:p>
        </w:tc>
        <w:tc>
          <w:tcPr>
            <w:tcW w:type="dxa" w:w="421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Bảng tra lớp × GSD hiệu chỉnh cùng thuật toán</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Đối chứng trực tiếp cho chuẩn hoá theo patch</w:t>
            </w:r>
          </w:p>
        </w:tc>
      </w:tr>
      <w:tr>
        <w:tc>
          <w:tcPr>
            <w:tcW w:type="dxa" w:w="210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 – Đề xuất</w:t>
            </w:r>
          </w:p>
        </w:tc>
        <w:tc>
          <w:tcPr>
            <w:tcW w:type="dxa" w:w="421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RGSP-abstain; RGSP (s_max = 1, 2); RGSP+; RGSP với box GT (oracle)</w:t>
            </w:r>
          </w:p>
        </w:tc>
        <w:tc>
          <w:tcPr>
            <w:tcW w:type="dxa" w:w="304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r>
    </w:tbl>
    <w:p>
      <w:pPr>
        <w:pStyle w:val="Heading2"/>
        <w:spacing w:after="120" w:before="240"/>
      </w:pPr>
      <w:r>
        <w:t xml:space="preserve">7.3. Thống kê</w:t>
      </w:r>
    </w:p>
    <w:p>
      <w:pPr>
        <w:spacing w:after="120"/>
      </w:pPr>
      <w:r>
        <w:rPr>
          <w:rFonts w:ascii="Calibri" w:cs="Calibri" w:eastAsia="Calibri" w:hAnsi="Calibri"/>
          <w:sz w:val="22"/>
          <w:szCs w:val="22"/>
        </w:rPr>
        <w:t xml:space="preserve">Tách hiệu chỉnh / test theo ảnh gốc (mọi crop và mọi trần của một ảnh cùng phía); 20 % ảnh hiệu chỉnh. α ∈ {5, 10, 20} %, δ = 0,05. Mọi số liệu: trung bình ± CI 95 % bootstrap 1 000 lần theo ảnh; 3 seed cho phương pháp có lấy mẫu. Coverage tại α so bằng paired bootstrap; AUROC bằng DeLong; mô hình hỗn hợp bằng glmer với CI Wald / bootstrap cụm. Luôn báo rủi ro thực đo được trên test bên cạnh bảo đảm lý thuyết; kiểm tra chuyển giao xuyên bộ dữ liệu, xuyên trần độ phân giải, xuyên kích thước crop.</w:t>
      </w:r>
    </w:p>
    <w:p>
      <w:pPr>
        <w:pStyle w:val="Heading2"/>
        <w:spacing w:after="120" w:before="240"/>
      </w:pPr>
      <w:r>
        <w:t xml:space="preserve">7.4. Bảng kết quả dự kiến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rPr>
          <w:tblHeader/>
        </w:trPr>
        <w:tc>
          <w:tcPr>
            <w:tcW w:type="dxa" w:w="936"/>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Bảng</w:t>
            </w:r>
          </w:p>
        </w:tc>
        <w:tc>
          <w:tcPr>
            <w:tcW w:type="dxa" w:w="6552"/>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Nội dung</w:t>
            </w:r>
          </w:p>
        </w:tc>
        <w:tc>
          <w:tcPr>
            <w:tcW w:type="dxa" w:w="1872"/>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Giả thuyết</w:t>
            </w:r>
          </w:p>
        </w:tc>
      </w:tr>
      <w:tr>
        <w:tc>
          <w:tcPr>
            <w:tcW w:type="dxa" w:w="93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w:t>
            </w:r>
          </w:p>
        </w:tc>
        <w:tc>
          <w:tcPr>
            <w:tcW w:type="dxa" w:w="655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Tỷ lệ kết cục theo ô ρ_px × ρ_tok, mỗi mô hình (hallucination / lỗi nhận thức / từ chối)</w:t>
            </w:r>
          </w:p>
        </w:tc>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H1</w:t>
            </w:r>
          </w:p>
        </w:tc>
      </w:tr>
      <w:tr>
        <w:tc>
          <w:tcPr>
            <w:tcW w:type="dxa" w:w="93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II</w:t>
            </w:r>
          </w:p>
        </w:tc>
        <w:tc>
          <w:tcPr>
            <w:tcW w:type="dxa" w:w="655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Hệ số β₁ của log ρ_tok trong mô hình hỗn hợp, thiết kế 1 và 2</w:t>
            </w:r>
          </w:p>
        </w:tc>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H1</w:t>
            </w:r>
          </w:p>
        </w:tc>
      </w:tr>
      <w:tr>
        <w:tc>
          <w:tcPr>
            <w:tcW w:type="dxa" w:w="93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III</w:t>
            </w:r>
          </w:p>
        </w:tc>
        <w:tc>
          <w:tcPr>
            <w:tcW w:type="dxa" w:w="655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p₀^50, p₀^U, ρ* theo mô hình; người; hệ số biến thiên; so với Johnson</w:t>
            </w:r>
          </w:p>
        </w:tc>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H2</w:t>
            </w:r>
          </w:p>
        </w:tc>
      </w:tr>
      <w:tr>
        <w:tc>
          <w:tcPr>
            <w:tcW w:type="dxa" w:w="93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IV</w:t>
            </w:r>
          </w:p>
        </w:tc>
        <w:tc>
          <w:tcPr>
            <w:tcW w:type="dxa" w:w="655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Ngưỡng 50 % theo ρ_px của từng loại thuộc tính; kiểm định thứ tự</w:t>
            </w:r>
          </w:p>
        </w:tc>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H3</w:t>
            </w:r>
          </w:p>
        </w:tc>
      </w:tr>
      <w:tr>
        <w:tc>
          <w:tcPr>
            <w:tcW w:type="dxa" w:w="93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w:t>
            </w:r>
          </w:p>
        </w:tc>
        <w:tc>
          <w:tcPr>
            <w:tcW w:type="dxa" w:w="655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Coverage@α, rủi ro thực, AURC, abstention accuracy — mọi baseline và RGSP</w:t>
            </w:r>
          </w:p>
        </w:tc>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H5</w:t>
            </w:r>
          </w:p>
        </w:tc>
      </w:tr>
      <w:tr>
        <w:tc>
          <w:tcPr>
            <w:tcW w:type="dxa" w:w="93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VI</w:t>
            </w:r>
          </w:p>
        </w:tc>
        <w:tc>
          <w:tcPr>
            <w:tcW w:type="dxa" w:w="655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Δ thất bại theo ma trận (ρ_px, ρ_tok) cho mọi phương pháp zoom và RGSP</w:t>
            </w:r>
          </w:p>
        </w:tc>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H4</w:t>
            </w:r>
          </w:p>
        </w:tc>
      </w:tr>
      <w:tr>
        <w:tc>
          <w:tcPr>
            <w:tcW w:type="dxa" w:w="93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VII</w:t>
            </w:r>
          </w:p>
        </w:tc>
        <w:tc>
          <w:tcPr>
            <w:tcW w:type="dxa" w:w="655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Ablation: s_max, bỏ nhánh, nguồn ρ, cách chọn τ, p₀^U ± 1 ô, công thức vs lưới thực</w:t>
            </w:r>
          </w:p>
        </w:tc>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t>
            </w:r>
          </w:p>
        </w:tc>
      </w:tr>
      <w:tr>
        <w:tc>
          <w:tcPr>
            <w:tcW w:type="dxa" w:w="93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VIII</w:t>
            </w:r>
          </w:p>
        </w:tc>
        <w:tc>
          <w:tcPr>
            <w:tcW w:type="dxa" w:w="655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Chuyển giao: DOTA → DIOR / xView / VisDrone; gốc → lấy mẫu lại; đổi trần; đổi crop</w:t>
            </w:r>
          </w:p>
        </w:tc>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t>
            </w:r>
          </w:p>
        </w:tc>
      </w:tr>
    </w:tbl>
    <w:p>
      <w:pPr>
        <w:pStyle w:val="Heading1"/>
        <w:spacing w:after="160" w:before="360"/>
      </w:pPr>
      <w:r>
        <w:t xml:space="preserve">8. Kế hoạch thực hiện</w:t>
      </w:r>
    </w:p>
    <w:p>
      <w:pPr>
        <w:pStyle w:val="Heading2"/>
        <w:spacing w:after="120" w:before="240"/>
      </w:pPr>
      <w:r>
        <w:t xml:space="preserve">8.1. Ba giai đoạn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123"/>
        <w:gridCol w:w="3744"/>
        <w:gridCol w:w="2995"/>
      </w:tblGrid>
      <w:tr>
        <w:trPr>
          <w:tblHeader/>
        </w:trPr>
        <w:tc>
          <w:tcPr>
            <w:tcW w:type="dxa" w:w="1498"/>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Giai đoạn</w:t>
            </w:r>
          </w:p>
        </w:tc>
        <w:tc>
          <w:tcPr>
            <w:tcW w:type="dxa" w:w="1123"/>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Thời gian</w:t>
            </w:r>
          </w:p>
        </w:tc>
        <w:tc>
          <w:tcPr>
            <w:tcW w:type="dxa" w:w="3744"/>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Việc</w:t>
            </w:r>
          </w:p>
        </w:tc>
        <w:tc>
          <w:tcPr>
            <w:tcW w:type="dxa" w:w="2995"/>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Điểm dừng</w:t>
            </w:r>
          </w:p>
        </w:tc>
      </w:tr>
      <w:tr>
        <w:tc>
          <w:tcPr>
            <w:tcW w:type="dxa" w:w="149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 — Pilot</w:t>
            </w:r>
          </w:p>
        </w:tc>
        <w:tc>
          <w:tcPr>
            <w:tcW w:type="dxa" w:w="1123"/>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Tuần 1–2</w:t>
            </w:r>
          </w:p>
        </w:tc>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Đọc lưới token 3 mô hình; 800 instance cô lập DOTA + xView trải 5 ô ρ_px; sinh Q1-iso, Q3-HF (trục 2 bin, lớp), Q3-LF; chạy mọi trần độ phân giải; 300 câu cho người</w:t>
            </w:r>
          </w:p>
        </w:tc>
        <w:tc>
          <w:tcPr>
            <w:tcW w:type="dxa" w:w="299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Dừng nếu β₁ không âm ở ≥ 2/3 mô hình, hoặc màu không suy giảm chậm hơn thuộc tính tần số cao, hoặc mô hình đã tự từ chối ≥ 70 % ở vùng nhỏ, hoặc ngưỡng người và mô hình lệch &gt; 2 lần</w:t>
            </w:r>
          </w:p>
        </w:tc>
      </w:tr>
      <w:tr>
        <w:tc>
          <w:tcPr>
            <w:tcW w:type="dxa" w:w="149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 — Benchmark + chẩn đoán</w:t>
            </w:r>
          </w:p>
        </w:tc>
        <w:tc>
          <w:tcPr>
            <w:tcW w:type="dxa" w:w="1123"/>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Tuần 3–6</w:t>
            </w:r>
          </w:p>
        </w:tc>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Thêm DIOR, VisDrone, Q2, Q4–Q6; lấy mẫu lại có kiểm soát; QC; lên 30–40k câu; chạy ≥ 8 mô hình; Bảng I–IV; đưa lên arXiv (benchmark + chẩn đoán) ở tuần 6–8; tra cứu novelty lần 1</w:t>
            </w:r>
          </w:p>
        </w:tc>
        <w:tc>
          <w:tcPr>
            <w:tcW w:type="dxa" w:w="299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Dừng ở đây nếu H2 bị bác: bài chuyển thành benchmark + tiêu chí Johnson cho MLLM (JSTARS / ISPRS)</w:t>
            </w:r>
          </w:p>
        </w:tc>
      </w:tr>
      <w:tr>
        <w:tc>
          <w:tcPr>
            <w:tcW w:type="dxa" w:w="149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 — Phương pháp</w:t>
            </w:r>
          </w:p>
        </w:tc>
        <w:tc>
          <w:tcPr>
            <w:tcW w:type="dxa" w:w="1123"/>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Tuần 7–10</w:t>
            </w:r>
          </w:p>
        </w:tc>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RGSP và mọi baseline; Bảng V–VIII; đánh giá người 500 câu mở; viết bài; code release; tra cứu novelty lần 2 trước khi nộp</w:t>
            </w:r>
          </w:p>
        </w:tc>
        <w:tc>
          <w:tcPr>
            <w:tcW w:type="dxa" w:w="2995"/>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Nếu RGSP không vượt bảng tra lớp × GSD: định vị lại là chẩn đoán + benchmark</w:t>
            </w:r>
          </w:p>
        </w:tc>
      </w:tr>
    </w:tbl>
    <w:p>
      <w:pPr>
        <w:pStyle w:val="Heading2"/>
        <w:spacing w:after="120" w:before="240"/>
      </w:pPr>
      <w:r>
        <w:t xml:space="preserve">8.2. Phân công đề xuất</w:t>
      </w:r>
    </w:p>
    <w:p>
      <w:pPr>
        <w:pStyle w:val="ListParagraph"/>
        <w:numPr>
          <w:ilvl w:val="0"/>
          <w:numId w:val="2"/>
        </w:numPr>
        <w:spacing w:after="80"/>
      </w:pPr>
      <w:r>
        <w:rPr>
          <w:rFonts w:ascii="Calibri" w:cs="Calibri" w:eastAsia="Calibri" w:hAnsi="Calibri"/>
          <w:b/>
          <w:bCs/>
          <w:sz w:val="22"/>
          <w:szCs w:val="22"/>
        </w:rPr>
        <w:t xml:space="preserve">Người A — dữ liệu: </w:t>
      </w:r>
      <w:r>
        <w:rPr>
          <w:rFonts w:ascii="Calibri" w:cs="Calibri" w:eastAsia="Calibri" w:hAnsi="Calibri"/>
          <w:sz w:val="22"/>
          <w:szCs w:val="22"/>
        </w:rPr>
        <w:t xml:space="preserve">script lọc instance, tính ρ_px, sinh câu hỏi theo template, lấy mẫu lại có kiểm soát, QC, giao thức người chấm.</w:t>
      </w:r>
    </w:p>
    <w:p>
      <w:pPr>
        <w:pStyle w:val="ListParagraph"/>
        <w:numPr>
          <w:ilvl w:val="0"/>
          <w:numId w:val="2"/>
        </w:numPr>
        <w:spacing w:after="80"/>
      </w:pPr>
      <w:r>
        <w:rPr>
          <w:rFonts w:ascii="Calibri" w:cs="Calibri" w:eastAsia="Calibri" w:hAnsi="Calibri"/>
          <w:b/>
          <w:bCs/>
          <w:sz w:val="22"/>
          <w:szCs w:val="22"/>
        </w:rPr>
        <w:t xml:space="preserve">Người B — mô hình: </w:t>
      </w:r>
      <w:r>
        <w:rPr>
          <w:rFonts w:ascii="Calibri" w:cs="Calibri" w:eastAsia="Calibri" w:hAnsi="Calibri"/>
          <w:sz w:val="22"/>
          <w:szCs w:val="22"/>
        </w:rPr>
        <w:t xml:space="preserve">đọc lưới token từ bộ tiền xử lý của từng mô hình ở từng trần độ phân giải; pipeline inference; baseline.</w:t>
      </w:r>
    </w:p>
    <w:p>
      <w:pPr>
        <w:pStyle w:val="ListParagraph"/>
        <w:numPr>
          <w:ilvl w:val="0"/>
          <w:numId w:val="2"/>
        </w:numPr>
        <w:spacing w:after="80"/>
      </w:pPr>
      <w:r>
        <w:rPr>
          <w:rFonts w:ascii="Calibri" w:cs="Calibri" w:eastAsia="Calibri" w:hAnsi="Calibri"/>
          <w:b/>
          <w:bCs/>
          <w:sz w:val="22"/>
          <w:szCs w:val="22"/>
        </w:rPr>
        <w:t xml:space="preserve">Người C — phân tích và viết: </w:t>
      </w:r>
      <w:r>
        <w:rPr>
          <w:rFonts w:ascii="Calibri" w:cs="Calibri" w:eastAsia="Calibri" w:hAnsi="Calibri"/>
          <w:sz w:val="22"/>
          <w:szCs w:val="22"/>
        </w:rPr>
        <w:t xml:space="preserve">mô hình hỗn hợp, ước lượng ngưỡng, thuật toán hiệu chỉnh, bảng biểu, bản thảo.</w:t>
      </w:r>
    </w:p>
    <w:p>
      <w:pPr>
        <w:spacing w:after="120"/>
      </w:pPr>
      <w:r>
        <w:rPr>
          <w:rFonts w:ascii="Calibri" w:cs="Calibri" w:eastAsia="Calibri" w:hAnsi="Calibri"/>
          <w:sz w:val="22"/>
          <w:szCs w:val="22"/>
        </w:rPr>
        <w:t xml:space="preserve">Việc đầu tiên của tuần 1, chặn mọi việc khác: hàm đọc lưới token (Người B) và script lọc 800 instance (Người A).</w:t>
      </w:r>
    </w:p>
    <w:p>
      <w:pPr>
        <w:pStyle w:val="Heading2"/>
        <w:spacing w:after="120" w:before="240"/>
      </w:pPr>
      <w:r>
        <w:t xml:space="preserve">8.3. Tài nguyên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Hạng mục</w:t>
            </w:r>
          </w:p>
        </w:tc>
        <w:tc>
          <w:tcPr>
            <w:tcW w:type="dxa" w:w="7488"/>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Ước tính</w:t>
            </w:r>
          </w:p>
        </w:tc>
      </w:tr>
      <w:tr>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GPU</w:t>
            </w:r>
          </w:p>
        </w:tc>
        <w:tc>
          <w:tcPr>
            <w:tcW w:type="dxa" w:w="748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1–2 × 48 GB. Chẩn đoán cơ bản ≈ 130–400 GPU-giờ; biến thiên trần và crop ≈ 300–800; baseline lấy mẫu và zoom nhiều bước trên 2 mô hình; tổng 1 000–1 800 GPU-giờ</w:t>
            </w:r>
          </w:p>
        </w:tc>
      </w:tr>
      <w:tr>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Mô hình đóng</w:t>
            </w:r>
          </w:p>
        </w:tc>
        <w:tc>
          <w:tcPr>
            <w:tcW w:type="dxa" w:w="748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3 000 câu × 2 API; ~100–200 USD</w:t>
            </w:r>
          </w:p>
        </w:tc>
      </w:tr>
      <w:tr>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Người chấm</w:t>
            </w:r>
          </w:p>
        </w:tc>
        <w:tc>
          <w:tcPr>
            <w:tcW w:type="dxa" w:w="748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500 (ngưỡng người) + 500 (câu mở) + 2 000 (QC thiếu nhãn) + 600 (màu, trục); ~40–60 giờ người</w:t>
            </w:r>
          </w:p>
        </w:tc>
      </w:tr>
      <w:tr>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Nhân lực</w:t>
            </w:r>
          </w:p>
        </w:tc>
        <w:tc>
          <w:tcPr>
            <w:tcW w:type="dxa" w:w="748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 người, 10 tuần</w:t>
            </w:r>
          </w:p>
        </w:tc>
      </w:tr>
      <w:tr>
        <w:tc>
          <w:tcPr>
            <w:tcW w:type="dxa" w:w="1872"/>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Phần mềm</w:t>
            </w:r>
          </w:p>
        </w:tc>
        <w:tc>
          <w:tcPr>
            <w:tcW w:type="dxa" w:w="7488"/>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RADAR repo (MiliLab); LAE-DINO; ViCrop; glmer; không phụ thuộc RSHallu (chưa xác nhận public)</w:t>
            </w:r>
          </w:p>
        </w:tc>
      </w:tr>
    </w:tbl>
    <w:p>
      <w:pPr>
        <w:pStyle w:val="Heading1"/>
        <w:spacing w:after="160" w:before="360"/>
      </w:pPr>
      <w:r>
        <w:t xml:space="preserve">9. Venue</w:t>
      </w:r>
    </w:p>
    <w:p>
      <w:pPr>
        <w:pStyle w:val="ListParagraph"/>
        <w:numPr>
          <w:ilvl w:val="0"/>
          <w:numId w:val="2"/>
        </w:numPr>
        <w:spacing w:after="80"/>
      </w:pPr>
      <w:r>
        <w:rPr>
          <w:rFonts w:ascii="Calibri" w:cs="Calibri" w:eastAsia="Calibri" w:hAnsi="Calibri"/>
          <w:b/>
          <w:bCs/>
          <w:sz w:val="22"/>
          <w:szCs w:val="22"/>
        </w:rPr>
        <w:t xml:space="preserve">IEEE TGRS (chính): </w:t>
      </w:r>
      <w:r>
        <w:rPr>
          <w:rFonts w:ascii="Calibri" w:cs="Calibri" w:eastAsia="Calibri" w:hAnsi="Calibri"/>
          <w:sz w:val="22"/>
          <w:szCs w:val="22"/>
        </w:rPr>
        <w:t xml:space="preserve">insight vật lý (GSD, Johnson, patch), đánh giá rộng, benchmark + code release. Rủi ro chính: bị coi là "quy tắc ngưỡng" — trả lời bằng H2 (ngưỡng phụ thuộc kiến trúc theo cách dự đoán được), bảo đảm thống kê, và thắng đối chứng bảng tra.</w:t>
      </w:r>
    </w:p>
    <w:p>
      <w:pPr>
        <w:pStyle w:val="ListParagraph"/>
        <w:numPr>
          <w:ilvl w:val="0"/>
          <w:numId w:val="2"/>
        </w:numPr>
        <w:spacing w:after="80"/>
      </w:pPr>
      <w:r>
        <w:rPr>
          <w:rFonts w:ascii="Calibri" w:cs="Calibri" w:eastAsia="Calibri" w:hAnsi="Calibri"/>
          <w:b/>
          <w:bCs/>
          <w:sz w:val="22"/>
          <w:szCs w:val="22"/>
        </w:rPr>
        <w:t xml:space="preserve">ISPRS J. Photogrammetry &amp; RS (dự phòng 1): </w:t>
      </w:r>
      <w:r>
        <w:rPr>
          <w:rFonts w:ascii="Calibri" w:cs="Calibri" w:eastAsia="Calibri" w:hAnsi="Calibri"/>
          <w:sz w:val="22"/>
          <w:szCs w:val="22"/>
        </w:rPr>
        <w:t xml:space="preserve">nếu phần chẩn đoán mạnh hơn phần phương pháp.</w:t>
      </w:r>
    </w:p>
    <w:p>
      <w:pPr>
        <w:pStyle w:val="ListParagraph"/>
        <w:numPr>
          <w:ilvl w:val="0"/>
          <w:numId w:val="2"/>
        </w:numPr>
        <w:spacing w:after="80"/>
      </w:pPr>
      <w:r>
        <w:rPr>
          <w:rFonts w:ascii="Calibri" w:cs="Calibri" w:eastAsia="Calibri" w:hAnsi="Calibri"/>
          <w:b/>
          <w:bCs/>
          <w:sz w:val="22"/>
          <w:szCs w:val="22"/>
        </w:rPr>
        <w:t xml:space="preserve">IEEE JSTARS (dự phòng 2): </w:t>
      </w:r>
      <w:r>
        <w:rPr>
          <w:rFonts w:ascii="Calibri" w:cs="Calibri" w:eastAsia="Calibri" w:hAnsi="Calibri"/>
          <w:sz w:val="22"/>
          <w:szCs w:val="22"/>
        </w:rPr>
        <w:t xml:space="preserve">nếu dừng ở giai đoạn 2.</w:t>
      </w:r>
    </w:p>
    <w:p>
      <w:pPr>
        <w:pStyle w:val="ListParagraph"/>
        <w:numPr>
          <w:ilvl w:val="0"/>
          <w:numId w:val="2"/>
        </w:numPr>
        <w:spacing w:after="80"/>
      </w:pPr>
      <w:r>
        <w:rPr>
          <w:rFonts w:ascii="Calibri" w:cs="Calibri" w:eastAsia="Calibri" w:hAnsi="Calibri"/>
          <w:b/>
          <w:bCs/>
          <w:sz w:val="22"/>
          <w:szCs w:val="22"/>
        </w:rPr>
        <w:t xml:space="preserve">NeurIPS / CVPR Datasets &amp; Benchmarks: </w:t>
      </w:r>
      <w:r>
        <w:rPr>
          <w:rFonts w:ascii="Calibri" w:cs="Calibri" w:eastAsia="Calibri" w:hAnsi="Calibri"/>
          <w:sz w:val="22"/>
          <w:szCs w:val="22"/>
        </w:rPr>
        <w:t xml:space="preserve">khả thi cho riêng RS-Resolve nếu tách benchmark; cân nhắc chính sách công bố trùng.</w:t>
      </w:r>
    </w:p>
    <w:p>
      <w:pPr>
        <w:pStyle w:val="Heading1"/>
        <w:spacing w:after="160" w:before="360"/>
      </w:pPr>
      <w:r>
        <w:t xml:space="preserve">10. Rủi ro và kiểm soát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170"/>
        <w:gridCol w:w="4446"/>
      </w:tblGrid>
      <w:tr>
        <w:trPr>
          <w:tblHeader/>
        </w:trPr>
        <w:tc>
          <w:tcPr>
            <w:tcW w:type="dxa" w:w="3744"/>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Rủi ro</w:t>
            </w:r>
          </w:p>
        </w:tc>
        <w:tc>
          <w:tcPr>
            <w:tcW w:type="dxa" w:w="1170"/>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Mức</w:t>
            </w:r>
          </w:p>
        </w:tc>
        <w:tc>
          <w:tcPr>
            <w:tcW w:type="dxa" w:w="4446"/>
            <w:shd w:fill="D9E2F3" w:color="auto" w:val="clear"/>
            <w:tcMar>
              <w:top w:type="dxa" w:w="60"/>
              <w:left w:type="dxa" w:w="90"/>
              <w:bottom w:type="dxa" w:w="60"/>
              <w:right w:type="dxa" w:w="90"/>
            </w:tcMar>
          </w:tcPr>
          <w:p>
            <w:pPr>
              <w:spacing w:after="0"/>
            </w:pPr>
            <w:r>
              <w:rPr>
                <w:rFonts w:ascii="Calibri" w:cs="Calibri" w:eastAsia="Calibri" w:hAnsi="Calibri"/>
                <w:b/>
                <w:bCs/>
                <w:sz w:val="19"/>
                <w:szCs w:val="19"/>
              </w:rPr>
              <w:t xml:space="preserve">Kiểm soát</w:t>
            </w:r>
          </w:p>
        </w:tc>
      </w:tr>
      <w:tr>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Bài trùng xuất hiện (SIEVES / FUSE thêm prior kích thước; nhóm RADAR mở rộng Type 2)</w:t>
            </w:r>
          </w:p>
        </w:tc>
        <w:tc>
          <w:tcPr>
            <w:tcW w:type="dxa" w:w="117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Trung bình</w:t>
            </w:r>
          </w:p>
        </w:tc>
        <w:tc>
          <w:tcPr>
            <w:tcW w:type="dxa" w:w="444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arXiv ở tuần 6–8; Scholar alert cho bài trích RADAR, CHOICE, XLRS-Bench, SIEVES, ScaleEarth; tra lại 2 lần</w:t>
            </w:r>
          </w:p>
        </w:tc>
      </w:tr>
      <w:tr>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Reviewer: "chỉ là ngưỡng pixel"</w:t>
            </w:r>
          </w:p>
        </w:tc>
        <w:tc>
          <w:tcPr>
            <w:tcW w:type="dxa" w:w="117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Cao</w:t>
            </w:r>
          </w:p>
        </w:tc>
        <w:tc>
          <w:tcPr>
            <w:tcW w:type="dxa" w:w="444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H2, hiệu chỉnh có bảo đảm, RGSP+ cho thấy tiên nghiệm bổ sung tín hiệu mô hình, thắng baseline Naive</w:t>
            </w:r>
          </w:p>
        </w:tc>
      </w:tr>
      <w:tr>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Reviewer: "sao không dùng detector"</w:t>
            </w:r>
          </w:p>
        </w:tc>
        <w:tc>
          <w:tcPr>
            <w:tcW w:type="dxa" w:w="117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Cao</w:t>
            </w:r>
          </w:p>
        </w:tc>
        <w:tc>
          <w:tcPr>
            <w:tcW w:type="dxa" w:w="444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Detector chỉ làm confidence (nhóm D); chỉ ra LAE-DINO train trên DOTA/DIOR; detector không biết "không thể thấy"; Q3/Q5/Q6 detector không trả lời được</w:t>
            </w:r>
          </w:p>
        </w:tc>
      </w:tr>
      <w:tr>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Mật độ và kích thước cộng tuyến</w:t>
            </w:r>
          </w:p>
        </w:tc>
        <w:tc>
          <w:tcPr>
            <w:tcW w:type="dxa" w:w="117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Trung bình</w:t>
            </w:r>
          </w:p>
        </w:tc>
        <w:tc>
          <w:tcPr>
            <w:tcW w:type="dxa" w:w="444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Lấy mẫu lại có kiểm soát; điểm dừng K2</w:t>
            </w:r>
          </w:p>
        </w:tc>
      </w:tr>
      <w:tr>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Thiếu nhãn tạo hallucination giả</w:t>
            </w:r>
          </w:p>
        </w:tc>
        <w:tc>
          <w:tcPr>
            <w:tcW w:type="dxa" w:w="117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Trung bình</w:t>
            </w:r>
          </w:p>
        </w:tc>
        <w:tc>
          <w:tcPr>
            <w:tcW w:type="dxa" w:w="444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QC 2 000 mẫu; loại lớp thiếu &gt; 5 %; báo κ</w:t>
            </w:r>
          </w:p>
        </w:tc>
      </w:tr>
      <w:tr>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Over-abstention làm mất giá trị</w:t>
            </w:r>
          </w:p>
        </w:tc>
        <w:tc>
          <w:tcPr>
            <w:tcW w:type="dxa" w:w="117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Trung bình</w:t>
            </w:r>
          </w:p>
        </w:tc>
        <w:tc>
          <w:tcPr>
            <w:tcW w:type="dxa" w:w="444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Luôn báo coverage; mục tiêu là coverage cao hơn ở cùng α</w:t>
            </w:r>
          </w:p>
        </w:tc>
      </w:tr>
      <w:tr>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Vị trí vật thể cần cho zoom</w:t>
            </w:r>
          </w:p>
        </w:tc>
        <w:tc>
          <w:tcPr>
            <w:tcW w:type="dxa" w:w="117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Thấp</w:t>
            </w:r>
          </w:p>
        </w:tc>
        <w:tc>
          <w:tcPr>
            <w:tcW w:type="dxa" w:w="444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Nói rõ phạm vi: zoom xác định cho Q3–Q5; Q1–Q2 dùng RGSP-abstain hoặc quét tile</w:t>
            </w:r>
          </w:p>
        </w:tc>
      </w:tr>
      <w:tr>
        <w:tc>
          <w:tcPr>
            <w:tcW w:type="dxa" w:w="3744"/>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License DOTA / xView</w:t>
            </w:r>
          </w:p>
        </w:tc>
        <w:tc>
          <w:tcPr>
            <w:tcW w:type="dxa" w:w="1170"/>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Thấp</w:t>
            </w:r>
          </w:p>
        </w:tc>
        <w:tc>
          <w:tcPr>
            <w:tcW w:type="dxa" w:w="4446"/>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Không phân phối lại ảnh; phát hành QA + ID + script; ký thoả thuận xView tuần 1</w:t>
            </w:r>
          </w:p>
        </w:tc>
      </w:tr>
    </w:tbl>
    <w:p>
      <w:pPr>
        <w:spacing w:after="60"/>
      </w:pPr>
    </w:p>
    <w:p>
      <w:pPr>
        <w:jc w:val="center"/>
      </w:pPr>
      <w:r>
        <w:rPr>
          <w:rFonts w:ascii="Calibri" w:cs="Calibri" w:eastAsia="Calibri" w:hAnsi="Calibri"/>
          <w:i/>
          <w:iCs/>
          <w:sz w:val="22"/>
          <w:szCs w:val="22"/>
        </w:rPr>
        <w:t xml:space="preserve">Hết tài liệu.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2026-09-07T11:15:13.320Z</dcterms:created>
  <dcterms:modified xsi:type="dcterms:W3CDTF">2026-09-07T11:15:13.335Z</dcterms:modified>
</cp:coreProperties>
</file>

<file path=docProps/custom.xml><?xml version="1.0" encoding="utf-8"?>
<Properties xmlns="http://schemas.openxmlformats.org/officeDocument/2006/custom-properties" xmlns:vt="http://schemas.openxmlformats.org/officeDocument/2006/docPropsVTypes"/>
</file>