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Health policy workshop assignment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Due Date: August 25, 2026 at 11:59 PM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c8ry4f182u1l" w:id="0"/>
      <w:bookmarkEnd w:id="0"/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https://drive.google.com/drive/folders/1ITM1-s6HsQV831E3ZW3tnUlM5fZt17v8?usp=sharing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60"/>
        <w:gridCol w:w="1200"/>
        <w:tblGridChange w:id="0">
          <w:tblGrid>
            <w:gridCol w:w="6960"/>
            <w:gridCol w:w="1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Define the problem 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 sentences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Assemble some evidence to support the selected problem 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 paragraphs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Construct the alternatives 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alternatives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Select the Criterion 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 criterion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and weight percentage on each criteria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Project the outcomes 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Develop outcomes matrix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with rationale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Confront the trade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offs and decide 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 paragraphs</w:t>
            </w:r>
            <w:r w:rsidDel="00000000" w:rsidR="00000000" w:rsidRPr="00000000">
              <w:rPr>
                <w:rFonts w:ascii="Angsana New" w:cs="Angsana New" w:eastAsia="Angsana New" w:hAnsi="Angsana New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ITM1-s6HsQV831E3ZW3tnUlM5fZt17v8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cQ90CitVdtEOwITTK2YF+VyvJg==">CgMxLjAyDmguYzhyeTRmMTgydTFsOAByITFRendNX3lGblViYVRSTV83VHhrd3Flakcwb3JldHRhTQ==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