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맑은 고딕" w:cs="맑은 고딕" w:eastAsia="맑은 고딕" w:hAnsi="맑은 고딕"/>
          <w:b/>
          <w:bCs/>
          <w:sz w:val="40"/>
          <w:szCs w:val="40"/>
        </w:rPr>
        <w:t xml:space="preserve">프로젝트 기획서</w:t>
      </w:r>
    </w:p>
    <w:p>
      <w:pPr>
        <w:spacing w:after="60"/>
      </w:pPr>
      <w:r>
        <w:rPr>
          <w:rFonts w:ascii="맑은 고딕" w:cs="맑은 고딕" w:eastAsia="맑은 고딕" w:hAnsi="맑은 고딕"/>
          <w:b/>
          <w:bCs/>
          <w:color w:val="444444"/>
          <w:sz w:val="26"/>
          <w:szCs w:val="26"/>
        </w:rPr>
        <w:t xml:space="preserve">SKN Family AI Camp 2기 : 최종 프로젝트 [  ]조</w:t>
      </w:r>
    </w:p>
    <w:p>
      <w:pPr>
        <w:pBdr>
          <w:bottom w:val="single" w:color="9C8B74" w:sz="18" w:space="6"/>
        </w:pBdr>
        <w:spacing w:after="20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8106"/>
      </w:tblGrid>
      <w:tr>
        <w:trPr>
          <w:cantSplit w:val="off"/>
        </w:trPr>
        <w:tc>
          <w:tcPr>
            <w:tcW w:type="dxa" w:w="1800"/>
            <w:tcBorders>
              <w:top w:val="single" w:color="BFB5A6" w:sz="6"/>
              <w:left w:val="none" w:color="FFFFFF" w:sz="0"/>
              <w:bottom w:val="single" w:color="BFB5A6" w:sz="6"/>
              <w:right w:val="none" w:color="FFFFFF" w:sz="0"/>
            </w:tcBorders>
            <w:shd w:fill="EFEBE4" w:color="auto" w:val="clear"/>
            <w:tcMar>
              <w:top w:type="dxa" w:w="120"/>
              <w:left w:type="dxa" w:w="100"/>
              <w:bottom w:type="dxa" w:w="12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프로젝트 주제</w:t>
            </w:r>
          </w:p>
        </w:tc>
        <w:tc>
          <w:tcPr>
            <w:tcW w:type="dxa" w:w="8106"/>
            <w:tcBorders>
              <w:top w:val="single" w:color="BFB5A6" w:sz="6"/>
              <w:left w:val="none" w:color="FFFFFF" w:sz="0"/>
              <w:bottom w:val="single" w:color="BFB5A6" w:sz="6"/>
              <w:right w:val="none" w:color="FFFFFF" w:sz="0"/>
            </w:tcBorders>
            <w:tcMar>
              <w:top w:type="dxa" w:w="120"/>
              <w:left w:type="dxa" w:w="200"/>
              <w:bottom w:type="dxa" w:w="120"/>
              <w:right w:type="dxa" w:w="150"/>
            </w:tcMar>
            <w:vAlign w:val="center"/>
          </w:tcPr>
          <w:p>
            <w:pPr>
              <w:spacing w:after="60" w:line="30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ChessInsight AI: 체스 대국의 엔진 분석 결과를 근거 기반 자연어로 설명하고, 여러 대국에 걸친 반복 실수와 약점을 탐지해 개인화 훈련 방향과 정기 리포트를 제공하는 대화형 체스 코칭 플랫폼</w:t>
            </w:r>
          </w:p>
        </w:tc>
      </w:tr>
      <w:tr>
        <w:trPr>
          <w:cantSplit w:val="off"/>
        </w:trPr>
        <w:tc>
          <w:tcPr>
            <w:tcW w:type="dxa" w:w="1800"/>
            <w:tcBorders>
              <w:top w:val="single" w:color="BFB5A6" w:sz="6"/>
              <w:left w:val="none" w:color="FFFFFF" w:sz="0"/>
              <w:bottom w:val="single" w:color="BFB5A6" w:sz="6"/>
              <w:right w:val="none" w:color="FFFFFF" w:sz="0"/>
            </w:tcBorders>
            <w:shd w:fill="EFEBE4" w:color="auto" w:val="clear"/>
            <w:tcMar>
              <w:top w:type="dxa" w:w="120"/>
              <w:left w:type="dxa" w:w="100"/>
              <w:bottom w:type="dxa" w:w="12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문제 정의</w:t>
            </w:r>
          </w:p>
        </w:tc>
        <w:tc>
          <w:tcPr>
            <w:tcW w:type="dxa" w:w="8106"/>
            <w:tcBorders>
              <w:top w:val="single" w:color="BFB5A6" w:sz="6"/>
              <w:left w:val="none" w:color="FFFFFF" w:sz="0"/>
              <w:bottom w:val="single" w:color="BFB5A6" w:sz="6"/>
              <w:right w:val="none" w:color="FFFFFF" w:sz="0"/>
            </w:tcBorders>
            <w:tcMar>
              <w:top w:type="dxa" w:w="120"/>
              <w:left w:type="dxa" w:w="200"/>
              <w:bottom w:type="dxa" w:w="120"/>
              <w:right w:type="dxa" w:w="150"/>
            </w:tcMar>
            <w:vAlign w:val="center"/>
          </w:tcPr>
          <w:p>
            <w:pPr>
              <w:spacing w:after="60" w:before="14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[ 시장 배경 ]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30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Chess.com 회원 약 2.69억 명(2026-07), 2026년 1분기 일평균 활성 사용자 970만 명, 신규 가입 전년 대비 23.8% 증가 — 온라인 대국 기반 학습 수요 확대 (Chess.com 2026 Q1 보고서)</w:t>
            </w:r>
          </w:p>
          <w:p>
            <w:pPr>
              <w:spacing w:after="60" w:before="14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[ 기존 서비스 현황: 수별 해설과 대국 간 통계는 이미 보편화 ]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30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Chess.com Game Review Coach: 엔진 분석 기반 수별 해설, 위협 설명, 화살표·하이라이트 표시, 다시 두기 제공 (2023-03 v2)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30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Chess.com Insights(최상위 유료 등급 Diamond 전용): 국면별 정확도, 놓친 전술 포지션 목록, 직전 동일 기간 비교, 유사 레이팅 비교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30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Lichess: 엔진 분석, 실수 복기(Learn from your mistakes), Chess Insights를 모두 무료 제공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30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Take Take Take: Stockfish·패턴 검출기·Maia 결과를 근거로 LLM(Gemini 3 Flash)이 설명</w:t>
            </w:r>
          </w:p>
          <w:p>
            <w:pPr>
              <w:spacing w:after="60" w:line="30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따라서 해결할 문제는 "설명이 없다"가 아니라, 이미 있는 설명과 통계가 가진 아래 4가지 한계</w:t>
            </w:r>
          </w:p>
          <w:p>
            <w:pPr>
              <w:spacing w:after="60" w:before="14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[ 문제 1. 설명을 믿기 어려움 ]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30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GPT-4o 단독 체스 해설의 정확성 0.36으로 사람 해설(0.62)의 절반을 조금 넘는 수준, 엔진 개념을 근거로 넘기면 0.60까지 상승 (NAACL 2025)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30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수 전후 포지션(FEN)을 함께 넣어도 환각이 줄어들 뿐 사라지지 않음 (thinkfish 실험)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30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엔진·검출기 근거를 쓰는 상용 코치도 자체 시나리오 평가 통과율 약 75% 수준 (Take Take Take, 2026)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30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이유 없는 일반적 코멘트, 강제 메이트를 놓친 채 다른 수를 칭찬한 사례 등 사용자 불만 존재 (Chess.com 포럼, 개별 사례)</w:t>
            </w:r>
          </w:p>
          <w:p>
            <w:pPr>
              <w:spacing w:after="60" w:before="14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[ 문제 2. 실력 수준을 반영하지 않은 실수 판정 ]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30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엔진은 사람이 실제로 둘 수를 잘 예측하지 못함: Stockfish·Leela의 사람 수 일치율 최고 46%, 레이팅별로 학습한 Maia는 최대 52% 이상 (Maia 논문, 2020)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30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1800 레이팅 대국에서 13수짜리 조합을 "놓친 승리"로, 평범한 수를 블런더로 표시한다는 비판 (Chess.com 사용자 블로그, 2023)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30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결과적으로 초·중급자의 약점 목록이 그 수준에서 실제로 고칠 수 있는 약점과 어긋남</w:t>
            </w:r>
          </w:p>
          <w:p>
            <w:pPr>
              <w:spacing w:after="60" w:before="14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[ 문제 3. 통계와 해설의 단절, 변화 판정의 근거 부족 ]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30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Insights는 지표·그래프 중심이며, 해당 대국·포지션으로 바로 연결되는 범위는 놓친 전술(포크·핀·메이트·잡히는 기물)과 오프닝에 한정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30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약점의 원인을 해설하거나 후속 질문으로 파고드는 기능은 확인되지 않음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30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기간 비교에 표본 수·신뢰도 표시가 확인되지 않아, 몇 판 차이를 개선·악화로 오해할 여지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30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대국 간 통계 기능이 최상위 유료 등급에만 제공되는 점도 접근성 한계</w:t>
            </w:r>
          </w:p>
          <w:p>
            <w:pPr>
              <w:spacing w:after="60" w:before="14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[ 문제 4. 분석이 훈련으로 이어지지 않음 ]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30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Chess.com 사용자 44,213명 종단 연구: 시간의 90% 이상을 대국에 쓰지만, 의도적 연습의 학습 효율이 대국의 3.61배 (Psychological Science, 2026)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30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혼자 하는 진지한 학습이 체스 실력의 가장 강한 예측 변수 (Charness 외, 2005)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30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약점 분석이 복습·퍼즐 같은 의도적 연습으로 이어지는 구조가 실력 향상의 핵심</w:t>
            </w:r>
          </w:p>
          <w:p>
            <w:pPr>
              <w:spacing w:after="60" w:before="14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[ 프로젝트 방향 ]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30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문제 1 → 응답마다 수의 합법성·근거 포함 여부를 검사하는 서버 측 출력 검증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30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문제 2 → Maia로 "그 레이팅에서 찾을 수 있었던 수"만 약점으로 집계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30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문제 3 → 모든 약점 태그에 근거 대국·수순과 해설을 연결하고, 기간 비교에 표본 신뢰도 표시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30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문제 4 → 약점 포지션의 퀴즈화·간격 반복 복습과 같은 테마 퍼즐 추천</w:t>
            </w:r>
          </w:p>
          <w:p>
            <w:pPr>
              <w:spacing w:after="60" w:before="14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[ 목표 사용자 ]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30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초기: 레이팅 향상을 목표로 하는 초보~중급 플레이어, 엔진 분석을 이해하기 어렵거나 반복 실수의 원인을 알고 싶은 플레이어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30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확장: 학생 대국을 검토하는 체스 코치, 여러 학습자의 취약 영역과 개선 추이를 관리하는 교육 기관·클럽</w:t>
            </w:r>
          </w:p>
        </w:tc>
      </w:tr>
      <w:tr>
        <w:trPr>
          <w:cantSplit w:val="off"/>
        </w:trPr>
        <w:tc>
          <w:tcPr>
            <w:tcW w:type="dxa" w:w="1800"/>
            <w:tcBorders>
              <w:top w:val="single" w:color="BFB5A6" w:sz="6"/>
              <w:left w:val="none" w:color="FFFFFF" w:sz="0"/>
              <w:bottom w:val="single" w:color="BFB5A6" w:sz="6"/>
              <w:right w:val="none" w:color="FFFFFF" w:sz="0"/>
            </w:tcBorders>
            <w:shd w:fill="EFEBE4" w:color="auto" w:val="clear"/>
            <w:tcMar>
              <w:top w:type="dxa" w:w="120"/>
              <w:left w:type="dxa" w:w="100"/>
              <w:bottom w:type="dxa" w:w="12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시장조사 및 BM 분석</w:t>
            </w:r>
          </w:p>
        </w:tc>
        <w:tc>
          <w:tcPr>
            <w:tcW w:type="dxa" w:w="8106"/>
            <w:tcBorders>
              <w:top w:val="single" w:color="BFB5A6" w:sz="6"/>
              <w:left w:val="none" w:color="FFFFFF" w:sz="0"/>
              <w:bottom w:val="single" w:color="BFB5A6" w:sz="6"/>
              <w:right w:val="none" w:color="FFFFFF" w:sz="0"/>
            </w:tcBorders>
            <w:tcMar>
              <w:top w:type="dxa" w:w="120"/>
              <w:left w:type="dxa" w:w="200"/>
              <w:bottom w:type="dxa" w:w="120"/>
              <w:right w:type="dxa" w:w="150"/>
            </w:tcMar>
            <w:vAlign w:val="center"/>
          </w:tcPr>
          <w:p>
            <w:pPr>
              <w:spacing w:after="60" w:before="14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[ 시장 현황 ]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30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Chess.com 회원 약 2.69억 명(2026-07). 2026년 1분기 신규 가입 1,490만 명(전년 대비 +23.8%), 일평균 활성 사용자 970만 명(+17.7%) (Chess.com 2026 Q1 보고서)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30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국내 체스 인구에 대한 공식 통계는 확인되지 않음. 대한체스연맹 2025년 하반기 유소년선수권 참가 220여 명 등 대회 규모 정도만 확인 → 국내 수요와 지불 의사는 사용자 인터뷰로 검증</w:t>
            </w:r>
          </w:p>
          <w:p>
            <w:pPr>
              <w:spacing w:after="60" w:before="14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[ 경쟁 서비스 기능·가격 (2026-10 확인) ]</w:t>
            </w:r>
          </w:p>
          <w:tbl>
            <w:tblPr>
              <w:tblW w:type="dxa" w:w="775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913"/>
              <w:gridCol w:w="2870"/>
              <w:gridCol w:w="2973"/>
            </w:tblGrid>
            <w:tr>
              <w:trPr>
                <w:tblHeader/>
              </w:trPr>
              <w:tc>
                <w:tcPr>
                  <w:tcW w:type="dxa" w:w="1913"/>
                  <w:tcBorders>
                    <w:top w:val="single" w:color="BFB5A6" w:sz="4"/>
                    <w:left w:val="single" w:color="BFB5A6" w:sz="4"/>
                    <w:bottom w:val="single" w:color="BFB5A6" w:sz="4"/>
                    <w:right w:val="single" w:color="BFB5A6" w:sz="4"/>
                  </w:tcBorders>
                  <w:shd w:fill="EFEBE4" w:color="auto" w:val="clear"/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sz w:val="17"/>
                      <w:szCs w:val="17"/>
                    </w:rPr>
                    <w:t xml:space="preserve">서비스</w:t>
                  </w:r>
                </w:p>
              </w:tc>
              <w:tc>
                <w:tcPr>
                  <w:tcW w:type="dxa" w:w="2870"/>
                  <w:tcBorders>
                    <w:top w:val="single" w:color="BFB5A6" w:sz="4"/>
                    <w:left w:val="single" w:color="BFB5A6" w:sz="4"/>
                    <w:bottom w:val="single" w:color="BFB5A6" w:sz="4"/>
                    <w:right w:val="single" w:color="BFB5A6" w:sz="4"/>
                  </w:tcBorders>
                  <w:shd w:fill="EFEBE4" w:color="auto" w:val="clear"/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sz w:val="17"/>
                      <w:szCs w:val="17"/>
                    </w:rPr>
                    <w:t xml:space="preserve">무료 범위</w:t>
                  </w:r>
                </w:p>
              </w:tc>
              <w:tc>
                <w:tcPr>
                  <w:tcW w:type="dxa" w:w="2973"/>
                  <w:tcBorders>
                    <w:top w:val="single" w:color="BFB5A6" w:sz="4"/>
                    <w:left w:val="single" w:color="BFB5A6" w:sz="4"/>
                    <w:bottom w:val="single" w:color="BFB5A6" w:sz="4"/>
                    <w:right w:val="single" w:color="BFB5A6" w:sz="4"/>
                  </w:tcBorders>
                  <w:shd w:fill="EFEBE4" w:color="auto" w:val="clear"/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sz w:val="17"/>
                      <w:szCs w:val="17"/>
                    </w:rPr>
                    <w:t xml:space="preserve">유료 범위·가격</w:t>
                  </w:r>
                </w:p>
              </w:tc>
            </w:tr>
            <w:tr>
              <w:tc>
                <w:tcPr>
                  <w:tcW w:type="dxa" w:w="1913"/>
                  <w:tcBorders>
                    <w:top w:val="single" w:color="BFB5A6" w:sz="4"/>
                    <w:left w:val="single" w:color="BFB5A6" w:sz="4"/>
                    <w:bottom w:val="single" w:color="BFB5A6" w:sz="4"/>
                    <w:right w:val="single" w:color="BFB5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  <w:vAlign w:val="center"/>
                </w:tcPr>
                <w:p>
                  <w:pPr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7"/>
                      <w:szCs w:val="17"/>
                    </w:rPr>
                    <w:t xml:space="preserve">Chess.com</w:t>
                  </w:r>
                </w:p>
              </w:tc>
              <w:tc>
                <w:tcPr>
                  <w:tcW w:type="dxa" w:w="2870"/>
                  <w:tcBorders>
                    <w:top w:val="single" w:color="BFB5A6" w:sz="4"/>
                    <w:left w:val="single" w:color="BFB5A6" w:sz="4"/>
                    <w:bottom w:val="single" w:color="BFB5A6" w:sz="4"/>
                    <w:right w:val="single" w:color="BFB5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  <w:vAlign w:val="center"/>
                </w:tcPr>
                <w:p>
                  <w:pPr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7"/>
                      <w:szCs w:val="17"/>
                    </w:rPr>
                    <w:t xml:space="preserve">Game Review 하루 1회</w:t>
                  </w:r>
                </w:p>
              </w:tc>
              <w:tc>
                <w:tcPr>
                  <w:tcW w:type="dxa" w:w="2973"/>
                  <w:tcBorders>
                    <w:top w:val="single" w:color="BFB5A6" w:sz="4"/>
                    <w:left w:val="single" w:color="BFB5A6" w:sz="4"/>
                    <w:bottom w:val="single" w:color="BFB5A6" w:sz="4"/>
                    <w:right w:val="single" w:color="BFB5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  <w:vAlign w:val="center"/>
                </w:tcPr>
                <w:p>
                  <w:pPr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7"/>
                      <w:szCs w:val="17"/>
                    </w:rPr>
                    <w:t xml:space="preserve">Platinum: Game Review 무제한 / Diamond: 모든 수 코치 설명, Insights(국면별 정확도·놓친 전술 목록·직전 기간 비교·유사 레이팅 비교). 가격은 공식 페이지에서 확인 필요</w:t>
                  </w:r>
                </w:p>
              </w:tc>
            </w:tr>
            <w:tr>
              <w:tc>
                <w:tcPr>
                  <w:tcW w:type="dxa" w:w="1913"/>
                  <w:tcBorders>
                    <w:top w:val="single" w:color="BFB5A6" w:sz="4"/>
                    <w:left w:val="single" w:color="BFB5A6" w:sz="4"/>
                    <w:bottom w:val="single" w:color="BFB5A6" w:sz="4"/>
                    <w:right w:val="single" w:color="BFB5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  <w:vAlign w:val="center"/>
                </w:tcPr>
                <w:p>
                  <w:pPr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7"/>
                      <w:szCs w:val="17"/>
                    </w:rPr>
                    <w:t xml:space="preserve">Lichess</w:t>
                  </w:r>
                </w:p>
              </w:tc>
              <w:tc>
                <w:tcPr>
                  <w:tcW w:type="dxa" w:w="2870"/>
                  <w:tcBorders>
                    <w:top w:val="single" w:color="BFB5A6" w:sz="4"/>
                    <w:left w:val="single" w:color="BFB5A6" w:sz="4"/>
                    <w:bottom w:val="single" w:color="BFB5A6" w:sz="4"/>
                    <w:right w:val="single" w:color="BFB5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  <w:vAlign w:val="center"/>
                </w:tcPr>
                <w:p>
                  <w:pPr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7"/>
                      <w:szCs w:val="17"/>
                    </w:rPr>
                    <w:t xml:space="preserve">엔진 분석·실수 복기·Insights 등 전 기능 무료</w:t>
                  </w:r>
                </w:p>
              </w:tc>
              <w:tc>
                <w:tcPr>
                  <w:tcW w:type="dxa" w:w="2973"/>
                  <w:tcBorders>
                    <w:top w:val="single" w:color="BFB5A6" w:sz="4"/>
                    <w:left w:val="single" w:color="BFB5A6" w:sz="4"/>
                    <w:bottom w:val="single" w:color="BFB5A6" w:sz="4"/>
                    <w:right w:val="single" w:color="BFB5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  <w:vAlign w:val="center"/>
                </w:tcPr>
                <w:p>
                  <w:pPr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7"/>
                      <w:szCs w:val="17"/>
                    </w:rPr>
                    <w:t xml:space="preserve">없음 (후원만 가능)</w:t>
                  </w:r>
                </w:p>
              </w:tc>
            </w:tr>
            <w:tr>
              <w:tc>
                <w:tcPr>
                  <w:tcW w:type="dxa" w:w="1913"/>
                  <w:tcBorders>
                    <w:top w:val="single" w:color="BFB5A6" w:sz="4"/>
                    <w:left w:val="single" w:color="BFB5A6" w:sz="4"/>
                    <w:bottom w:val="single" w:color="BFB5A6" w:sz="4"/>
                    <w:right w:val="single" w:color="BFB5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  <w:vAlign w:val="center"/>
                </w:tcPr>
                <w:p>
                  <w:pPr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7"/>
                      <w:szCs w:val="17"/>
                    </w:rPr>
                    <w:t xml:space="preserve">DecodeChess</w:t>
                  </w:r>
                </w:p>
              </w:tc>
              <w:tc>
                <w:tcPr>
                  <w:tcW w:type="dxa" w:w="2870"/>
                  <w:tcBorders>
                    <w:top w:val="single" w:color="BFB5A6" w:sz="4"/>
                    <w:left w:val="single" w:color="BFB5A6" w:sz="4"/>
                    <w:bottom w:val="single" w:color="BFB5A6" w:sz="4"/>
                    <w:right w:val="single" w:color="BFB5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  <w:vAlign w:val="center"/>
                </w:tcPr>
                <w:p>
                  <w:pPr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7"/>
                      <w:szCs w:val="17"/>
                    </w:rPr>
                    <w:t xml:space="preserve">하루 1판 해설</w:t>
                  </w:r>
                </w:p>
              </w:tc>
              <w:tc>
                <w:tcPr>
                  <w:tcW w:type="dxa" w:w="2973"/>
                  <w:tcBorders>
                    <w:top w:val="single" w:color="BFB5A6" w:sz="4"/>
                    <w:left w:val="single" w:color="BFB5A6" w:sz="4"/>
                    <w:bottom w:val="single" w:color="BFB5A6" w:sz="4"/>
                    <w:right w:val="single" w:color="BFB5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  <w:vAlign w:val="center"/>
                </w:tcPr>
                <w:p>
                  <w:pPr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7"/>
                      <w:szCs w:val="17"/>
                    </w:rPr>
                    <w:t xml:space="preserve">월 $8.25 / 연 $84: 무제한 대국·포지션 해설</w:t>
                  </w:r>
                </w:p>
              </w:tc>
            </w:tr>
            <w:tr>
              <w:tc>
                <w:tcPr>
                  <w:tcW w:type="dxa" w:w="1913"/>
                  <w:tcBorders>
                    <w:top w:val="single" w:color="BFB5A6" w:sz="4"/>
                    <w:left w:val="single" w:color="BFB5A6" w:sz="4"/>
                    <w:bottom w:val="single" w:color="BFB5A6" w:sz="4"/>
                    <w:right w:val="single" w:color="BFB5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  <w:vAlign w:val="center"/>
                </w:tcPr>
                <w:p>
                  <w:pPr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7"/>
                      <w:szCs w:val="17"/>
                    </w:rPr>
                    <w:t xml:space="preserve">Aimchess</w:t>
                  </w:r>
                </w:p>
              </w:tc>
              <w:tc>
                <w:tcPr>
                  <w:tcW w:type="dxa" w:w="2870"/>
                  <w:tcBorders>
                    <w:top w:val="single" w:color="BFB5A6" w:sz="4"/>
                    <w:left w:val="single" w:color="BFB5A6" w:sz="4"/>
                    <w:bottom w:val="single" w:color="BFB5A6" w:sz="4"/>
                    <w:right w:val="single" w:color="BFB5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  <w:vAlign w:val="center"/>
                </w:tcPr>
                <w:p>
                  <w:pPr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7"/>
                      <w:szCs w:val="17"/>
                    </w:rPr>
                    <w:t xml:space="preserve">월 1회 40판 분석 리포트, 주간 학습 계획</w:t>
                  </w:r>
                </w:p>
              </w:tc>
              <w:tc>
                <w:tcPr>
                  <w:tcW w:type="dxa" w:w="2973"/>
                  <w:tcBorders>
                    <w:top w:val="single" w:color="BFB5A6" w:sz="4"/>
                    <w:left w:val="single" w:color="BFB5A6" w:sz="4"/>
                    <w:bottom w:val="single" w:color="BFB5A6" w:sz="4"/>
                    <w:right w:val="single" w:color="BFB5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  <w:vAlign w:val="center"/>
                </w:tcPr>
                <w:p>
                  <w:pPr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7"/>
                      <w:szCs w:val="17"/>
                    </w:rPr>
                    <w:t xml:space="preserve">월 $7.99 / 연 $57.99: 무제한 리포트, 최근 1,000판 분석, 코치 공유</w:t>
                  </w:r>
                </w:p>
              </w:tc>
            </w:tr>
            <w:tr>
              <w:tc>
                <w:tcPr>
                  <w:tcW w:type="dxa" w:w="1913"/>
                  <w:tcBorders>
                    <w:top w:val="single" w:color="BFB5A6" w:sz="4"/>
                    <w:left w:val="single" w:color="BFB5A6" w:sz="4"/>
                    <w:bottom w:val="single" w:color="BFB5A6" w:sz="4"/>
                    <w:right w:val="single" w:color="BFB5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  <w:vAlign w:val="center"/>
                </w:tcPr>
                <w:p>
                  <w:pPr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7"/>
                      <w:szCs w:val="17"/>
                    </w:rPr>
                    <w:t xml:space="preserve">Take Take Take</w:t>
                  </w:r>
                </w:p>
              </w:tc>
              <w:tc>
                <w:tcPr>
                  <w:tcW w:type="dxa" w:w="2870"/>
                  <w:tcBorders>
                    <w:top w:val="single" w:color="BFB5A6" w:sz="4"/>
                    <w:left w:val="single" w:color="BFB5A6" w:sz="4"/>
                    <w:bottom w:val="single" w:color="BFB5A6" w:sz="4"/>
                    <w:right w:val="single" w:color="BFB5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  <w:vAlign w:val="center"/>
                </w:tcPr>
                <w:p>
                  <w:pPr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7"/>
                      <w:szCs w:val="17"/>
                    </w:rPr>
                    <w:t xml:space="preserve">확인 안 됨</w:t>
                  </w:r>
                </w:p>
              </w:tc>
              <w:tc>
                <w:tcPr>
                  <w:tcW w:type="dxa" w:w="2973"/>
                  <w:tcBorders>
                    <w:top w:val="single" w:color="BFB5A6" w:sz="4"/>
                    <w:left w:val="single" w:color="BFB5A6" w:sz="4"/>
                    <w:bottom w:val="single" w:color="BFB5A6" w:sz="4"/>
                    <w:right w:val="single" w:color="BFB5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  <w:vAlign w:val="center"/>
                </w:tcPr>
                <w:p>
                  <w:pPr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7"/>
                      <w:szCs w:val="17"/>
                    </w:rPr>
                    <w:t xml:space="preserve">Stockfish·패턴 검출기·Maia 근거로 LLM이 설명, 시나리오 평가셋·LLM 심판으로 품질 관리</w:t>
                  </w:r>
                </w:p>
              </w:tc>
            </w:tr>
          </w:tbl>
          <w:p>
            <w:pPr>
              <w:spacing w:after="40"/>
            </w:pPr>
          </w:p>
          <w:p>
            <w:pPr>
              <w:spacing w:after="60" w:before="14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[ 조사 결론 ]</w:t>
            </w:r>
          </w:p>
          <w:p>
            <w:pPr>
              <w:spacing w:after="60" w:line="30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"엔진이 판정하고 LLM은 설명만 한다"는 구조는 이미 업계 표준. 수별 등급, 대국 요약, 후속 질문, 실수 퍼즐, 대국 간 약점 통계, 한국어 설명까지 기존 서비스에 존재하므로 단일 기능이 아닌 아래 조합으로 차별화</w:t>
            </w:r>
          </w:p>
          <w:p>
            <w:pPr>
              <w:spacing w:after="60" w:before="14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[ 차별점 ]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30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모든 약점에 근거 대국·수순과 해설 연결: Insights의 포지션 목록은 놓친 전술·오프닝에 한정되므로, 전략·종반 등 모든 약점 태그에 해당 대국·수순과 해설을 붙이고 후속 질문까지 연결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30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기간 비교에 표본 신뢰도 판정 추가: Insights도 직전 동일 기간 비교를 제공하나, 본 서비스는 약점 감소 여부와 함께 표본이 결론을 내리기에 충분한지를 판정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30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서버 측 출력 검증 후 재생성: 응답마다 수의 합법성·증거 포함 여부·숫자 혼입을 검사하고 실패 시 재생성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30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레이팅을 반영한 약점 정의: 그 수준이면 찾아야 했던 수만 반복 약점으로 집계</w:t>
            </w:r>
          </w:p>
          <w:p>
            <w:pPr>
              <w:spacing w:after="60" w:line="30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한국어 설명은 차별점이 아닌 국내 시장의 기본 요건으로 취급</w:t>
            </w:r>
          </w:p>
          <w:p>
            <w:pPr>
              <w:spacing w:after="60" w:before="14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[ 수익 모델 ]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30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B2C 부분 유료화: 무료(월간 분석 대국 수·고급 리포트 제한) / 유료 구독(장기 분석, 대화형 질의, 상세 리포트, 훈련 추천, 이력 비교)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30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B2B 코치용: 학생별 대국 관리, 반복 약점·개선 추이, 수업용 리포트 내보내기, 진행 상황 대시보드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30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가격 [가설]: 해외 경쟁 유료 요금(월 $7.99~8.25)을 참고 구간으로 두고, 국내 가격은 인터뷰의 지불 의사 조사 결과로 결정</w:t>
            </w:r>
          </w:p>
          <w:p>
            <w:pPr>
              <w:spacing w:after="60" w:before="14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[ 단위 비용 추정 [가설] ]</w:t>
            </w:r>
          </w:p>
          <w:p>
            <w:pPr>
              <w:spacing w:after="60" w:line="30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가정: 해설 1회당 입력 3,000 토큰·출력 300 토큰, 대국당 해설 10회. 100만 토큰당 가격(입력/출력) 기준</w:t>
            </w:r>
          </w:p>
          <w:tbl>
            <w:tblPr>
              <w:tblW w:type="dxa" w:w="775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487"/>
              <w:gridCol w:w="2487"/>
              <w:gridCol w:w="2782"/>
            </w:tblGrid>
            <w:tr>
              <w:trPr>
                <w:tblHeader/>
              </w:trPr>
              <w:tc>
                <w:tcPr>
                  <w:tcW w:type="dxa" w:w="2487"/>
                  <w:tcBorders>
                    <w:top w:val="single" w:color="BFB5A6" w:sz="4"/>
                    <w:left w:val="single" w:color="BFB5A6" w:sz="4"/>
                    <w:bottom w:val="single" w:color="BFB5A6" w:sz="4"/>
                    <w:right w:val="single" w:color="BFB5A6" w:sz="4"/>
                  </w:tcBorders>
                  <w:shd w:fill="EFEBE4" w:color="auto" w:val="clear"/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sz w:val="17"/>
                      <w:szCs w:val="17"/>
                    </w:rPr>
                    <w:t xml:space="preserve">LLM</w:t>
                  </w:r>
                </w:p>
              </w:tc>
              <w:tc>
                <w:tcPr>
                  <w:tcW w:type="dxa" w:w="2487"/>
                  <w:tcBorders>
                    <w:top w:val="single" w:color="BFB5A6" w:sz="4"/>
                    <w:left w:val="single" w:color="BFB5A6" w:sz="4"/>
                    <w:bottom w:val="single" w:color="BFB5A6" w:sz="4"/>
                    <w:right w:val="single" w:color="BFB5A6" w:sz="4"/>
                  </w:tcBorders>
                  <w:shd w:fill="EFEBE4" w:color="auto" w:val="clear"/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sz w:val="17"/>
                      <w:szCs w:val="17"/>
                    </w:rPr>
                    <w:t xml:space="preserve">가격 (입력/출력)</w:t>
                  </w:r>
                </w:p>
              </w:tc>
              <w:tc>
                <w:tcPr>
                  <w:tcW w:type="dxa" w:w="2782"/>
                  <w:tcBorders>
                    <w:top w:val="single" w:color="BFB5A6" w:sz="4"/>
                    <w:left w:val="single" w:color="BFB5A6" w:sz="4"/>
                    <w:bottom w:val="single" w:color="BFB5A6" w:sz="4"/>
                    <w:right w:val="single" w:color="BFB5A6" w:sz="4"/>
                  </w:tcBorders>
                  <w:shd w:fill="EFEBE4" w:color="auto" w:val="clear"/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sz w:val="17"/>
                      <w:szCs w:val="17"/>
                    </w:rPr>
                    <w:t xml:space="preserve">대국당 LLM 비용</w:t>
                  </w:r>
                </w:p>
              </w:tc>
            </w:tr>
            <w:tr>
              <w:tc>
                <w:tcPr>
                  <w:tcW w:type="dxa" w:w="2487"/>
                  <w:tcBorders>
                    <w:top w:val="single" w:color="BFB5A6" w:sz="4"/>
                    <w:left w:val="single" w:color="BFB5A6" w:sz="4"/>
                    <w:bottom w:val="single" w:color="BFB5A6" w:sz="4"/>
                    <w:right w:val="single" w:color="BFB5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  <w:vAlign w:val="center"/>
                </w:tcPr>
                <w:p>
                  <w:pPr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7"/>
                      <w:szCs w:val="17"/>
                    </w:rPr>
                    <w:t xml:space="preserve">Claude Haiku 5.5</w:t>
                  </w:r>
                </w:p>
              </w:tc>
              <w:tc>
                <w:tcPr>
                  <w:tcW w:type="dxa" w:w="2487"/>
                  <w:tcBorders>
                    <w:top w:val="single" w:color="BFB5A6" w:sz="4"/>
                    <w:left w:val="single" w:color="BFB5A6" w:sz="4"/>
                    <w:bottom w:val="single" w:color="BFB5A6" w:sz="4"/>
                    <w:right w:val="single" w:color="BFB5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  <w:vAlign w:val="center"/>
                </w:tcPr>
                <w:p>
                  <w:pPr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7"/>
                      <w:szCs w:val="17"/>
                    </w:rPr>
                    <w:t xml:space="preserve">$0.10 / $0.50</w:t>
                  </w:r>
                </w:p>
              </w:tc>
              <w:tc>
                <w:tcPr>
                  <w:tcW w:type="dxa" w:w="2782"/>
                  <w:tcBorders>
                    <w:top w:val="single" w:color="BFB5A6" w:sz="4"/>
                    <w:left w:val="single" w:color="BFB5A6" w:sz="4"/>
                    <w:bottom w:val="single" w:color="BFB5A6" w:sz="4"/>
                    <w:right w:val="single" w:color="BFB5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  <w:vAlign w:val="center"/>
                </w:tcPr>
                <w:p>
                  <w:pPr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7"/>
                      <w:szCs w:val="17"/>
                    </w:rPr>
                    <w:t xml:space="preserve">약 $0.0045</w:t>
                  </w:r>
                </w:p>
              </w:tc>
            </w:tr>
            <w:tr>
              <w:tc>
                <w:tcPr>
                  <w:tcW w:type="dxa" w:w="2487"/>
                  <w:tcBorders>
                    <w:top w:val="single" w:color="BFB5A6" w:sz="4"/>
                    <w:left w:val="single" w:color="BFB5A6" w:sz="4"/>
                    <w:bottom w:val="single" w:color="BFB5A6" w:sz="4"/>
                    <w:right w:val="single" w:color="BFB5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  <w:vAlign w:val="center"/>
                </w:tcPr>
                <w:p>
                  <w:pPr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7"/>
                      <w:szCs w:val="17"/>
                    </w:rPr>
                    <w:t xml:space="preserve">Gemini 3 Flash</w:t>
                  </w:r>
                </w:p>
              </w:tc>
              <w:tc>
                <w:tcPr>
                  <w:tcW w:type="dxa" w:w="2487"/>
                  <w:tcBorders>
                    <w:top w:val="single" w:color="BFB5A6" w:sz="4"/>
                    <w:left w:val="single" w:color="BFB5A6" w:sz="4"/>
                    <w:bottom w:val="single" w:color="BFB5A6" w:sz="4"/>
                    <w:right w:val="single" w:color="BFB5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  <w:vAlign w:val="center"/>
                </w:tcPr>
                <w:p>
                  <w:pPr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7"/>
                      <w:szCs w:val="17"/>
                    </w:rPr>
                    <w:t xml:space="preserve">$0.50 / $3.00 (제3자 집계, 공식 확인 필요)</w:t>
                  </w:r>
                </w:p>
              </w:tc>
              <w:tc>
                <w:tcPr>
                  <w:tcW w:type="dxa" w:w="2782"/>
                  <w:tcBorders>
                    <w:top w:val="single" w:color="BFB5A6" w:sz="4"/>
                    <w:left w:val="single" w:color="BFB5A6" w:sz="4"/>
                    <w:bottom w:val="single" w:color="BFB5A6" w:sz="4"/>
                    <w:right w:val="single" w:color="BFB5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  <w:vAlign w:val="center"/>
                </w:tcPr>
                <w:p>
                  <w:pPr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7"/>
                      <w:szCs w:val="17"/>
                    </w:rPr>
                    <w:t xml:space="preserve">약 $0.024</w:t>
                  </w:r>
                </w:p>
              </w:tc>
            </w:tr>
            <w:tr>
              <w:tc>
                <w:tcPr>
                  <w:tcW w:type="dxa" w:w="2487"/>
                  <w:tcBorders>
                    <w:top w:val="single" w:color="BFB5A6" w:sz="4"/>
                    <w:left w:val="single" w:color="BFB5A6" w:sz="4"/>
                    <w:bottom w:val="single" w:color="BFB5A6" w:sz="4"/>
                    <w:right w:val="single" w:color="BFB5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  <w:vAlign w:val="center"/>
                </w:tcPr>
                <w:p>
                  <w:pPr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7"/>
                      <w:szCs w:val="17"/>
                    </w:rPr>
                    <w:t xml:space="preserve">Claude Sonnet 5.5</w:t>
                  </w:r>
                </w:p>
              </w:tc>
              <w:tc>
                <w:tcPr>
                  <w:tcW w:type="dxa" w:w="2487"/>
                  <w:tcBorders>
                    <w:top w:val="single" w:color="BFB5A6" w:sz="4"/>
                    <w:left w:val="single" w:color="BFB5A6" w:sz="4"/>
                    <w:bottom w:val="single" w:color="BFB5A6" w:sz="4"/>
                    <w:right w:val="single" w:color="BFB5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  <w:vAlign w:val="center"/>
                </w:tcPr>
                <w:p>
                  <w:pPr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7"/>
                      <w:szCs w:val="17"/>
                    </w:rPr>
                    <w:t xml:space="preserve">$2 / $10</w:t>
                  </w:r>
                </w:p>
              </w:tc>
              <w:tc>
                <w:tcPr>
                  <w:tcW w:type="dxa" w:w="2782"/>
                  <w:tcBorders>
                    <w:top w:val="single" w:color="BFB5A6" w:sz="4"/>
                    <w:left w:val="single" w:color="BFB5A6" w:sz="4"/>
                    <w:bottom w:val="single" w:color="BFB5A6" w:sz="4"/>
                    <w:right w:val="single" w:color="BFB5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  <w:vAlign w:val="center"/>
                </w:tcPr>
                <w:p>
                  <w:pPr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7"/>
                      <w:szCs w:val="17"/>
                    </w:rPr>
                    <w:t xml:space="preserve">약 $0.09</w:t>
                  </w:r>
                </w:p>
              </w:tc>
            </w:tr>
            <w:tr>
              <w:tc>
                <w:tcPr>
                  <w:tcW w:type="dxa" w:w="2487"/>
                  <w:tcBorders>
                    <w:top w:val="single" w:color="BFB5A6" w:sz="4"/>
                    <w:left w:val="single" w:color="BFB5A6" w:sz="4"/>
                    <w:bottom w:val="single" w:color="BFB5A6" w:sz="4"/>
                    <w:right w:val="single" w:color="BFB5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  <w:vAlign w:val="center"/>
                </w:tcPr>
                <w:p>
                  <w:pPr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7"/>
                      <w:szCs w:val="17"/>
                    </w:rPr>
                    <w:t xml:space="preserve">Claude Opus 5.5</w:t>
                  </w:r>
                </w:p>
              </w:tc>
              <w:tc>
                <w:tcPr>
                  <w:tcW w:type="dxa" w:w="2487"/>
                  <w:tcBorders>
                    <w:top w:val="single" w:color="BFB5A6" w:sz="4"/>
                    <w:left w:val="single" w:color="BFB5A6" w:sz="4"/>
                    <w:bottom w:val="single" w:color="BFB5A6" w:sz="4"/>
                    <w:right w:val="single" w:color="BFB5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  <w:vAlign w:val="center"/>
                </w:tcPr>
                <w:p>
                  <w:pPr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7"/>
                      <w:szCs w:val="17"/>
                    </w:rPr>
                    <w:t xml:space="preserve">$4 / $20</w:t>
                  </w:r>
                </w:p>
              </w:tc>
              <w:tc>
                <w:tcPr>
                  <w:tcW w:type="dxa" w:w="2782"/>
                  <w:tcBorders>
                    <w:top w:val="single" w:color="BFB5A6" w:sz="4"/>
                    <w:left w:val="single" w:color="BFB5A6" w:sz="4"/>
                    <w:bottom w:val="single" w:color="BFB5A6" w:sz="4"/>
                    <w:right w:val="single" w:color="BFB5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  <w:vAlign w:val="center"/>
                </w:tcPr>
                <w:p>
                  <w:pPr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7"/>
                      <w:szCs w:val="17"/>
                    </w:rPr>
                    <w:t xml:space="preserve">약 $0.18</w:t>
                  </w:r>
                </w:p>
              </w:tc>
            </w:tr>
          </w:tbl>
          <w:p>
            <w:pPr>
              <w:spacing w:after="40"/>
            </w:pPr>
          </w:p>
          <w:p>
            <w:pPr>
              <w:pStyle w:val="ListParagraph"/>
              <w:numPr>
                <w:ilvl w:val="0"/>
                <w:numId w:val="2"/>
              </w:numPr>
              <w:spacing w:after="40" w:line="30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소형 모델 기준 LLM 비용은 월 구독료 대비 작음. 출력 검증 실패에 따른 재생성 비율, Stockfish 서버 비용, 평가 캐시 적중률은 MVP에서 측정 [측정 예정]</w:t>
            </w:r>
          </w:p>
          <w:p>
            <w:pPr>
              <w:spacing w:after="60" w:before="14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[ 초기 검증 계획 ]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30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초보·중급 사용자 10~15명 인터뷰, 직접 업로드한 기보로 프로토타입 분석 결과 제공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30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설명의 이해도·신뢰도·유용성 평가, 기존 도구 대비 재사용 의향과 유료 기능 지불 의사 조사</w:t>
            </w:r>
          </w:p>
        </w:tc>
      </w:tr>
      <w:tr>
        <w:trPr>
          <w:cantSplit w:val="off"/>
        </w:trPr>
        <w:tc>
          <w:tcPr>
            <w:tcW w:type="dxa" w:w="1800"/>
            <w:tcBorders>
              <w:top w:val="single" w:color="BFB5A6" w:sz="6"/>
              <w:left w:val="none" w:color="FFFFFF" w:sz="0"/>
              <w:bottom w:val="single" w:color="BFB5A6" w:sz="6"/>
              <w:right w:val="none" w:color="FFFFFF" w:sz="0"/>
            </w:tcBorders>
            <w:shd w:fill="EFEBE4" w:color="auto" w:val="clear"/>
            <w:tcMar>
              <w:top w:type="dxa" w:w="120"/>
              <w:left w:type="dxa" w:w="100"/>
              <w:bottom w:type="dxa" w:w="12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시스템 구성 기획</w:t>
            </w:r>
          </w:p>
        </w:tc>
        <w:tc>
          <w:tcPr>
            <w:tcW w:type="dxa" w:w="8106"/>
            <w:tcBorders>
              <w:top w:val="single" w:color="BFB5A6" w:sz="6"/>
              <w:left w:val="none" w:color="FFFFFF" w:sz="0"/>
              <w:bottom w:val="single" w:color="BFB5A6" w:sz="6"/>
              <w:right w:val="none" w:color="FFFFFF" w:sz="0"/>
            </w:tcBorders>
            <w:tcMar>
              <w:top w:type="dxa" w:w="120"/>
              <w:left w:type="dxa" w:w="200"/>
              <w:bottom w:type="dxa" w:w="120"/>
              <w:right w:type="dxa" w:w="150"/>
            </w:tcMar>
            <w:vAlign w:val="center"/>
          </w:tcPr>
          <w:p>
            <w:pPr>
              <w:spacing w:after="60" w:before="14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[ 구성 요소 ]</w:t>
            </w:r>
          </w:p>
          <w:tbl>
            <w:tblPr>
              <w:tblW w:type="dxa" w:w="775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354"/>
              <w:gridCol w:w="5402"/>
            </w:tblGrid>
            <w:tr>
              <w:trPr>
                <w:tblHeader/>
              </w:trPr>
              <w:tc>
                <w:tcPr>
                  <w:tcW w:type="dxa" w:w="2354"/>
                  <w:tcBorders>
                    <w:top w:val="single" w:color="BFB5A6" w:sz="4"/>
                    <w:left w:val="single" w:color="BFB5A6" w:sz="4"/>
                    <w:bottom w:val="single" w:color="BFB5A6" w:sz="4"/>
                    <w:right w:val="single" w:color="BFB5A6" w:sz="4"/>
                  </w:tcBorders>
                  <w:shd w:fill="EFEBE4" w:color="auto" w:val="clear"/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sz w:val="17"/>
                      <w:szCs w:val="17"/>
                    </w:rPr>
                    <w:t xml:space="preserve">계층 (기술)</w:t>
                  </w:r>
                </w:p>
              </w:tc>
              <w:tc>
                <w:tcPr>
                  <w:tcW w:type="dxa" w:w="5402"/>
                  <w:tcBorders>
                    <w:top w:val="single" w:color="BFB5A6" w:sz="4"/>
                    <w:left w:val="single" w:color="BFB5A6" w:sz="4"/>
                    <w:bottom w:val="single" w:color="BFB5A6" w:sz="4"/>
                    <w:right w:val="single" w:color="BFB5A6" w:sz="4"/>
                  </w:tcBorders>
                  <w:shd w:fill="EFEBE4" w:color="auto" w:val="clear"/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sz w:val="17"/>
                      <w:szCs w:val="17"/>
                    </w:rPr>
                    <w:t xml:space="preserve">역할</w:t>
                  </w:r>
                </w:p>
              </w:tc>
            </w:tr>
            <w:tr>
              <w:tc>
                <w:tcPr>
                  <w:tcW w:type="dxa" w:w="2354"/>
                  <w:tcBorders>
                    <w:top w:val="single" w:color="BFB5A6" w:sz="4"/>
                    <w:left w:val="single" w:color="BFB5A6" w:sz="4"/>
                    <w:bottom w:val="single" w:color="BFB5A6" w:sz="4"/>
                    <w:right w:val="single" w:color="BFB5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  <w:vAlign w:val="center"/>
                </w:tcPr>
                <w:p>
                  <w:pPr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7"/>
                      <w:szCs w:val="17"/>
                    </w:rPr>
                    <w:t xml:space="preserve">프론트엔드 (React, TypeScript)</w:t>
                  </w:r>
                </w:p>
              </w:tc>
              <w:tc>
                <w:tcPr>
                  <w:tcW w:type="dxa" w:w="5402"/>
                  <w:tcBorders>
                    <w:top w:val="single" w:color="BFB5A6" w:sz="4"/>
                    <w:left w:val="single" w:color="BFB5A6" w:sz="4"/>
                    <w:bottom w:val="single" w:color="BFB5A6" w:sz="4"/>
                    <w:right w:val="single" w:color="BFB5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  <w:vAlign w:val="center"/>
                </w:tcPr>
                <w:p>
                  <w:pPr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7"/>
                      <w:szCs w:val="17"/>
                    </w:rPr>
                    <w:t xml:space="preserve">체스판, 분석 결과, 대화 UI, 차트 및 리포트</w:t>
                  </w:r>
                </w:p>
              </w:tc>
            </w:tr>
            <w:tr>
              <w:tc>
                <w:tcPr>
                  <w:tcW w:type="dxa" w:w="2354"/>
                  <w:tcBorders>
                    <w:top w:val="single" w:color="BFB5A6" w:sz="4"/>
                    <w:left w:val="single" w:color="BFB5A6" w:sz="4"/>
                    <w:bottom w:val="single" w:color="BFB5A6" w:sz="4"/>
                    <w:right w:val="single" w:color="BFB5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  <w:vAlign w:val="center"/>
                </w:tcPr>
                <w:p>
                  <w:pPr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7"/>
                      <w:szCs w:val="17"/>
                    </w:rPr>
                    <w:t xml:space="preserve">백엔드 API (Spring Boot)</w:t>
                  </w:r>
                </w:p>
              </w:tc>
              <w:tc>
                <w:tcPr>
                  <w:tcW w:type="dxa" w:w="5402"/>
                  <w:tcBorders>
                    <w:top w:val="single" w:color="BFB5A6" w:sz="4"/>
                    <w:left w:val="single" w:color="BFB5A6" w:sz="4"/>
                    <w:bottom w:val="single" w:color="BFB5A6" w:sz="4"/>
                    <w:right w:val="single" w:color="BFB5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  <w:vAlign w:val="center"/>
                </w:tcPr>
                <w:p>
                  <w:pPr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7"/>
                      <w:szCs w:val="17"/>
                    </w:rPr>
                    <w:t xml:space="preserve">인증, 사용자·대국 관리, 분석 요청, 리포트 API</w:t>
                  </w:r>
                </w:p>
              </w:tc>
            </w:tr>
            <w:tr>
              <w:tc>
                <w:tcPr>
                  <w:tcW w:type="dxa" w:w="2354"/>
                  <w:tcBorders>
                    <w:top w:val="single" w:color="BFB5A6" w:sz="4"/>
                    <w:left w:val="single" w:color="BFB5A6" w:sz="4"/>
                    <w:bottom w:val="single" w:color="BFB5A6" w:sz="4"/>
                    <w:right w:val="single" w:color="BFB5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  <w:vAlign w:val="center"/>
                </w:tcPr>
                <w:p>
                  <w:pPr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7"/>
                      <w:szCs w:val="17"/>
                    </w:rPr>
                    <w:t xml:space="preserve">데이터 처리 (Python, python-chess)</w:t>
                  </w:r>
                </w:p>
              </w:tc>
              <w:tc>
                <w:tcPr>
                  <w:tcW w:type="dxa" w:w="5402"/>
                  <w:tcBorders>
                    <w:top w:val="single" w:color="BFB5A6" w:sz="4"/>
                    <w:left w:val="single" w:color="BFB5A6" w:sz="4"/>
                    <w:bottom w:val="single" w:color="BFB5A6" w:sz="4"/>
                    <w:right w:val="single" w:color="BFB5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  <w:vAlign w:val="center"/>
                </w:tcPr>
                <w:p>
                  <w:pPr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7"/>
                      <w:szCs w:val="17"/>
                    </w:rPr>
                    <w:t xml:space="preserve">PGN 파싱, FEN 변환, 수순 검증, 분석 데이터 정리</w:t>
                  </w:r>
                </w:p>
              </w:tc>
            </w:tr>
            <w:tr>
              <w:tc>
                <w:tcPr>
                  <w:tcW w:type="dxa" w:w="2354"/>
                  <w:tcBorders>
                    <w:top w:val="single" w:color="BFB5A6" w:sz="4"/>
                    <w:left w:val="single" w:color="BFB5A6" w:sz="4"/>
                    <w:bottom w:val="single" w:color="BFB5A6" w:sz="4"/>
                    <w:right w:val="single" w:color="BFB5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  <w:vAlign w:val="center"/>
                </w:tcPr>
                <w:p>
                  <w:pPr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7"/>
                      <w:szCs w:val="17"/>
                    </w:rPr>
                    <w:t xml:space="preserve">체스 엔진 (Stockfish)</w:t>
                  </w:r>
                </w:p>
              </w:tc>
              <w:tc>
                <w:tcPr>
                  <w:tcW w:type="dxa" w:w="5402"/>
                  <w:tcBorders>
                    <w:top w:val="single" w:color="BFB5A6" w:sz="4"/>
                    <w:left w:val="single" w:color="BFB5A6" w:sz="4"/>
                    <w:bottom w:val="single" w:color="BFB5A6" w:sz="4"/>
                    <w:right w:val="single" w:color="BFB5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  <w:vAlign w:val="center"/>
                </w:tcPr>
                <w:p>
                  <w:pPr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7"/>
                      <w:szCs w:val="17"/>
                    </w:rPr>
                    <w:t xml:space="preserve">포지션 평가, 최선 수, 후보 수 및 변형 산출</w:t>
                  </w:r>
                </w:p>
              </w:tc>
            </w:tr>
            <w:tr>
              <w:tc>
                <w:tcPr>
                  <w:tcW w:type="dxa" w:w="2354"/>
                  <w:tcBorders>
                    <w:top w:val="single" w:color="BFB5A6" w:sz="4"/>
                    <w:left w:val="single" w:color="BFB5A6" w:sz="4"/>
                    <w:bottom w:val="single" w:color="BFB5A6" w:sz="4"/>
                    <w:right w:val="single" w:color="BFB5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  <w:vAlign w:val="center"/>
                </w:tcPr>
                <w:p>
                  <w:pPr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7"/>
                      <w:szCs w:val="17"/>
                    </w:rPr>
                    <w:t xml:space="preserve">분석 계층 (Python 모듈)</w:t>
                  </w:r>
                </w:p>
              </w:tc>
              <w:tc>
                <w:tcPr>
                  <w:tcW w:type="dxa" w:w="5402"/>
                  <w:tcBorders>
                    <w:top w:val="single" w:color="BFB5A6" w:sz="4"/>
                    <w:left w:val="single" w:color="BFB5A6" w:sz="4"/>
                    <w:bottom w:val="single" w:color="BFB5A6" w:sz="4"/>
                    <w:right w:val="single" w:color="BFB5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  <w:vAlign w:val="center"/>
                </w:tcPr>
                <w:p>
                  <w:pPr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7"/>
                      <w:szCs w:val="17"/>
                    </w:rPr>
                    <w:t xml:space="preserve">실수 분류, 전술·전략 패턴 집계, 기간별 통계</w:t>
                  </w:r>
                </w:p>
              </w:tc>
            </w:tr>
            <w:tr>
              <w:tc>
                <w:tcPr>
                  <w:tcW w:type="dxa" w:w="2354"/>
                  <w:tcBorders>
                    <w:top w:val="single" w:color="BFB5A6" w:sz="4"/>
                    <w:left w:val="single" w:color="BFB5A6" w:sz="4"/>
                    <w:bottom w:val="single" w:color="BFB5A6" w:sz="4"/>
                    <w:right w:val="single" w:color="BFB5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  <w:vAlign w:val="center"/>
                </w:tcPr>
                <w:p>
                  <w:pPr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7"/>
                      <w:szCs w:val="17"/>
                    </w:rPr>
                    <w:t xml:space="preserve">LLM 계층 (LLM API, tool calling)</w:t>
                  </w:r>
                </w:p>
              </w:tc>
              <w:tc>
                <w:tcPr>
                  <w:tcW w:type="dxa" w:w="5402"/>
                  <w:tcBorders>
                    <w:top w:val="single" w:color="BFB5A6" w:sz="4"/>
                    <w:left w:val="single" w:color="BFB5A6" w:sz="4"/>
                    <w:bottom w:val="single" w:color="BFB5A6" w:sz="4"/>
                    <w:right w:val="single" w:color="BFB5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  <w:vAlign w:val="center"/>
                </w:tcPr>
                <w:p>
                  <w:pPr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7"/>
                      <w:szCs w:val="17"/>
                    </w:rPr>
                    <w:t xml:space="preserve">검증된 근거의 자연어 설명, 후속 질의, 리포트 작성</w:t>
                  </w:r>
                </w:p>
              </w:tc>
            </w:tr>
            <w:tr>
              <w:tc>
                <w:tcPr>
                  <w:tcW w:type="dxa" w:w="2354"/>
                  <w:tcBorders>
                    <w:top w:val="single" w:color="BFB5A6" w:sz="4"/>
                    <w:left w:val="single" w:color="BFB5A6" w:sz="4"/>
                    <w:bottom w:val="single" w:color="BFB5A6" w:sz="4"/>
                    <w:right w:val="single" w:color="BFB5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  <w:vAlign w:val="center"/>
                </w:tcPr>
                <w:p>
                  <w:pPr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7"/>
                      <w:szCs w:val="17"/>
                    </w:rPr>
                    <w:t xml:space="preserve">데이터베이스 (PostgreSQL)</w:t>
                  </w:r>
                </w:p>
              </w:tc>
              <w:tc>
                <w:tcPr>
                  <w:tcW w:type="dxa" w:w="5402"/>
                  <w:tcBorders>
                    <w:top w:val="single" w:color="BFB5A6" w:sz="4"/>
                    <w:left w:val="single" w:color="BFB5A6" w:sz="4"/>
                    <w:bottom w:val="single" w:color="BFB5A6" w:sz="4"/>
                    <w:right w:val="single" w:color="BFB5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  <w:vAlign w:val="center"/>
                </w:tcPr>
                <w:p>
                  <w:pPr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7"/>
                      <w:szCs w:val="17"/>
                    </w:rPr>
                    <w:t xml:space="preserve">사용자, 대국, 수순, 분석 결과, 리포트 저장</w:t>
                  </w:r>
                </w:p>
              </w:tc>
            </w:tr>
            <w:tr>
              <w:tc>
                <w:tcPr>
                  <w:tcW w:type="dxa" w:w="2354"/>
                  <w:tcBorders>
                    <w:top w:val="single" w:color="BFB5A6" w:sz="4"/>
                    <w:left w:val="single" w:color="BFB5A6" w:sz="4"/>
                    <w:bottom w:val="single" w:color="BFB5A6" w:sz="4"/>
                    <w:right w:val="single" w:color="BFB5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  <w:vAlign w:val="center"/>
                </w:tcPr>
                <w:p>
                  <w:pPr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7"/>
                      <w:szCs w:val="17"/>
                    </w:rPr>
                    <w:t xml:space="preserve">메시지 브로커 (RabbitMQ)</w:t>
                  </w:r>
                </w:p>
              </w:tc>
              <w:tc>
                <w:tcPr>
                  <w:tcW w:type="dxa" w:w="5402"/>
                  <w:tcBorders>
                    <w:top w:val="single" w:color="BFB5A6" w:sz="4"/>
                    <w:left w:val="single" w:color="BFB5A6" w:sz="4"/>
                    <w:bottom w:val="single" w:color="BFB5A6" w:sz="4"/>
                    <w:right w:val="single" w:color="BFB5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  <w:vAlign w:val="center"/>
                </w:tcPr>
                <w:p>
                  <w:pPr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7"/>
                      <w:szCs w:val="17"/>
                    </w:rPr>
                    <w:t xml:space="preserve">장시간 대국 분석 작업의 비동기 처리</w:t>
                  </w:r>
                </w:p>
              </w:tc>
            </w:tr>
            <w:tr>
              <w:tc>
                <w:tcPr>
                  <w:tcW w:type="dxa" w:w="2354"/>
                  <w:tcBorders>
                    <w:top w:val="single" w:color="BFB5A6" w:sz="4"/>
                    <w:left w:val="single" w:color="BFB5A6" w:sz="4"/>
                    <w:bottom w:val="single" w:color="BFB5A6" w:sz="4"/>
                    <w:right w:val="single" w:color="BFB5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  <w:vAlign w:val="center"/>
                </w:tcPr>
                <w:p>
                  <w:pPr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7"/>
                      <w:szCs w:val="17"/>
                    </w:rPr>
                    <w:t xml:space="preserve">배포 (Docker, 추후 Kubernetes)</w:t>
                  </w:r>
                </w:p>
              </w:tc>
              <w:tc>
                <w:tcPr>
                  <w:tcW w:type="dxa" w:w="5402"/>
                  <w:tcBorders>
                    <w:top w:val="single" w:color="BFB5A6" w:sz="4"/>
                    <w:left w:val="single" w:color="BFB5A6" w:sz="4"/>
                    <w:bottom w:val="single" w:color="BFB5A6" w:sz="4"/>
                    <w:right w:val="single" w:color="BFB5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  <w:vAlign w:val="center"/>
                </w:tcPr>
                <w:p>
                  <w:pPr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7"/>
                      <w:szCs w:val="17"/>
                    </w:rPr>
                    <w:t xml:space="preserve">실행 환경 표준화, 배포 및 확장</w:t>
                  </w:r>
                </w:p>
              </w:tc>
            </w:tr>
          </w:tbl>
          <w:p>
            <w:pPr>
              <w:spacing w:after="40"/>
            </w:pPr>
          </w:p>
          <w:p>
            <w:pPr>
              <w:spacing w:after="60" w:before="14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[ 분석 작업 흐름 ]</w:t>
            </w:r>
          </w:p>
          <w:p>
            <w:pPr>
              <w:spacing w:after="60" w:line="30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PGN 업로드 → API 검증·메타데이터 저장 → 작업 큐 등록 → Python 워커의 PGN 파싱·Stockfish 분석 → 분석 계층의 근거 구조화 → LLM 해설 생성 → 결과 저장·표시 → 누적 결과 기반 반복 패턴·기간 변화 집계 → 리포트 생성 및 대화형 질의</w:t>
            </w:r>
          </w:p>
          <w:p>
            <w:pPr>
              <w:spacing w:after="60" w:before="14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[ 비동기 처리 ]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30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엔진 분석은 시간이 오래 걸리므로 API 서버는 작업 등록만 하고 RabbitMQ를 통해 분석 워커가 처리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30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작업 상태는 DB에 기록, 프론트엔드는 주기적 조회 또는 SSE로 진행 상황 수신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30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초기에는 모듈을 논리적으로만 분리하고, 모든 구성 요소의 마이크로서비스 분리는 하지 않음</w:t>
            </w:r>
          </w:p>
        </w:tc>
      </w:tr>
      <w:tr>
        <w:trPr>
          <w:cantSplit w:val="off"/>
        </w:trPr>
        <w:tc>
          <w:tcPr>
            <w:tcW w:type="dxa" w:w="1800"/>
            <w:tcBorders>
              <w:top w:val="single" w:color="BFB5A6" w:sz="6"/>
              <w:left w:val="none" w:color="FFFFFF" w:sz="0"/>
              <w:bottom w:val="single" w:color="BFB5A6" w:sz="6"/>
              <w:right w:val="none" w:color="FFFFFF" w:sz="0"/>
            </w:tcBorders>
            <w:shd w:fill="EFEBE4" w:color="auto" w:val="clear"/>
            <w:tcMar>
              <w:top w:type="dxa" w:w="120"/>
              <w:left w:type="dxa" w:w="100"/>
              <w:bottom w:type="dxa" w:w="12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모델링 계획</w:t>
            </w:r>
          </w:p>
        </w:tc>
        <w:tc>
          <w:tcPr>
            <w:tcW w:type="dxa" w:w="8106"/>
            <w:tcBorders>
              <w:top w:val="single" w:color="BFB5A6" w:sz="6"/>
              <w:left w:val="none" w:color="FFFFFF" w:sz="0"/>
              <w:bottom w:val="single" w:color="BFB5A6" w:sz="6"/>
              <w:right w:val="none" w:color="FFFFFF" w:sz="0"/>
            </w:tcBorders>
            <w:tcMar>
              <w:top w:type="dxa" w:w="120"/>
              <w:left w:type="dxa" w:w="200"/>
              <w:bottom w:type="dxa" w:w="120"/>
              <w:right w:type="dxa" w:w="150"/>
            </w:tcMar>
            <w:vAlign w:val="center"/>
          </w:tcPr>
          <w:p>
            <w:pPr>
              <w:spacing w:after="60" w:before="14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[ 모델 구성 ]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30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판정 모델: Stockfish(포지션 평가·최선 수·변형), Maia-2(레이팅별로 사람이 둘 수의 확률, MIT 라이선스, CPU 실행 가능), 규칙 기반 패턴 검출기(python-chess로 포크·핀 등 검출)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30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설명 모델: 상용 LLM API. 판정 모델이 만든 근거만 한국어 문장으로 변환</w:t>
            </w:r>
          </w:p>
          <w:p>
            <w:pPr>
              <w:spacing w:after="60" w:before="14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[ LLM 후보와 선정 기준 ]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30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후보: Claude Haiku 5.5, Claude Sonnet 5.5, Gemini 3 Flash (가격은 시장조사 및 BM 분석 항목 참고)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30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선정 기준: 시나리오 평가셋 통과율, 출력 검증 실패(재생성) 비율, 한국어 표현 품질, 응답 3초 이내, 대국당 비용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30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같은 평가셋으로 후보를 비교한 뒤 기본 모델 선정. 질문 유형별로 다른 모델을 쓰는 구성도 비교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30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최선 라인과 실제 수 라인을 같은 수 차례에서 비교해 첫 수의 차이만 근거로 사용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30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그 수로 가장 크게 변한 특징·개념만 전달, 포크·핀 등 전술은 실제 기물 획득이 확인될 때만 근거로 인정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30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수 전후 포지션과 공격 관계 목록을 함께 전달, 오프닝 이론 수는 이론이라고만 설명</w:t>
            </w:r>
          </w:p>
          <w:p>
            <w:pPr>
              <w:spacing w:after="60" w:before="14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[ ② LLM 입력 정리 ]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30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센티폰·수 차례 번호 등 인용하면 안 되는 값은 데이터에서 제거하거나 "근소한 우세" 같은 단어로 변환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30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닫힌 질문 유형(최선 수 / 형세 / 내 수의 문제 / 대신 둘 수 / 수순 검증 / 반복 약점 / 기간 비교)으로 분류 후 유형별 증거만 전달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30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질문에 없는 정보는 보내지 않고, 배경 정보는 필드 이름으로 역할 구분</w:t>
            </w:r>
          </w:p>
          <w:p>
            <w:pPr>
              <w:spacing w:after="60" w:before="14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[ ③ 설명 거부 기준 ]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30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평가 차이가 기준 미만이면 "두 수는 사실상 같음"으로 답하고 이유를 만들지 않음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30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근거가 평가 차이의 절반 미만만 설명하면 원인을 단정하지 않음, 표본 미달 시 결론 보류</w:t>
            </w:r>
          </w:p>
          <w:p>
            <w:pPr>
              <w:spacing w:after="60" w:before="14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[ ④ 서버 측 출력 검증 ]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30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언급한 수의 합법성, 증거(엔진 변형·후보 수) 포함 여부, 숫자·평가치 혼입, 증거에 없는 오프닝·변형 이름 사용 여부 검사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30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실패 시 최대 N회 재생성, 이후에도 실패하면 템플릿 설명으로 대체. 모든 수는 번호를 붙인 표기로 작성해 기계적으로 확인</w:t>
            </w:r>
          </w:p>
          <w:p>
            <w:pPr>
              <w:spacing w:after="60" w:before="14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[ ⑤ 평가와 개선 루프 ]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30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실제 대국에서 뽑은 시나리오 평가셋(전술, 블런더, 동등한 수, 환각 유도 사례)과 LLM 심판으로 "주어진 사실만 썼는가" 채점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30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사용자 신고 → 포지션·근거·응답 묶음을 검출기·프롬프트 개선 과제로 등록 → 사람 검토 후 반영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30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응답 시간 목표 설정, 모델별 정확도·지연 비교</w:t>
            </w:r>
          </w:p>
          <w:p>
            <w:pPr>
              <w:spacing w:after="60" w:before="14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[ 실험적 파인튜닝 ]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30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목적: 해설 비용·지연 절감과 한국어 체스 용어의 일관성 확보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30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대상: Kanana 1.5 2.1B·8B(카카오, 한국어 특화, Apache-2.0), Qwen3-8B(100개 이상 언어, Apache-2.0)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30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데이터: 출력 검증을 통과한 "근거 → 한국어 해설" 쌍과 숙련자가 검수한 해설. 상용 LLM 출력을 학습에 쓸 경우 해당 제공사 약관 확인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30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방법: LoRA/QLoRA 경량 파인튜닝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30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비교: 상용 LLM과 같은 평가셋으로 통과율·검증 실패율·지연·비용 비교, 채택 기준은 [측정 예정]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30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일정: MVP 핵심 기능 완성 후 실험. 기준 미달이어도 서비스는 상용 LLM으로 운영</w:t>
            </w:r>
          </w:p>
        </w:tc>
      </w:tr>
      <w:tr>
        <w:trPr>
          <w:cantSplit w:val="off"/>
        </w:trPr>
        <w:tc>
          <w:tcPr>
            <w:tcW w:type="dxa" w:w="1800"/>
            <w:tcBorders>
              <w:top w:val="single" w:color="BFB5A6" w:sz="6"/>
              <w:left w:val="none" w:color="FFFFFF" w:sz="0"/>
              <w:bottom w:val="single" w:color="BFB5A6" w:sz="6"/>
              <w:right w:val="none" w:color="FFFFFF" w:sz="0"/>
            </w:tcBorders>
            <w:shd w:fill="EFEBE4" w:color="auto" w:val="clear"/>
            <w:tcMar>
              <w:top w:type="dxa" w:w="120"/>
              <w:left w:type="dxa" w:w="100"/>
              <w:bottom w:type="dxa" w:w="12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데이터 수집 전략</w:t>
            </w:r>
          </w:p>
        </w:tc>
        <w:tc>
          <w:tcPr>
            <w:tcW w:type="dxa" w:w="8106"/>
            <w:tcBorders>
              <w:top w:val="single" w:color="BFB5A6" w:sz="6"/>
              <w:left w:val="none" w:color="FFFFFF" w:sz="0"/>
              <w:bottom w:val="single" w:color="BFB5A6" w:sz="6"/>
              <w:right w:val="none" w:color="FFFFFF" w:sz="0"/>
            </w:tcBorders>
            <w:tcMar>
              <w:top w:type="dxa" w:w="120"/>
              <w:left w:type="dxa" w:w="200"/>
              <w:bottom w:type="dxa" w:w="120"/>
              <w:right w:type="dxa" w:w="150"/>
            </w:tcMar>
            <w:vAlign w:val="center"/>
          </w:tcPr>
          <w:p>
            <w:pPr>
              <w:spacing w:after="60" w:before="14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[ 수집 경로와 이용 정책 ]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30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사용자 PGN 업로드: 플랫폼 API 의존을 피하기 위한 기본 경로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30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Lichess API: 한 번에 요청 하나, 429 응답 시 1분 대기 규칙 준수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30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Chess.com Published Data API: 직렬 요청은 제한 없음, 병렬 요청은 429 가능. 이용 조건에 "자사 기능·IP 복제 금지" 문구가 있어 상업 서비스 연동 전 약관 검토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30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계정 연동은 명시적 동의 후 필요한 범위만 수집, 사용자 삭제 요청 시 원본 기보와 분석 결과 삭제</w:t>
            </w:r>
          </w:p>
          <w:p>
            <w:pPr>
              <w:spacing w:after="60" w:before="14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[ Lichess 공개 데이터베이스 (CC0, 상업 이용 가능) ]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30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포지션 평가 약 4.16억 개(2026-10 확인): 자주 나오는 포지션은 캐시로 사용해 엔진 분석 비용·지연 감소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30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월별 대국 PGN: 레이팅대별 평균 실수율·오프닝별 기준선으로 "같은 레이팅대보다 종반 실수가 많음" 같은 비교 근거 확보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30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퍼즐 약 616만 개(레이팅·테마 태그, 2026-10 확인): 반복 약점과 같은 테마의 퍼즐을 훈련 추천에 연결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30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공개 데이터와 자체 분석의 엔진 버전·깊이 차이를 고려해 캐시 사용 여부와 엔진 버전을 함께 기록</w:t>
            </w:r>
          </w:p>
          <w:p>
            <w:pPr>
              <w:spacing w:after="60" w:before="14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[ 수집 목표 (MVP) [가설] ]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30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레이팅대별 기준선: Lichess 월별 표준 대국에서 레이팅 구간별 표본을 균등 추출 (예: 구간당 1만 판)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30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시나리오 평가셋: 실제 대국에서 전술·블런더·동등한 수·환각 유도 유형별로 추출 (예: 100개 이상)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30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사용자 테스트: 인터뷰 참가자의 최근 대국 (예: 1인당 30판 이상, 반복 약점 판정의 최소 표본 확인)</w:t>
            </w:r>
          </w:p>
          <w:p>
            <w:pPr>
              <w:spacing w:after="60" w:before="14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[ 수집·전처리 절차 ]</w:t>
            </w:r>
          </w:p>
          <w:p>
            <w:pPr>
              <w:spacing w:after="60" w:line="30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PGN 파싱·합법 수 검증(python-chess) → 대국 ID·해시 기준 중복 제거 → 시간 제어·레이팅 등 메타데이터 정규화 → 너무 짧은 대국 제외 → 평가 캐시 조회 후 미적중 포지션만 Stockfish 분석 → 엔진·캐시 버전과 함께 저장</w:t>
            </w:r>
          </w:p>
          <w:p>
            <w:pPr>
              <w:spacing w:after="60" w:before="14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[ 평가셋 라벨링 ]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30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숙련 플레이어가 각 해설을 정답·오답·모호 3가지로 분류하고 근거를 기록 (LLM 해설 평가 연구에서 쓰인 방식)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30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LLM 심판 채점과 사람 판정의 일치도를 함께 측정해 자동 채점의 신뢰도 확인</w:t>
            </w:r>
          </w:p>
          <w:p>
            <w:pPr>
              <w:spacing w:after="60" w:before="14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[ 주요 저장 엔터티 ]</w:t>
            </w:r>
          </w:p>
          <w:p>
            <w:pPr>
              <w:spacing w:after="60" w:line="30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User, Game, PositionAnalysis, Variation, MistakeTag, GameReport, PeriodReport, TrainingRecommendation, AnalysisJob. 원본 PGN·엔진 설정·분석 버전을 보존해 결과 재현과 품질 비교에 활용</w:t>
            </w:r>
          </w:p>
        </w:tc>
      </w:tr>
      <w:tr>
        <w:trPr>
          <w:cantSplit w:val="off"/>
        </w:trPr>
        <w:tc>
          <w:tcPr>
            <w:tcW w:type="dxa" w:w="1800"/>
            <w:tcBorders>
              <w:top w:val="single" w:color="BFB5A6" w:sz="6"/>
              <w:left w:val="none" w:color="FFFFFF" w:sz="0"/>
              <w:bottom w:val="single" w:color="BFB5A6" w:sz="6"/>
              <w:right w:val="none" w:color="FFFFFF" w:sz="0"/>
            </w:tcBorders>
            <w:shd w:fill="EFEBE4" w:color="auto" w:val="clear"/>
            <w:tcMar>
              <w:top w:type="dxa" w:w="120"/>
              <w:left w:type="dxa" w:w="100"/>
              <w:bottom w:type="dxa" w:w="12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역할분담(R&amp;R)</w:t>
            </w:r>
          </w:p>
        </w:tc>
        <w:tc>
          <w:tcPr>
            <w:tcW w:type="dxa" w:w="8106"/>
            <w:tcBorders>
              <w:top w:val="single" w:color="BFB5A6" w:sz="6"/>
              <w:left w:val="none" w:color="FFFFFF" w:sz="0"/>
              <w:bottom w:val="single" w:color="BFB5A6" w:sz="6"/>
              <w:right w:val="none" w:color="FFFFFF" w:sz="0"/>
            </w:tcBorders>
            <w:tcMar>
              <w:top w:type="dxa" w:w="120"/>
              <w:left w:type="dxa" w:w="200"/>
              <w:bottom w:type="dxa" w:w="120"/>
              <w:right w:type="dxa" w:w="150"/>
            </w:tcMar>
            <w:vAlign w:val="center"/>
          </w:tcPr>
          <w:p>
            <w:pPr>
              <w:spacing w:after="60" w:before="14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[ 총괄 / PM : [이름] ]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30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프로젝트 관리: 요구사항 정의, 차별점 검증을 위한 사용자 인터뷰·테스트 진행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30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일정 관리: WBS 기반 일정 점검 및 지연 관리</w:t>
            </w:r>
          </w:p>
          <w:p>
            <w:pPr>
              <w:spacing w:after="60" w:before="14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[ 프론트엔드 : [이름] ]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30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체스판·분석 결과·대화 UI 구현, 리포트 차트 및 대시보드 구현</w:t>
            </w:r>
          </w:p>
          <w:p>
            <w:pPr>
              <w:spacing w:after="60" w:before="14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[ 백엔드 : [이름] ]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30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Spring Boot 기반 인증, 사용자·대국 관리, 분석 요청·리포트 API 구현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30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PostgreSQL 스키마 설계, RabbitMQ 비동기 작업 처리</w:t>
            </w:r>
          </w:p>
          <w:p>
            <w:pPr>
              <w:spacing w:after="60" w:before="14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[ 데이터 분석 / 엔진 : [이름] ]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30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PGN 파싱, Stockfish 연동, 실수 분류·반복 약점 집계·기간별 통계 모듈 구현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30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Lichess 공개 데이터 수집·전처리, 평가 캐시 및 레이팅대 기준선 구축</w:t>
            </w:r>
          </w:p>
          <w:p>
            <w:pPr>
              <w:spacing w:after="60" w:before="14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[ LLM : [이름] ]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30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근거 구조 설계, 질문 유형 분류·프롬프트 설계, 서버 측 출력 검증·재생성 구현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30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시나리오 평가셋 구축 및 근거 일치율·설명 정확도 평가</w:t>
            </w:r>
          </w:p>
          <w:p>
            <w:pPr>
              <w:spacing w:after="60" w:before="14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[ 서비스 배포 : [이름] ]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30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Docker 컨테이너화, 클라우드 서버 배포 및 운영 환경 구성</w:t>
            </w:r>
          </w:p>
        </w:tc>
      </w:tr>
      <w:tr>
        <w:trPr>
          <w:cantSplit w:val="off"/>
        </w:trPr>
        <w:tc>
          <w:tcPr>
            <w:tcW w:type="dxa" w:w="1800"/>
            <w:tcBorders>
              <w:top w:val="single" w:color="BFB5A6" w:sz="6"/>
              <w:left w:val="none" w:color="FFFFFF" w:sz="0"/>
              <w:bottom w:val="single" w:color="BFB5A6" w:sz="6"/>
              <w:right w:val="none" w:color="FFFFFF" w:sz="0"/>
            </w:tcBorders>
            <w:shd w:fill="EFEBE4" w:color="auto" w:val="clear"/>
            <w:tcMar>
              <w:top w:type="dxa" w:w="120"/>
              <w:left w:type="dxa" w:w="100"/>
              <w:bottom w:type="dxa" w:w="12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주요 기능</w:t>
            </w:r>
          </w:p>
        </w:tc>
        <w:tc>
          <w:tcPr>
            <w:tcW w:type="dxa" w:w="8106"/>
            <w:tcBorders>
              <w:top w:val="single" w:color="BFB5A6" w:sz="6"/>
              <w:left w:val="none" w:color="FFFFFF" w:sz="0"/>
              <w:bottom w:val="single" w:color="BFB5A6" w:sz="6"/>
              <w:right w:val="none" w:color="FFFFFF" w:sz="0"/>
            </w:tcBorders>
            <w:tcMar>
              <w:top w:type="dxa" w:w="120"/>
              <w:left w:type="dxa" w:w="200"/>
              <w:bottom w:type="dxa" w:w="120"/>
              <w:right w:type="dxa" w:w="150"/>
            </w:tcMar>
            <w:vAlign w:val="center"/>
          </w:tcPr>
          <w:p>
            <w:pPr>
              <w:spacing w:after="60" w:before="14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[ 대국 가져오기 및 관리 ]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30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PGN 파일 업로드(기본 입력 경로), 정책 확인 후 Chess.com·Lichess API 연동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30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색상·결과·날짜·오프닝·레이팅 메타데이터 정리, 분석 진행률 표시, 중복·파싱 오류 처리</w:t>
            </w:r>
          </w:p>
          <w:p>
            <w:pPr>
              <w:spacing w:after="60" w:before="14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[ 엔진 기반 대국 분석 ]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30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Stockfish 포지션 평가, 실제 수와 추천 수 비교, 블런더·미스테이크·부정확한 수 탐지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30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핵심 국면과 평가치 변화, 후보 수·주요 변형 제공. 실수 분류 기준은 명시하고 일관되게 적용</w:t>
            </w:r>
          </w:p>
          <w:p>
            <w:pPr>
              <w:spacing w:after="60" w:before="14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[ 근거 기반 자연어 해설 ]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30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"이 수가 왜 실수인가?", "추천 수를 두면 어떤 위협을 막을 수 있었나?" 등의 질문에 엔진 평가·변형 기반으로 답변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30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LLM은 체스 판단을 만들지 않고, 분석 계층이 산출한 근거를 문장으로 변환하는 역할만 담당</w:t>
            </w:r>
          </w:p>
          <w:p>
            <w:pPr>
              <w:spacing w:after="60" w:before="14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[ 여러 대국의 반복 약점 분석 ]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30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반복 전술 실수, 오프닝별 성과, 중반·종반 실수 패턴, 시간 부족과 실수의 동반 발생 탐색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30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각 발견을 관련 대국·수순과 연결하고, 표본이 적은 패턴은 신뢰도 표시</w:t>
            </w:r>
          </w:p>
          <w:p>
            <w:pPr>
              <w:spacing w:after="60" w:before="14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[ 기간별 리포트 및 훈련 추천 ]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30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주간·월간 요약, 레이팅·승률 추이, 실수 유형별 빈도 변화, 이전 리포트와의 비교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30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반복 약점에 맞춘 퍼즐·오프닝 복습·종반 학습·시간 관리 훈련 추천. 데이터 부족 시 단정 대신 추가 관찰 제안</w:t>
            </w:r>
          </w:p>
          <w:p>
            <w:pPr>
              <w:spacing w:after="60" w:before="14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[ 기본 품질 요건 (경쟁 서비스에서 검증된 기능) ]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30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레이팅별 "찾기 어려움": Maia로 그 레이팅에서 찾을 수 있었던 수를 놓친 경우만 반복 약점으로 집계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30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응징 여부 구분: 상대가 놓친 실수와 실제로 응징된 실수를 따로 집계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30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뻔한 수를 뺀 손실 지표, 약 10판 단위 추세 표시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30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실수 포지션의 퀴즈화·간격 반복 복습, 실수한 포지션으로 돌아가 다시 두기</w:t>
            </w:r>
          </w:p>
        </w:tc>
      </w:tr>
      <w:tr>
        <w:trPr>
          <w:cantSplit w:val="off"/>
        </w:trPr>
        <w:tc>
          <w:tcPr>
            <w:tcW w:type="dxa" w:w="1800"/>
            <w:tcBorders>
              <w:top w:val="single" w:color="BFB5A6" w:sz="6"/>
              <w:left w:val="none" w:color="FFFFFF" w:sz="0"/>
              <w:bottom w:val="single" w:color="BFB5A6" w:sz="6"/>
              <w:right w:val="none" w:color="FFFFFF" w:sz="0"/>
            </w:tcBorders>
            <w:shd w:fill="EFEBE4" w:color="auto" w:val="clear"/>
            <w:tcMar>
              <w:top w:type="dxa" w:w="120"/>
              <w:left w:type="dxa" w:w="100"/>
              <w:bottom w:type="dxa" w:w="12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MVP 범위 및 일정</w:t>
            </w:r>
          </w:p>
        </w:tc>
        <w:tc>
          <w:tcPr>
            <w:tcW w:type="dxa" w:w="8106"/>
            <w:tcBorders>
              <w:top w:val="single" w:color="BFB5A6" w:sz="6"/>
              <w:left w:val="none" w:color="FFFFFF" w:sz="0"/>
              <w:bottom w:val="single" w:color="BFB5A6" w:sz="6"/>
              <w:right w:val="none" w:color="FFFFFF" w:sz="0"/>
            </w:tcBorders>
            <w:tcMar>
              <w:top w:type="dxa" w:w="120"/>
              <w:left w:type="dxa" w:w="200"/>
              <w:bottom w:type="dxa" w:w="120"/>
              <w:right w:type="dxa" w:w="150"/>
            </w:tcMar>
            <w:vAlign w:val="center"/>
          </w:tcPr>
          <w:p>
            <w:pPr>
              <w:spacing w:after="60" w:before="14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[ MVP 포함 기능 ]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30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PGN 업로드 및 파싱, Stockfish 기반 대국 분석, 실수 후보·핵심 국면 탐지, 추천 수와 실제 수 비교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30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근거 기반 자연어 해설, 대국별 요약 리포트, 반복 약점 기초 통계, 기간별 비교 리포트, 리포트 기본 자연어 질의</w:t>
            </w:r>
          </w:p>
          <w:p>
            <w:pPr>
              <w:spacing w:after="60" w:before="14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[ MVP 이후로 미룰 기능 ]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30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실시간 대국 중 코칭(공정성·플랫폼 정책 문제로 제외), 자체 엔진 개발, 복잡한 멀티에이전트 구조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30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초기부터의 완전한 마이크로서비스 분리, 소셜·랭킹 기능, 모든 외부 플랫폼 계정 연동</w:t>
            </w:r>
          </w:p>
          <w:p>
            <w:pPr>
              <w:spacing w:after="60" w:before="14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[ 개발 일정 (약 10주) ]</w:t>
            </w:r>
          </w:p>
          <w:tbl>
            <w:tblPr>
              <w:tblW w:type="dxa" w:w="775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275"/>
              <w:gridCol w:w="3727"/>
              <w:gridCol w:w="2754"/>
            </w:tblGrid>
            <w:tr>
              <w:trPr>
                <w:tblHeader/>
              </w:trPr>
              <w:tc>
                <w:tcPr>
                  <w:tcW w:type="dxa" w:w="1275"/>
                  <w:tcBorders>
                    <w:top w:val="single" w:color="BFB5A6" w:sz="4"/>
                    <w:left w:val="single" w:color="BFB5A6" w:sz="4"/>
                    <w:bottom w:val="single" w:color="BFB5A6" w:sz="4"/>
                    <w:right w:val="single" w:color="BFB5A6" w:sz="4"/>
                  </w:tcBorders>
                  <w:shd w:fill="EFEBE4" w:color="auto" w:val="clear"/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sz w:val="17"/>
                      <w:szCs w:val="17"/>
                    </w:rPr>
                    <w:t xml:space="preserve">기간</w:t>
                  </w:r>
                </w:p>
              </w:tc>
              <w:tc>
                <w:tcPr>
                  <w:tcW w:type="dxa" w:w="3727"/>
                  <w:tcBorders>
                    <w:top w:val="single" w:color="BFB5A6" w:sz="4"/>
                    <w:left w:val="single" w:color="BFB5A6" w:sz="4"/>
                    <w:bottom w:val="single" w:color="BFB5A6" w:sz="4"/>
                    <w:right w:val="single" w:color="BFB5A6" w:sz="4"/>
                  </w:tcBorders>
                  <w:shd w:fill="EFEBE4" w:color="auto" w:val="clear"/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sz w:val="17"/>
                      <w:szCs w:val="17"/>
                    </w:rPr>
                    <w:t xml:space="preserve">작업</w:t>
                  </w:r>
                </w:p>
              </w:tc>
              <w:tc>
                <w:tcPr>
                  <w:tcW w:type="dxa" w:w="2754"/>
                  <w:tcBorders>
                    <w:top w:val="single" w:color="BFB5A6" w:sz="4"/>
                    <w:left w:val="single" w:color="BFB5A6" w:sz="4"/>
                    <w:bottom w:val="single" w:color="BFB5A6" w:sz="4"/>
                    <w:right w:val="single" w:color="BFB5A6" w:sz="4"/>
                  </w:tcBorders>
                  <w:shd w:fill="EFEBE4" w:color="auto" w:val="clear"/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sz w:val="17"/>
                      <w:szCs w:val="17"/>
                    </w:rPr>
                    <w:t xml:space="preserve">산출물</w:t>
                  </w:r>
                </w:p>
              </w:tc>
            </w:tr>
            <w:tr>
              <w:tc>
                <w:tcPr>
                  <w:tcW w:type="dxa" w:w="1275"/>
                  <w:tcBorders>
                    <w:top w:val="single" w:color="BFB5A6" w:sz="4"/>
                    <w:left w:val="single" w:color="BFB5A6" w:sz="4"/>
                    <w:bottom w:val="single" w:color="BFB5A6" w:sz="4"/>
                    <w:right w:val="single" w:color="BFB5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  <w:vAlign w:val="center"/>
                </w:tcPr>
                <w:p>
                  <w:pPr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7"/>
                      <w:szCs w:val="17"/>
                    </w:rPr>
                    <w:t xml:space="preserve">1~2주</w:t>
                  </w:r>
                </w:p>
              </w:tc>
              <w:tc>
                <w:tcPr>
                  <w:tcW w:type="dxa" w:w="3727"/>
                  <w:tcBorders>
                    <w:top w:val="single" w:color="BFB5A6" w:sz="4"/>
                    <w:left w:val="single" w:color="BFB5A6" w:sz="4"/>
                    <w:bottom w:val="single" w:color="BFB5A6" w:sz="4"/>
                    <w:right w:val="single" w:color="BFB5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  <w:vAlign w:val="center"/>
                </w:tcPr>
                <w:p>
                  <w:pPr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7"/>
                      <w:szCs w:val="17"/>
                    </w:rPr>
                    <w:t xml:space="preserve">요구사항 확정, PGN 파싱, 체스판 UI, Stockfish 연동</w:t>
                  </w:r>
                </w:p>
              </w:tc>
              <w:tc>
                <w:tcPr>
                  <w:tcW w:type="dxa" w:w="2754"/>
                  <w:tcBorders>
                    <w:top w:val="single" w:color="BFB5A6" w:sz="4"/>
                    <w:left w:val="single" w:color="BFB5A6" w:sz="4"/>
                    <w:bottom w:val="single" w:color="BFB5A6" w:sz="4"/>
                    <w:right w:val="single" w:color="BFB5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  <w:vAlign w:val="center"/>
                </w:tcPr>
                <w:p>
                  <w:pPr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7"/>
                      <w:szCs w:val="17"/>
                    </w:rPr>
                    <w:t xml:space="preserve">기보 업로드 및 기본 엔진 분석</w:t>
                  </w:r>
                </w:p>
              </w:tc>
            </w:tr>
            <w:tr>
              <w:tc>
                <w:tcPr>
                  <w:tcW w:type="dxa" w:w="1275"/>
                  <w:tcBorders>
                    <w:top w:val="single" w:color="BFB5A6" w:sz="4"/>
                    <w:left w:val="single" w:color="BFB5A6" w:sz="4"/>
                    <w:bottom w:val="single" w:color="BFB5A6" w:sz="4"/>
                    <w:right w:val="single" w:color="BFB5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  <w:vAlign w:val="center"/>
                </w:tcPr>
                <w:p>
                  <w:pPr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7"/>
                      <w:szCs w:val="17"/>
                    </w:rPr>
                    <w:t xml:space="preserve">3~4주</w:t>
                  </w:r>
                </w:p>
              </w:tc>
              <w:tc>
                <w:tcPr>
                  <w:tcW w:type="dxa" w:w="3727"/>
                  <w:tcBorders>
                    <w:top w:val="single" w:color="BFB5A6" w:sz="4"/>
                    <w:left w:val="single" w:color="BFB5A6" w:sz="4"/>
                    <w:bottom w:val="single" w:color="BFB5A6" w:sz="4"/>
                    <w:right w:val="single" w:color="BFB5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  <w:vAlign w:val="center"/>
                </w:tcPr>
                <w:p>
                  <w:pPr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7"/>
                      <w:szCs w:val="17"/>
                    </w:rPr>
                    <w:t xml:space="preserve">실수 후보 탐지, 평가치 변화, 후보 수·변형 저장</w:t>
                  </w:r>
                </w:p>
              </w:tc>
              <w:tc>
                <w:tcPr>
                  <w:tcW w:type="dxa" w:w="2754"/>
                  <w:tcBorders>
                    <w:top w:val="single" w:color="BFB5A6" w:sz="4"/>
                    <w:left w:val="single" w:color="BFB5A6" w:sz="4"/>
                    <w:bottom w:val="single" w:color="BFB5A6" w:sz="4"/>
                    <w:right w:val="single" w:color="BFB5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  <w:vAlign w:val="center"/>
                </w:tcPr>
                <w:p>
                  <w:pPr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7"/>
                      <w:szCs w:val="17"/>
                    </w:rPr>
                    <w:t xml:space="preserve">대국별 분석 결과</w:t>
                  </w:r>
                </w:p>
              </w:tc>
            </w:tr>
            <w:tr>
              <w:tc>
                <w:tcPr>
                  <w:tcW w:type="dxa" w:w="1275"/>
                  <w:tcBorders>
                    <w:top w:val="single" w:color="BFB5A6" w:sz="4"/>
                    <w:left w:val="single" w:color="BFB5A6" w:sz="4"/>
                    <w:bottom w:val="single" w:color="BFB5A6" w:sz="4"/>
                    <w:right w:val="single" w:color="BFB5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  <w:vAlign w:val="center"/>
                </w:tcPr>
                <w:p>
                  <w:pPr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7"/>
                      <w:szCs w:val="17"/>
                    </w:rPr>
                    <w:t xml:space="preserve">5~6주</w:t>
                  </w:r>
                </w:p>
              </w:tc>
              <w:tc>
                <w:tcPr>
                  <w:tcW w:type="dxa" w:w="3727"/>
                  <w:tcBorders>
                    <w:top w:val="single" w:color="BFB5A6" w:sz="4"/>
                    <w:left w:val="single" w:color="BFB5A6" w:sz="4"/>
                    <w:bottom w:val="single" w:color="BFB5A6" w:sz="4"/>
                    <w:right w:val="single" w:color="BFB5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  <w:vAlign w:val="center"/>
                </w:tcPr>
                <w:p>
                  <w:pPr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7"/>
                      <w:szCs w:val="17"/>
                    </w:rPr>
                    <w:t xml:space="preserve">근거 구조 설계, LLM 설명 생성, 수순 검증</w:t>
                  </w:r>
                </w:p>
              </w:tc>
              <w:tc>
                <w:tcPr>
                  <w:tcW w:type="dxa" w:w="2754"/>
                  <w:tcBorders>
                    <w:top w:val="single" w:color="BFB5A6" w:sz="4"/>
                    <w:left w:val="single" w:color="BFB5A6" w:sz="4"/>
                    <w:bottom w:val="single" w:color="BFB5A6" w:sz="4"/>
                    <w:right w:val="single" w:color="BFB5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  <w:vAlign w:val="center"/>
                </w:tcPr>
                <w:p>
                  <w:pPr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7"/>
                      <w:szCs w:val="17"/>
                    </w:rPr>
                    <w:t xml:space="preserve">근거 기반 자연어 해설</w:t>
                  </w:r>
                </w:p>
              </w:tc>
            </w:tr>
            <w:tr>
              <w:tc>
                <w:tcPr>
                  <w:tcW w:type="dxa" w:w="1275"/>
                  <w:tcBorders>
                    <w:top w:val="single" w:color="BFB5A6" w:sz="4"/>
                    <w:left w:val="single" w:color="BFB5A6" w:sz="4"/>
                    <w:bottom w:val="single" w:color="BFB5A6" w:sz="4"/>
                    <w:right w:val="single" w:color="BFB5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  <w:vAlign w:val="center"/>
                </w:tcPr>
                <w:p>
                  <w:pPr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7"/>
                      <w:szCs w:val="17"/>
                    </w:rPr>
                    <w:t xml:space="preserve">7~8주</w:t>
                  </w:r>
                </w:p>
              </w:tc>
              <w:tc>
                <w:tcPr>
                  <w:tcW w:type="dxa" w:w="3727"/>
                  <w:tcBorders>
                    <w:top w:val="single" w:color="BFB5A6" w:sz="4"/>
                    <w:left w:val="single" w:color="BFB5A6" w:sz="4"/>
                    <w:bottom w:val="single" w:color="BFB5A6" w:sz="4"/>
                    <w:right w:val="single" w:color="BFB5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  <w:vAlign w:val="center"/>
                </w:tcPr>
                <w:p>
                  <w:pPr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7"/>
                      <w:szCs w:val="17"/>
                    </w:rPr>
                    <w:t xml:space="preserve">대국별 리포트, 통계 집계, 반복 약점 분석</w:t>
                  </w:r>
                </w:p>
              </w:tc>
              <w:tc>
                <w:tcPr>
                  <w:tcW w:type="dxa" w:w="2754"/>
                  <w:tcBorders>
                    <w:top w:val="single" w:color="BFB5A6" w:sz="4"/>
                    <w:left w:val="single" w:color="BFB5A6" w:sz="4"/>
                    <w:bottom w:val="single" w:color="BFB5A6" w:sz="4"/>
                    <w:right w:val="single" w:color="BFB5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  <w:vAlign w:val="center"/>
                </w:tcPr>
                <w:p>
                  <w:pPr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7"/>
                      <w:szCs w:val="17"/>
                    </w:rPr>
                    <w:t xml:space="preserve">개인별 분석 리포트</w:t>
                  </w:r>
                </w:p>
              </w:tc>
            </w:tr>
            <w:tr>
              <w:tc>
                <w:tcPr>
                  <w:tcW w:type="dxa" w:w="1275"/>
                  <w:tcBorders>
                    <w:top w:val="single" w:color="BFB5A6" w:sz="4"/>
                    <w:left w:val="single" w:color="BFB5A6" w:sz="4"/>
                    <w:bottom w:val="single" w:color="BFB5A6" w:sz="4"/>
                    <w:right w:val="single" w:color="BFB5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  <w:vAlign w:val="center"/>
                </w:tcPr>
                <w:p>
                  <w:pPr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7"/>
                      <w:szCs w:val="17"/>
                    </w:rPr>
                    <w:t xml:space="preserve">9주</w:t>
                  </w:r>
                </w:p>
              </w:tc>
              <w:tc>
                <w:tcPr>
                  <w:tcW w:type="dxa" w:w="3727"/>
                  <w:tcBorders>
                    <w:top w:val="single" w:color="BFB5A6" w:sz="4"/>
                    <w:left w:val="single" w:color="BFB5A6" w:sz="4"/>
                    <w:bottom w:val="single" w:color="BFB5A6" w:sz="4"/>
                    <w:right w:val="single" w:color="BFB5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  <w:vAlign w:val="center"/>
                </w:tcPr>
                <w:p>
                  <w:pPr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7"/>
                      <w:szCs w:val="17"/>
                    </w:rPr>
                    <w:t xml:space="preserve">기간별 비교, 대화형 후속 질문</w:t>
                  </w:r>
                </w:p>
              </w:tc>
              <w:tc>
                <w:tcPr>
                  <w:tcW w:type="dxa" w:w="2754"/>
                  <w:tcBorders>
                    <w:top w:val="single" w:color="BFB5A6" w:sz="4"/>
                    <w:left w:val="single" w:color="BFB5A6" w:sz="4"/>
                    <w:bottom w:val="single" w:color="BFB5A6" w:sz="4"/>
                    <w:right w:val="single" w:color="BFB5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  <w:vAlign w:val="center"/>
                </w:tcPr>
                <w:p>
                  <w:pPr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7"/>
                      <w:szCs w:val="17"/>
                    </w:rPr>
                    <w:t xml:space="preserve">통합 분석 흐름</w:t>
                  </w:r>
                </w:p>
              </w:tc>
            </w:tr>
            <w:tr>
              <w:tc>
                <w:tcPr>
                  <w:tcW w:type="dxa" w:w="1275"/>
                  <w:tcBorders>
                    <w:top w:val="single" w:color="BFB5A6" w:sz="4"/>
                    <w:left w:val="single" w:color="BFB5A6" w:sz="4"/>
                    <w:bottom w:val="single" w:color="BFB5A6" w:sz="4"/>
                    <w:right w:val="single" w:color="BFB5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  <w:vAlign w:val="center"/>
                </w:tcPr>
                <w:p>
                  <w:pPr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7"/>
                      <w:szCs w:val="17"/>
                    </w:rPr>
                    <w:t xml:space="preserve">10주</w:t>
                  </w:r>
                </w:p>
              </w:tc>
              <w:tc>
                <w:tcPr>
                  <w:tcW w:type="dxa" w:w="3727"/>
                  <w:tcBorders>
                    <w:top w:val="single" w:color="BFB5A6" w:sz="4"/>
                    <w:left w:val="single" w:color="BFB5A6" w:sz="4"/>
                    <w:bottom w:val="single" w:color="BFB5A6" w:sz="4"/>
                    <w:right w:val="single" w:color="BFB5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  <w:vAlign w:val="center"/>
                </w:tcPr>
                <w:p>
                  <w:pPr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7"/>
                      <w:szCs w:val="17"/>
                    </w:rPr>
                    <w:t xml:space="preserve">품질 평가, 비용 측정, 사용자 테스트, 개선</w:t>
                  </w:r>
                </w:p>
              </w:tc>
              <w:tc>
                <w:tcPr>
                  <w:tcW w:type="dxa" w:w="2754"/>
                  <w:tcBorders>
                    <w:top w:val="single" w:color="BFB5A6" w:sz="4"/>
                    <w:left w:val="single" w:color="BFB5A6" w:sz="4"/>
                    <w:bottom w:val="single" w:color="BFB5A6" w:sz="4"/>
                    <w:right w:val="single" w:color="BFB5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  <w:vAlign w:val="center"/>
                </w:tcPr>
                <w:p>
                  <w:pPr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7"/>
                      <w:szCs w:val="17"/>
                    </w:rPr>
                    <w:t xml:space="preserve">MVP 시연 및 평가 결과</w:t>
                  </w:r>
                </w:p>
              </w:tc>
            </w:tr>
          </w:tbl>
          <w:p>
            <w:pPr>
              <w:spacing w:after="40"/>
            </w:pPr>
          </w:p>
          <w:p>
            <w:pPr>
              <w:spacing w:after="60" w:line="30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엔진 분석과 근거 검증을 먼저 완성한 뒤 LLM 기능을 연결하는 순서로 리스크 감소</w:t>
            </w:r>
          </w:p>
        </w:tc>
      </w:tr>
      <w:tr>
        <w:trPr>
          <w:cantSplit w:val="off"/>
        </w:trPr>
        <w:tc>
          <w:tcPr>
            <w:tcW w:type="dxa" w:w="1800"/>
            <w:tcBorders>
              <w:top w:val="single" w:color="BFB5A6" w:sz="6"/>
              <w:left w:val="none" w:color="FFFFFF" w:sz="0"/>
              <w:bottom w:val="single" w:color="BFB5A6" w:sz="6"/>
              <w:right w:val="none" w:color="FFFFFF" w:sz="0"/>
            </w:tcBorders>
            <w:shd w:fill="EFEBE4" w:color="auto" w:val="clear"/>
            <w:tcMar>
              <w:top w:type="dxa" w:w="120"/>
              <w:left w:type="dxa" w:w="100"/>
              <w:bottom w:type="dxa" w:w="12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평가 지표</w:t>
            </w:r>
          </w:p>
        </w:tc>
        <w:tc>
          <w:tcPr>
            <w:tcW w:type="dxa" w:w="8106"/>
            <w:tcBorders>
              <w:top w:val="single" w:color="BFB5A6" w:sz="6"/>
              <w:left w:val="none" w:color="FFFFFF" w:sz="0"/>
              <w:bottom w:val="single" w:color="BFB5A6" w:sz="6"/>
              <w:right w:val="none" w:color="FFFFFF" w:sz="0"/>
            </w:tcBorders>
            <w:tcMar>
              <w:top w:type="dxa" w:w="120"/>
              <w:left w:type="dxa" w:w="200"/>
              <w:bottom w:type="dxa" w:w="120"/>
              <w:right w:type="dxa" w:w="150"/>
            </w:tcMar>
            <w:vAlign w:val="center"/>
          </w:tcPr>
          <w:p>
            <w:pPr>
              <w:spacing w:after="60" w:before="14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[ 기술 품질 ]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30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PGN 분석 성공률, 수순 합법성, 근거 일치율(설명과 엔진 변형·분석 결과의 일치)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30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설명 정확도(숙련 플레이어 판정), 반복 약점 탐지 정확도, 대국당 분석 지연 시간, 엔진·LLM 분석 비용</w:t>
            </w:r>
          </w:p>
          <w:p>
            <w:pPr>
              <w:spacing w:after="60" w:before="14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[ 사용자 및 사업 KPI ]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30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분석 결과 열람률, 리포트 재방문율, 자연어 후속 질문 사용률, 주간·월간 재방문율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30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훈련 추천 클릭·완료 비율, 유료 전환율, 사용자당 분석 비용 및 유료 고객당 기여이익</w:t>
            </w:r>
          </w:p>
          <w:p>
            <w:pPr>
              <w:spacing w:after="60" w:line="30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초기에는 목표 수치를 고정하지 않고 베이스라인을 측정한 뒤 사용자 테스트 결과로 목표 설정</w:t>
            </w:r>
          </w:p>
        </w:tc>
      </w:tr>
      <w:tr>
        <w:trPr>
          <w:cantSplit w:val="off"/>
        </w:trPr>
        <w:tc>
          <w:tcPr>
            <w:tcW w:type="dxa" w:w="1800"/>
            <w:tcBorders>
              <w:top w:val="single" w:color="BFB5A6" w:sz="6"/>
              <w:left w:val="none" w:color="FFFFFF" w:sz="0"/>
              <w:bottom w:val="single" w:color="BFB5A6" w:sz="6"/>
              <w:right w:val="none" w:color="FFFFFF" w:sz="0"/>
            </w:tcBorders>
            <w:shd w:fill="EFEBE4" w:color="auto" w:val="clear"/>
            <w:tcMar>
              <w:top w:type="dxa" w:w="120"/>
              <w:left w:type="dxa" w:w="100"/>
              <w:bottom w:type="dxa" w:w="12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주요 리스크</w:t>
            </w:r>
          </w:p>
        </w:tc>
        <w:tc>
          <w:tcPr>
            <w:tcW w:type="dxa" w:w="8106"/>
            <w:tcBorders>
              <w:top w:val="single" w:color="BFB5A6" w:sz="6"/>
              <w:left w:val="none" w:color="FFFFFF" w:sz="0"/>
              <w:bottom w:val="single" w:color="BFB5A6" w:sz="6"/>
              <w:right w:val="none" w:color="FFFFFF" w:sz="0"/>
            </w:tcBorders>
            <w:tcMar>
              <w:top w:type="dxa" w:w="120"/>
              <w:left w:type="dxa" w:w="200"/>
              <w:bottom w:type="dxa" w:w="120"/>
              <w:right w:type="dxa" w:w="150"/>
            </w:tcMar>
            <w:vAlign w:val="center"/>
          </w:tcPr>
          <w:tbl>
            <w:tblPr>
              <w:tblW w:type="dxa" w:w="775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56"/>
              <w:gridCol w:w="5500"/>
            </w:tblGrid>
            <w:tr>
              <w:trPr>
                <w:tblHeader/>
              </w:trPr>
              <w:tc>
                <w:tcPr>
                  <w:tcW w:type="dxa" w:w="2256"/>
                  <w:tcBorders>
                    <w:top w:val="single" w:color="BFB5A6" w:sz="4"/>
                    <w:left w:val="single" w:color="BFB5A6" w:sz="4"/>
                    <w:bottom w:val="single" w:color="BFB5A6" w:sz="4"/>
                    <w:right w:val="single" w:color="BFB5A6" w:sz="4"/>
                  </w:tcBorders>
                  <w:shd w:fill="EFEBE4" w:color="auto" w:val="clear"/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sz w:val="17"/>
                      <w:szCs w:val="17"/>
                    </w:rPr>
                    <w:t xml:space="preserve">리스크</w:t>
                  </w:r>
                </w:p>
              </w:tc>
              <w:tc>
                <w:tcPr>
                  <w:tcW w:type="dxa" w:w="5500"/>
                  <w:tcBorders>
                    <w:top w:val="single" w:color="BFB5A6" w:sz="4"/>
                    <w:left w:val="single" w:color="BFB5A6" w:sz="4"/>
                    <w:bottom w:val="single" w:color="BFB5A6" w:sz="4"/>
                    <w:right w:val="single" w:color="BFB5A6" w:sz="4"/>
                  </w:tcBorders>
                  <w:shd w:fill="EFEBE4" w:color="auto" w:val="clear"/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sz w:val="17"/>
                      <w:szCs w:val="17"/>
                    </w:rPr>
                    <w:t xml:space="preserve">대응</w:t>
                  </w:r>
                </w:p>
              </w:tc>
            </w:tr>
            <w:tr>
              <w:tc>
                <w:tcPr>
                  <w:tcW w:type="dxa" w:w="2256"/>
                  <w:tcBorders>
                    <w:top w:val="single" w:color="BFB5A6" w:sz="4"/>
                    <w:left w:val="single" w:color="BFB5A6" w:sz="4"/>
                    <w:bottom w:val="single" w:color="BFB5A6" w:sz="4"/>
                    <w:right w:val="single" w:color="BFB5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  <w:vAlign w:val="center"/>
                </w:tcPr>
                <w:p>
                  <w:pPr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7"/>
                      <w:szCs w:val="17"/>
                    </w:rPr>
                    <w:t xml:space="preserve">LLM의 잘못된 체스 설명</w:t>
                  </w:r>
                </w:p>
              </w:tc>
              <w:tc>
                <w:tcPr>
                  <w:tcW w:type="dxa" w:w="5500"/>
                  <w:tcBorders>
                    <w:top w:val="single" w:color="BFB5A6" w:sz="4"/>
                    <w:left w:val="single" w:color="BFB5A6" w:sz="4"/>
                    <w:bottom w:val="single" w:color="BFB5A6" w:sz="4"/>
                    <w:right w:val="single" w:color="BFB5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  <w:vAlign w:val="center"/>
                </w:tcPr>
                <w:p>
                  <w:pPr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7"/>
                      <w:szCs w:val="17"/>
                    </w:rPr>
                    <w:t xml:space="preserve">엔진 근거 기반 생성, 서버 측 출력 검증·재생성, 불확실성 표시</w:t>
                  </w:r>
                </w:p>
              </w:tc>
            </w:tr>
            <w:tr>
              <w:tc>
                <w:tcPr>
                  <w:tcW w:type="dxa" w:w="2256"/>
                  <w:tcBorders>
                    <w:top w:val="single" w:color="BFB5A6" w:sz="4"/>
                    <w:left w:val="single" w:color="BFB5A6" w:sz="4"/>
                    <w:bottom w:val="single" w:color="BFB5A6" w:sz="4"/>
                    <w:right w:val="single" w:color="BFB5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  <w:vAlign w:val="center"/>
                </w:tcPr>
                <w:p>
                  <w:pPr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7"/>
                      <w:szCs w:val="17"/>
                    </w:rPr>
                    <w:t xml:space="preserve">평가치 차이 과잉 해석</w:t>
                  </w:r>
                </w:p>
              </w:tc>
              <w:tc>
                <w:tcPr>
                  <w:tcW w:type="dxa" w:w="5500"/>
                  <w:tcBorders>
                    <w:top w:val="single" w:color="BFB5A6" w:sz="4"/>
                    <w:left w:val="single" w:color="BFB5A6" w:sz="4"/>
                    <w:bottom w:val="single" w:color="BFB5A6" w:sz="4"/>
                    <w:right w:val="single" w:color="BFB5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  <w:vAlign w:val="center"/>
                </w:tcPr>
                <w:p>
                  <w:pPr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7"/>
                      <w:szCs w:val="17"/>
                    </w:rPr>
                    <w:t xml:space="preserve">평가치와 원인 설명을 구분하고 근거가 충분할 때만 원인 제시</w:t>
                  </w:r>
                </w:p>
              </w:tc>
            </w:tr>
            <w:tr>
              <w:tc>
                <w:tcPr>
                  <w:tcW w:type="dxa" w:w="2256"/>
                  <w:tcBorders>
                    <w:top w:val="single" w:color="BFB5A6" w:sz="4"/>
                    <w:left w:val="single" w:color="BFB5A6" w:sz="4"/>
                    <w:bottom w:val="single" w:color="BFB5A6" w:sz="4"/>
                    <w:right w:val="single" w:color="BFB5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  <w:vAlign w:val="center"/>
                </w:tcPr>
                <w:p>
                  <w:pPr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7"/>
                      <w:szCs w:val="17"/>
                    </w:rPr>
                    <w:t xml:space="preserve">표본 부족</w:t>
                  </w:r>
                </w:p>
              </w:tc>
              <w:tc>
                <w:tcPr>
                  <w:tcW w:type="dxa" w:w="5500"/>
                  <w:tcBorders>
                    <w:top w:val="single" w:color="BFB5A6" w:sz="4"/>
                    <w:left w:val="single" w:color="BFB5A6" w:sz="4"/>
                    <w:bottom w:val="single" w:color="BFB5A6" w:sz="4"/>
                    <w:right w:val="single" w:color="BFB5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  <w:vAlign w:val="center"/>
                </w:tcPr>
                <w:p>
                  <w:pPr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7"/>
                      <w:szCs w:val="17"/>
                    </w:rPr>
                    <w:t xml:space="preserve">표본 수와 신뢰도 표시, 데이터 부족 시 결론 보류</w:t>
                  </w:r>
                </w:p>
              </w:tc>
            </w:tr>
            <w:tr>
              <w:tc>
                <w:tcPr>
                  <w:tcW w:type="dxa" w:w="2256"/>
                  <w:tcBorders>
                    <w:top w:val="single" w:color="BFB5A6" w:sz="4"/>
                    <w:left w:val="single" w:color="BFB5A6" w:sz="4"/>
                    <w:bottom w:val="single" w:color="BFB5A6" w:sz="4"/>
                    <w:right w:val="single" w:color="BFB5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  <w:vAlign w:val="center"/>
                </w:tcPr>
                <w:p>
                  <w:pPr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7"/>
                      <w:szCs w:val="17"/>
                    </w:rPr>
                    <w:t xml:space="preserve">엔진 분석 비용·지연</w:t>
                  </w:r>
                </w:p>
              </w:tc>
              <w:tc>
                <w:tcPr>
                  <w:tcW w:type="dxa" w:w="5500"/>
                  <w:tcBorders>
                    <w:top w:val="single" w:color="BFB5A6" w:sz="4"/>
                    <w:left w:val="single" w:color="BFB5A6" w:sz="4"/>
                    <w:bottom w:val="single" w:color="BFB5A6" w:sz="4"/>
                    <w:right w:val="single" w:color="BFB5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  <w:vAlign w:val="center"/>
                </w:tcPr>
                <w:p>
                  <w:pPr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7"/>
                      <w:szCs w:val="17"/>
                    </w:rPr>
                    <w:t xml:space="preserve">비동기 큐, 평가 캐시, 분석 깊이 조절, 중복 분석 방지</w:t>
                  </w:r>
                </w:p>
              </w:tc>
            </w:tr>
            <w:tr>
              <w:tc>
                <w:tcPr>
                  <w:tcW w:type="dxa" w:w="2256"/>
                  <w:tcBorders>
                    <w:top w:val="single" w:color="BFB5A6" w:sz="4"/>
                    <w:left w:val="single" w:color="BFB5A6" w:sz="4"/>
                    <w:bottom w:val="single" w:color="BFB5A6" w:sz="4"/>
                    <w:right w:val="single" w:color="BFB5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  <w:vAlign w:val="center"/>
                </w:tcPr>
                <w:p>
                  <w:pPr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7"/>
                      <w:szCs w:val="17"/>
                    </w:rPr>
                    <w:t xml:space="preserve">외부 API 제한 변경</w:t>
                  </w:r>
                </w:p>
              </w:tc>
              <w:tc>
                <w:tcPr>
                  <w:tcW w:type="dxa" w:w="5500"/>
                  <w:tcBorders>
                    <w:top w:val="single" w:color="BFB5A6" w:sz="4"/>
                    <w:left w:val="single" w:color="BFB5A6" w:sz="4"/>
                    <w:bottom w:val="single" w:color="BFB5A6" w:sz="4"/>
                    <w:right w:val="single" w:color="BFB5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  <w:vAlign w:val="center"/>
                </w:tcPr>
                <w:p>
                  <w:pPr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7"/>
                      <w:szCs w:val="17"/>
                    </w:rPr>
                    <w:t xml:space="preserve">PGN 업로드를 기본 대체 경로로 유지</w:t>
                  </w:r>
                </w:p>
              </w:tc>
            </w:tr>
            <w:tr>
              <w:tc>
                <w:tcPr>
                  <w:tcW w:type="dxa" w:w="2256"/>
                  <w:tcBorders>
                    <w:top w:val="single" w:color="BFB5A6" w:sz="4"/>
                    <w:left w:val="single" w:color="BFB5A6" w:sz="4"/>
                    <w:bottom w:val="single" w:color="BFB5A6" w:sz="4"/>
                    <w:right w:val="single" w:color="BFB5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  <w:vAlign w:val="center"/>
                </w:tcPr>
                <w:p>
                  <w:pPr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7"/>
                      <w:szCs w:val="17"/>
                    </w:rPr>
                    <w:t xml:space="preserve">경쟁 서비스와 기능 중복</w:t>
                  </w:r>
                </w:p>
              </w:tc>
              <w:tc>
                <w:tcPr>
                  <w:tcW w:type="dxa" w:w="5500"/>
                  <w:tcBorders>
                    <w:top w:val="single" w:color="BFB5A6" w:sz="4"/>
                    <w:left w:val="single" w:color="BFB5A6" w:sz="4"/>
                    <w:bottom w:val="single" w:color="BFB5A6" w:sz="4"/>
                    <w:right w:val="single" w:color="BFB5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  <w:vAlign w:val="center"/>
                </w:tcPr>
                <w:p>
                  <w:pPr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7"/>
                      <w:szCs w:val="17"/>
                    </w:rPr>
                    <w:t xml:space="preserve">근거 대국 연결·리포트 간 변화 판정의 체감 가치를 사용자 테스트로 우선 검증</w:t>
                  </w:r>
                </w:p>
              </w:tc>
            </w:tr>
            <w:tr>
              <w:tc>
                <w:tcPr>
                  <w:tcW w:type="dxa" w:w="2256"/>
                  <w:tcBorders>
                    <w:top w:val="single" w:color="BFB5A6" w:sz="4"/>
                    <w:left w:val="single" w:color="BFB5A6" w:sz="4"/>
                    <w:bottom w:val="single" w:color="BFB5A6" w:sz="4"/>
                    <w:right w:val="single" w:color="BFB5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  <w:vAlign w:val="center"/>
                </w:tcPr>
                <w:p>
                  <w:pPr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7"/>
                      <w:szCs w:val="17"/>
                    </w:rPr>
                    <w:t xml:space="preserve">레이팅 변동 과잉 해석</w:t>
                  </w:r>
                </w:p>
              </w:tc>
              <w:tc>
                <w:tcPr>
                  <w:tcW w:type="dxa" w:w="5500"/>
                  <w:tcBorders>
                    <w:top w:val="single" w:color="BFB5A6" w:sz="4"/>
                    <w:left w:val="single" w:color="BFB5A6" w:sz="4"/>
                    <w:bottom w:val="single" w:color="BFB5A6" w:sz="4"/>
                    <w:right w:val="single" w:color="BFB5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  <w:vAlign w:val="center"/>
                </w:tcPr>
                <w:p>
                  <w:pPr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7"/>
                      <w:szCs w:val="17"/>
                    </w:rPr>
                    <w:t xml:space="preserve">대국 수, 상대 수준, 시간제어 등 맥락을 함께 표시</w:t>
                  </w:r>
                </w:p>
              </w:tc>
            </w:tr>
            <w:tr>
              <w:tc>
                <w:tcPr>
                  <w:tcW w:type="dxa" w:w="2256"/>
                  <w:tcBorders>
                    <w:top w:val="single" w:color="BFB5A6" w:sz="4"/>
                    <w:left w:val="single" w:color="BFB5A6" w:sz="4"/>
                    <w:bottom w:val="single" w:color="BFB5A6" w:sz="4"/>
                    <w:right w:val="single" w:color="BFB5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  <w:vAlign w:val="center"/>
                </w:tcPr>
                <w:p>
                  <w:pPr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7"/>
                      <w:szCs w:val="17"/>
                    </w:rPr>
                    <w:t xml:space="preserve">Chess.com API 이용 조건</w:t>
                  </w:r>
                </w:p>
              </w:tc>
              <w:tc>
                <w:tcPr>
                  <w:tcW w:type="dxa" w:w="5500"/>
                  <w:tcBorders>
                    <w:top w:val="single" w:color="BFB5A6" w:sz="4"/>
                    <w:left w:val="single" w:color="BFB5A6" w:sz="4"/>
                    <w:bottom w:val="single" w:color="BFB5A6" w:sz="4"/>
                    <w:right w:val="single" w:color="BFB5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  <w:vAlign w:val="center"/>
                </w:tcPr>
                <w:p>
                  <w:pPr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7"/>
                      <w:szCs w:val="17"/>
                    </w:rPr>
                    <w:t xml:space="preserve">"자사 기능·IP 복제 금지" 문구 → 상업 연동 전 약관 검토, PGN 업로드와 Lichess를 기본 경로로 유지</w:t>
                  </w:r>
                </w:p>
              </w:tc>
            </w:tr>
            <w:tr>
              <w:tc>
                <w:tcPr>
                  <w:tcW w:type="dxa" w:w="2256"/>
                  <w:tcBorders>
                    <w:top w:val="single" w:color="BFB5A6" w:sz="4"/>
                    <w:left w:val="single" w:color="BFB5A6" w:sz="4"/>
                    <w:bottom w:val="single" w:color="BFB5A6" w:sz="4"/>
                    <w:right w:val="single" w:color="BFB5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  <w:vAlign w:val="center"/>
                </w:tcPr>
                <w:p>
                  <w:pPr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7"/>
                      <w:szCs w:val="17"/>
                    </w:rPr>
                    <w:t xml:space="preserve">파인튜닝 데이터의 약관 문제</w:t>
                  </w:r>
                </w:p>
              </w:tc>
              <w:tc>
                <w:tcPr>
                  <w:tcW w:type="dxa" w:w="5500"/>
                  <w:tcBorders>
                    <w:top w:val="single" w:color="BFB5A6" w:sz="4"/>
                    <w:left w:val="single" w:color="BFB5A6" w:sz="4"/>
                    <w:bottom w:val="single" w:color="BFB5A6" w:sz="4"/>
                    <w:right w:val="single" w:color="BFB5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  <w:vAlign w:val="center"/>
                </w:tcPr>
                <w:p>
                  <w:pPr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7"/>
                      <w:szCs w:val="17"/>
                    </w:rPr>
                    <w:t xml:space="preserve">상용 LLM 출력을 학습에 쓸 경우 제공사 약관 확인, 숙련자 작성·검수 해설 비중 확보</w:t>
                  </w:r>
                </w:p>
              </w:tc>
            </w:tr>
          </w:tbl>
          <w:p>
            <w:pPr>
              <w:spacing w:after="40"/>
            </w:pPr>
          </w:p>
        </w:tc>
      </w:tr>
      <w:tr>
        <w:trPr>
          <w:cantSplit w:val="off"/>
        </w:trPr>
        <w:tc>
          <w:tcPr>
            <w:tcW w:type="dxa" w:w="1800"/>
            <w:tcBorders>
              <w:top w:val="single" w:color="BFB5A6" w:sz="6"/>
              <w:left w:val="none" w:color="FFFFFF" w:sz="0"/>
              <w:bottom w:val="single" w:color="BFB5A6" w:sz="6"/>
              <w:right w:val="none" w:color="FFFFFF" w:sz="0"/>
            </w:tcBorders>
            <w:shd w:fill="EFEBE4" w:color="auto" w:val="clear"/>
            <w:tcMar>
              <w:top w:type="dxa" w:w="120"/>
              <w:left w:type="dxa" w:w="100"/>
              <w:bottom w:type="dxa" w:w="12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확장 가능성</w:t>
            </w:r>
          </w:p>
        </w:tc>
        <w:tc>
          <w:tcPr>
            <w:tcW w:type="dxa" w:w="8106"/>
            <w:tcBorders>
              <w:top w:val="single" w:color="BFB5A6" w:sz="6"/>
              <w:left w:val="none" w:color="FFFFFF" w:sz="0"/>
              <w:bottom w:val="single" w:color="BFB5A6" w:sz="6"/>
              <w:right w:val="none" w:color="FFFFFF" w:sz="0"/>
            </w:tcBorders>
            <w:tcMar>
              <w:top w:type="dxa" w:w="120"/>
              <w:left w:type="dxa" w:w="200"/>
              <w:bottom w:type="dxa" w:w="120"/>
              <w:right w:type="dxa" w:w="150"/>
            </w:tcMar>
            <w:vAlign w:val="center"/>
          </w:tcPr>
          <w:p>
            <w:pPr>
              <w:spacing w:after="60" w:line="30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"엔진이 근거를 만들고 LLM은 그 근거만 설명한다"는 구조를 체스 외 게임으로 확장할 수 있는지 검토</w:t>
            </w:r>
          </w:p>
          <w:p>
            <w:pPr>
              <w:spacing w:after="60" w:before="14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[ 판단 기준 ]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30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필수: 사람보다 강하고 수마다 평가·후보 수·변형을 내주며 상업 이용 가능한 오픈 엔진 (없으면 실수 판정·근거 검증 불가)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30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보조: 공개 대국 데이터 (없어도 사용자 본인 대국 분석은 가능, 레이팅대 비교 등 기능의 출시 시점만 늦어짐)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30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기타: 엔진·데이터 라이선스, 한국 수요, 기록 형식·규칙 엔진 존재 여부, 플랫폼 정책</w:t>
            </w:r>
          </w:p>
          <w:p>
            <w:pPr>
              <w:spacing w:after="60" w:before="14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[ 게임 어댑터 구조 (MVP부터 인터페이스 적용) ]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30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게임마다 달라지는 기록 파서·규칙 엔진·엔진 프로토콜·평가 정규화·실수 기준표·패턴 태그 사전만 어댑터로 분리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30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실수 판정과 기간 비교는 공통 단위인 "승률 손실"로 통일 (확률 게임은 기대값 손실)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30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작업 큐, 분석 결과 저장, 기간 비교, 리포트 생성, 근거 검증, 대화형 질의는 그대로 재사용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30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DB에 game_type·record_format·ruleset, 엔진명·버전·라이선스 필드를 MVP부터 포함</w:t>
            </w:r>
          </w:p>
          <w:p>
            <w:pPr>
              <w:spacing w:after="60" w:before="14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[ 확장 로드맵 (가설) ]</w:t>
            </w:r>
          </w:p>
          <w:tbl>
            <w:tblPr>
              <w:tblW w:type="dxa" w:w="775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275"/>
              <w:gridCol w:w="1962"/>
              <w:gridCol w:w="4519"/>
            </w:tblGrid>
            <w:tr>
              <w:trPr>
                <w:tblHeader/>
              </w:trPr>
              <w:tc>
                <w:tcPr>
                  <w:tcW w:type="dxa" w:w="1275"/>
                  <w:tcBorders>
                    <w:top w:val="single" w:color="BFB5A6" w:sz="4"/>
                    <w:left w:val="single" w:color="BFB5A6" w:sz="4"/>
                    <w:bottom w:val="single" w:color="BFB5A6" w:sz="4"/>
                    <w:right w:val="single" w:color="BFB5A6" w:sz="4"/>
                  </w:tcBorders>
                  <w:shd w:fill="EFEBE4" w:color="auto" w:val="clear"/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sz w:val="17"/>
                      <w:szCs w:val="17"/>
                    </w:rPr>
                    <w:t xml:space="preserve">단계</w:t>
                  </w:r>
                </w:p>
              </w:tc>
              <w:tc>
                <w:tcPr>
                  <w:tcW w:type="dxa" w:w="1962"/>
                  <w:tcBorders>
                    <w:top w:val="single" w:color="BFB5A6" w:sz="4"/>
                    <w:left w:val="single" w:color="BFB5A6" w:sz="4"/>
                    <w:bottom w:val="single" w:color="BFB5A6" w:sz="4"/>
                    <w:right w:val="single" w:color="BFB5A6" w:sz="4"/>
                  </w:tcBorders>
                  <w:shd w:fill="EFEBE4" w:color="auto" w:val="clear"/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sz w:val="17"/>
                      <w:szCs w:val="17"/>
                    </w:rPr>
                    <w:t xml:space="preserve">게임</w:t>
                  </w:r>
                </w:p>
              </w:tc>
              <w:tc>
                <w:tcPr>
                  <w:tcW w:type="dxa" w:w="4519"/>
                  <w:tcBorders>
                    <w:top w:val="single" w:color="BFB5A6" w:sz="4"/>
                    <w:left w:val="single" w:color="BFB5A6" w:sz="4"/>
                    <w:bottom w:val="single" w:color="BFB5A6" w:sz="4"/>
                    <w:right w:val="single" w:color="BFB5A6" w:sz="4"/>
                  </w:tcBorders>
                  <w:shd w:fill="EFEBE4" w:color="auto" w:val="clear"/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sz w:val="17"/>
                      <w:szCs w:val="17"/>
                    </w:rPr>
                    <w:t xml:space="preserve">근거 및 진입 조건</w:t>
                  </w:r>
                </w:p>
              </w:tc>
            </w:tr>
            <w:tr>
              <w:tc>
                <w:tcPr>
                  <w:tcW w:type="dxa" w:w="1275"/>
                  <w:tcBorders>
                    <w:top w:val="single" w:color="BFB5A6" w:sz="4"/>
                    <w:left w:val="single" w:color="BFB5A6" w:sz="4"/>
                    <w:bottom w:val="single" w:color="BFB5A6" w:sz="4"/>
                    <w:right w:val="single" w:color="BFB5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  <w:vAlign w:val="center"/>
                </w:tcPr>
                <w:p>
                  <w:pPr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7"/>
                      <w:szCs w:val="17"/>
                    </w:rPr>
                    <w:t xml:space="preserve">1 (MVP)</w:t>
                  </w:r>
                </w:p>
              </w:tc>
              <w:tc>
                <w:tcPr>
                  <w:tcW w:type="dxa" w:w="1962"/>
                  <w:tcBorders>
                    <w:top w:val="single" w:color="BFB5A6" w:sz="4"/>
                    <w:left w:val="single" w:color="BFB5A6" w:sz="4"/>
                    <w:bottom w:val="single" w:color="BFB5A6" w:sz="4"/>
                    <w:right w:val="single" w:color="BFB5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  <w:vAlign w:val="center"/>
                </w:tcPr>
                <w:p>
                  <w:pPr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7"/>
                      <w:szCs w:val="17"/>
                    </w:rPr>
                    <w:t xml:space="preserve">체스</w:t>
                  </w:r>
                </w:p>
              </w:tc>
              <w:tc>
                <w:tcPr>
                  <w:tcW w:type="dxa" w:w="4519"/>
                  <w:tcBorders>
                    <w:top w:val="single" w:color="BFB5A6" w:sz="4"/>
                    <w:left w:val="single" w:color="BFB5A6" w:sz="4"/>
                    <w:bottom w:val="single" w:color="BFB5A6" w:sz="4"/>
                    <w:right w:val="single" w:color="BFB5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  <w:vAlign w:val="center"/>
                </w:tcPr>
                <w:p>
                  <w:pPr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7"/>
                      <w:szCs w:val="17"/>
                    </w:rPr>
                    <w:t xml:space="preserve">어댑터 구조 + Lichess CC0 데이터 활용</w:t>
                  </w:r>
                </w:p>
              </w:tc>
            </w:tr>
            <w:tr>
              <w:tc>
                <w:tcPr>
                  <w:tcW w:type="dxa" w:w="1275"/>
                  <w:tcBorders>
                    <w:top w:val="single" w:color="BFB5A6" w:sz="4"/>
                    <w:left w:val="single" w:color="BFB5A6" w:sz="4"/>
                    <w:bottom w:val="single" w:color="BFB5A6" w:sz="4"/>
                    <w:right w:val="single" w:color="BFB5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  <w:vAlign w:val="center"/>
                </w:tcPr>
                <w:p>
                  <w:pPr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7"/>
                      <w:szCs w:val="17"/>
                    </w:rPr>
                    <w:t xml:space="preserve">2</w:t>
                  </w:r>
                </w:p>
              </w:tc>
              <w:tc>
                <w:tcPr>
                  <w:tcW w:type="dxa" w:w="1962"/>
                  <w:tcBorders>
                    <w:top w:val="single" w:color="BFB5A6" w:sz="4"/>
                    <w:left w:val="single" w:color="BFB5A6" w:sz="4"/>
                    <w:bottom w:val="single" w:color="BFB5A6" w:sz="4"/>
                    <w:right w:val="single" w:color="BFB5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  <w:vAlign w:val="center"/>
                </w:tcPr>
                <w:p>
                  <w:pPr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7"/>
                      <w:szCs w:val="17"/>
                    </w:rPr>
                    <w:t xml:space="preserve">바둑</w:t>
                  </w:r>
                </w:p>
              </w:tc>
              <w:tc>
                <w:tcPr>
                  <w:tcW w:type="dxa" w:w="4519"/>
                  <w:tcBorders>
                    <w:top w:val="single" w:color="BFB5A6" w:sz="4"/>
                    <w:left w:val="single" w:color="BFB5A6" w:sz="4"/>
                    <w:bottom w:val="single" w:color="BFB5A6" w:sz="4"/>
                    <w:right w:val="single" w:color="BFB5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  <w:vAlign w:val="center"/>
                </w:tcPr>
                <w:p>
                  <w:pPr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7"/>
                      <w:szCs w:val="17"/>
                    </w:rPr>
                    <w:t xml:space="preserve">KataGo(코드 MIT, 공식 네트워크는 상업 이용 허용, 외부 기여 네트워크는 조건 확인 필요)와 높은 한국 수요. 국내 앱에 엔진 복기는 있으나 LLM 설명 제품은 미확인. 바둑 특화 LLM도 설명 정답률 55.6%(상위 아마추어 평가, 2026)에 그쳐, 체스에서 재방문율·지불 의사 확인 및 사활·행마 개념 검출기 구축 후 진입</w:t>
                  </w:r>
                </w:p>
              </w:tc>
            </w:tr>
            <w:tr>
              <w:tc>
                <w:tcPr>
                  <w:tcW w:type="dxa" w:w="1275"/>
                  <w:tcBorders>
                    <w:top w:val="single" w:color="BFB5A6" w:sz="4"/>
                    <w:left w:val="single" w:color="BFB5A6" w:sz="4"/>
                    <w:bottom w:val="single" w:color="BFB5A6" w:sz="4"/>
                    <w:right w:val="single" w:color="BFB5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  <w:vAlign w:val="center"/>
                </w:tcPr>
                <w:p>
                  <w:pPr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7"/>
                      <w:szCs w:val="17"/>
                    </w:rPr>
                    <w:t xml:space="preserve">3</w:t>
                  </w:r>
                </w:p>
              </w:tc>
              <w:tc>
                <w:tcPr>
                  <w:tcW w:type="dxa" w:w="1962"/>
                  <w:tcBorders>
                    <w:top w:val="single" w:color="BFB5A6" w:sz="4"/>
                    <w:left w:val="single" w:color="BFB5A6" w:sz="4"/>
                    <w:bottom w:val="single" w:color="BFB5A6" w:sz="4"/>
                    <w:right w:val="single" w:color="BFB5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  <w:vAlign w:val="center"/>
                </w:tcPr>
                <w:p>
                  <w:pPr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7"/>
                      <w:szCs w:val="17"/>
                    </w:rPr>
                    <w:t xml:space="preserve">장기, 체스 변형</w:t>
                  </w:r>
                </w:p>
              </w:tc>
              <w:tc>
                <w:tcPr>
                  <w:tcW w:type="dxa" w:w="4519"/>
                  <w:tcBorders>
                    <w:top w:val="single" w:color="BFB5A6" w:sz="4"/>
                    <w:left w:val="single" w:color="BFB5A6" w:sz="4"/>
                    <w:bottom w:val="single" w:color="BFB5A6" w:sz="4"/>
                    <w:right w:val="single" w:color="BFB5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  <w:vAlign w:val="center"/>
                </w:tcPr>
                <w:p>
                  <w:pPr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7"/>
                      <w:szCs w:val="17"/>
                    </w:rPr>
                    <w:t xml:space="preserve">장기는 Fairy-Stockfish 엔진 존재·한국 고유 게임·AI 분석 서비스 공백, 공개 기보가 없어 비교 기능은 업로드 누적 후 추가. 체스 변형은 체스 어댑터 재사용</w:t>
                  </w:r>
                </w:p>
              </w:tc>
            </w:tr>
            <w:tr>
              <w:tc>
                <w:tcPr>
                  <w:tcW w:type="dxa" w:w="1275"/>
                  <w:tcBorders>
                    <w:top w:val="single" w:color="BFB5A6" w:sz="4"/>
                    <w:left w:val="single" w:color="BFB5A6" w:sz="4"/>
                    <w:bottom w:val="single" w:color="BFB5A6" w:sz="4"/>
                    <w:right w:val="single" w:color="BFB5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  <w:vAlign w:val="center"/>
                </w:tcPr>
                <w:p>
                  <w:pPr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7"/>
                      <w:szCs w:val="17"/>
                    </w:rPr>
                    <w:t xml:space="preserve">4 (해외)</w:t>
                  </w:r>
                </w:p>
              </w:tc>
              <w:tc>
                <w:tcPr>
                  <w:tcW w:type="dxa" w:w="1962"/>
                  <w:tcBorders>
                    <w:top w:val="single" w:color="BFB5A6" w:sz="4"/>
                    <w:left w:val="single" w:color="BFB5A6" w:sz="4"/>
                    <w:bottom w:val="single" w:color="BFB5A6" w:sz="4"/>
                    <w:right w:val="single" w:color="BFB5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  <w:vAlign w:val="center"/>
                </w:tcPr>
                <w:p>
                  <w:pPr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7"/>
                      <w:szCs w:val="17"/>
                    </w:rPr>
                    <w:t xml:space="preserve">샹치, 쇼기</w:t>
                  </w:r>
                </w:p>
              </w:tc>
              <w:tc>
                <w:tcPr>
                  <w:tcW w:type="dxa" w:w="4519"/>
                  <w:tcBorders>
                    <w:top w:val="single" w:color="BFB5A6" w:sz="4"/>
                    <w:left w:val="single" w:color="BFB5A6" w:sz="4"/>
                    <w:bottom w:val="single" w:color="BFB5A6" w:sz="4"/>
                    <w:right w:val="single" w:color="BFB5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  <w:vAlign w:val="center"/>
                </w:tcPr>
                <w:p>
                  <w:pPr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7"/>
                      <w:szCs w:val="17"/>
                    </w:rPr>
                    <w:t xml:space="preserve">엔진은 강하나 국내 수요 낮음, 플랫폼 공식 AI 분석 탑재 흐름. 엔진·가중치 상업 이용 조건 확인 필요</w:t>
                  </w:r>
                </w:p>
              </w:tc>
            </w:tr>
            <w:tr>
              <w:tc>
                <w:tcPr>
                  <w:tcW w:type="dxa" w:w="1275"/>
                  <w:tcBorders>
                    <w:top w:val="single" w:color="BFB5A6" w:sz="4"/>
                    <w:left w:val="single" w:color="BFB5A6" w:sz="4"/>
                    <w:bottom w:val="single" w:color="BFB5A6" w:sz="4"/>
                    <w:right w:val="single" w:color="BFB5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  <w:vAlign w:val="center"/>
                </w:tcPr>
                <w:p>
                  <w:pPr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7"/>
                      <w:szCs w:val="17"/>
                    </w:rPr>
                    <w:t xml:space="preserve">연구</w:t>
                  </w:r>
                </w:p>
              </w:tc>
              <w:tc>
                <w:tcPr>
                  <w:tcW w:type="dxa" w:w="1962"/>
                  <w:tcBorders>
                    <w:top w:val="single" w:color="BFB5A6" w:sz="4"/>
                    <w:left w:val="single" w:color="BFB5A6" w:sz="4"/>
                    <w:bottom w:val="single" w:color="BFB5A6" w:sz="4"/>
                    <w:right w:val="single" w:color="BFB5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  <w:vAlign w:val="center"/>
                </w:tcPr>
                <w:p>
                  <w:pPr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7"/>
                      <w:szCs w:val="17"/>
                    </w:rPr>
                    <w:t xml:space="preserve">백개먼, 마작</w:t>
                  </w:r>
                </w:p>
              </w:tc>
              <w:tc>
                <w:tcPr>
                  <w:tcW w:type="dxa" w:w="4519"/>
                  <w:tcBorders>
                    <w:top w:val="single" w:color="BFB5A6" w:sz="4"/>
                    <w:left w:val="single" w:color="BFB5A6" w:sz="4"/>
                    <w:bottom w:val="single" w:color="BFB5A6" w:sz="4"/>
                    <w:right w:val="single" w:color="BFB5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  <w:vAlign w:val="center"/>
                </w:tcPr>
                <w:p>
                  <w:pPr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7"/>
                      <w:szCs w:val="17"/>
                    </w:rPr>
                    <w:t xml:space="preserve">확률·불완전정보 게임에서 기대값 손실 설명 실험. AGPL 등 라이선스 검토 후 내부 실험만</w:t>
                  </w:r>
                </w:p>
              </w:tc>
            </w:tr>
            <w:tr>
              <w:tc>
                <w:tcPr>
                  <w:tcW w:type="dxa" w:w="1275"/>
                  <w:tcBorders>
                    <w:top w:val="single" w:color="BFB5A6" w:sz="4"/>
                    <w:left w:val="single" w:color="BFB5A6" w:sz="4"/>
                    <w:bottom w:val="single" w:color="BFB5A6" w:sz="4"/>
                    <w:right w:val="single" w:color="BFB5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  <w:vAlign w:val="center"/>
                </w:tcPr>
                <w:p>
                  <w:pPr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7"/>
                      <w:szCs w:val="17"/>
                    </w:rPr>
                    <w:t xml:space="preserve">별도 제품</w:t>
                  </w:r>
                </w:p>
              </w:tc>
              <w:tc>
                <w:tcPr>
                  <w:tcW w:type="dxa" w:w="1962"/>
                  <w:tcBorders>
                    <w:top w:val="single" w:color="BFB5A6" w:sz="4"/>
                    <w:left w:val="single" w:color="BFB5A6" w:sz="4"/>
                    <w:bottom w:val="single" w:color="BFB5A6" w:sz="4"/>
                    <w:right w:val="single" w:color="BFB5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  <w:vAlign w:val="center"/>
                </w:tcPr>
                <w:p>
                  <w:pPr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7"/>
                      <w:szCs w:val="17"/>
                    </w:rPr>
                    <w:t xml:space="preserve">스타크래프트</w:t>
                  </w:r>
                </w:p>
              </w:tc>
              <w:tc>
                <w:tcPr>
                  <w:tcW w:type="dxa" w:w="4519"/>
                  <w:tcBorders>
                    <w:top w:val="single" w:color="BFB5A6" w:sz="4"/>
                    <w:left w:val="single" w:color="BFB5A6" w:sz="4"/>
                    <w:bottom w:val="single" w:color="BFB5A6" w:sz="4"/>
                    <w:right w:val="single" w:color="BFB5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  <w:vAlign w:val="center"/>
                </w:tcPr>
                <w:p>
                  <w:pPr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7"/>
                      <w:szCs w:val="17"/>
                    </w:rPr>
                    <w:t xml:space="preserve">평가 엔진이 없어 상위 플레이어 벤치마크 비교형 분석 필요. LLM 리플레이 총평 서비스가 이미 존재</w:t>
                  </w:r>
                </w:p>
              </w:tc>
            </w:tr>
            <w:tr>
              <w:tc>
                <w:tcPr>
                  <w:tcW w:type="dxa" w:w="1275"/>
                  <w:tcBorders>
                    <w:top w:val="single" w:color="BFB5A6" w:sz="4"/>
                    <w:left w:val="single" w:color="BFB5A6" w:sz="4"/>
                    <w:bottom w:val="single" w:color="BFB5A6" w:sz="4"/>
                    <w:right w:val="single" w:color="BFB5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  <w:vAlign w:val="center"/>
                </w:tcPr>
                <w:p>
                  <w:pPr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7"/>
                      <w:szCs w:val="17"/>
                    </w:rPr>
                    <w:t xml:space="preserve">제외</w:t>
                  </w:r>
                </w:p>
              </w:tc>
              <w:tc>
                <w:tcPr>
                  <w:tcW w:type="dxa" w:w="1962"/>
                  <w:tcBorders>
                    <w:top w:val="single" w:color="BFB5A6" w:sz="4"/>
                    <w:left w:val="single" w:color="BFB5A6" w:sz="4"/>
                    <w:bottom w:val="single" w:color="BFB5A6" w:sz="4"/>
                    <w:right w:val="single" w:color="BFB5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  <w:vAlign w:val="center"/>
                </w:tcPr>
                <w:p>
                  <w:pPr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7"/>
                      <w:szCs w:val="17"/>
                    </w:rPr>
                    <w:t xml:space="preserve">부루마블·뱅! 등, LoL·Dota 2</w:t>
                  </w:r>
                </w:p>
              </w:tc>
              <w:tc>
                <w:tcPr>
                  <w:tcW w:type="dxa" w:w="4519"/>
                  <w:tcBorders>
                    <w:top w:val="single" w:color="BFB5A6" w:sz="4"/>
                    <w:left w:val="single" w:color="BFB5A6" w:sz="4"/>
                    <w:bottom w:val="single" w:color="BFB5A6" w:sz="4"/>
                    <w:right w:val="single" w:color="BFB5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  <w:vAlign w:val="center"/>
                </w:tcPr>
                <w:p>
                  <w:pPr>
                    <w:jc w:val="left"/>
                  </w:pPr>
                  <w:r>
                    <w:rPr>
                      <w:rFonts w:ascii="맑은 고딕" w:cs="맑은 고딕" w:eastAsia="맑은 고딕" w:hAnsi="맑은 고딕"/>
                      <w:b w:val="false"/>
                      <w:bCs w:val="false"/>
                      <w:sz w:val="17"/>
                      <w:szCs w:val="17"/>
                    </w:rPr>
                    <w:t xml:space="preserve">평가 엔진·공개 데이터 부재, 대형 경쟁 및 게임 중 보조 금지 정책</w:t>
                  </w:r>
                </w:p>
              </w:tc>
            </w:tr>
          </w:tbl>
          <w:p>
            <w:pPr>
              <w:spacing w:after="40"/>
            </w:pPr>
          </w:p>
          <w:p>
            <w:pPr>
              <w:spacing w:after="60" w:before="14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[ 확장 시 리스크 및 원칙 ]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30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엔진·네트워크 라이선스: 엔진은 서버에서만 실행, 엔진별 라이선스 기록, 상업 이용 불가 가중치는 허가 전 미사용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30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게임마다 다른 "실수"의 의미: 게임별 실수 기준표와 패턴 태그 사전을 숙련자 검수 후 적용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30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초점 분산 방지: 체스에서 재방문율·지불 의사를 확인한 뒤 확장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30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모든 게임에서 종료된 대국 기록·리플레이만 분석, 진행 중 대국 화면 인식·메모리 읽기·오버레이는 만들지 않음</w:t>
            </w:r>
          </w:p>
          <w:p>
            <w:pPr>
              <w:spacing w:after="60" w:line="30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개인 대국을 모아 반복 약점을 근거와 함께 설명하는 형태는 조사한 어느 게임에서도 확인되지 않아, 체스의 차별점이 다른 게임에서도 유효할 가능성</w:t>
            </w:r>
          </w:p>
        </w:tc>
      </w:tr>
      <w:tr>
        <w:trPr>
          <w:cantSplit w:val="off"/>
        </w:trPr>
        <w:tc>
          <w:tcPr>
            <w:tcW w:type="dxa" w:w="1800"/>
            <w:tcBorders>
              <w:top w:val="single" w:color="BFB5A6" w:sz="6"/>
              <w:left w:val="none" w:color="FFFFFF" w:sz="0"/>
              <w:bottom w:val="single" w:color="BFB5A6" w:sz="6"/>
              <w:right w:val="none" w:color="FFFFFF" w:sz="0"/>
            </w:tcBorders>
            <w:shd w:fill="EFEBE4" w:color="auto" w:val="clear"/>
            <w:tcMar>
              <w:top w:type="dxa" w:w="120"/>
              <w:left w:type="dxa" w:w="100"/>
              <w:bottom w:type="dxa" w:w="12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참고 자료</w:t>
            </w:r>
          </w:p>
        </w:tc>
        <w:tc>
          <w:tcPr>
            <w:tcW w:type="dxa" w:w="8106"/>
            <w:tcBorders>
              <w:top w:val="single" w:color="BFB5A6" w:sz="6"/>
              <w:left w:val="none" w:color="FFFFFF" w:sz="0"/>
              <w:bottom w:val="single" w:color="BFB5A6" w:sz="6"/>
              <w:right w:val="none" w:color="FFFFFF" w:sz="0"/>
            </w:tcBorders>
            <w:tcMar>
              <w:top w:type="dxa" w:w="120"/>
              <w:left w:type="dxa" w:w="200"/>
              <w:bottom w:type="dxa" w:w="120"/>
              <w:right w:type="dxa" w:w="150"/>
            </w:tcMar>
            <w:vAlign w:val="center"/>
          </w:tcPr>
          <w:p>
            <w:pPr>
              <w:spacing w:after="60" w:line="30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2026-10 확인 기준. 서비스 기능·라이선스는 변경될 수 있어 제출 전 재확인 필요</w:t>
            </w:r>
          </w:p>
          <w:p>
            <w:pPr>
              <w:spacing w:after="60" w:before="14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[ 시장·기존 서비스 ]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30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Chess.com 2026 Q1 Board Report: https://www.chess.com/board-reports/2026-q1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30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Chess.com Game Review v2 발표(2023-03): https://www.chess.com/news/view/chesscom-launches-game-review-v2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30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Chess.com Insights 도움말: https://support.chess.com/en/articles/8708925-what-is-insights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30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Lichess 기능 목록: https://lichess.org/features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30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Lichess 공개 데이터베이스(CC0): https://database.lichess.org/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30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Take Take Take, Building a Chess Coach(AI Engineer Europe 2026): https://ai.engineer/talks/building-a-chess-coach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30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Chess.com 멤버십 등급별 기능: https://support.chess.com/en/articles/8562418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30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DecodeChess 가격: https://decodechess.com/pricing/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30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Aimchess 가격: https://aimchess.com/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30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대한체스연맹 유소년선수권 기사(쿠키뉴스): https://www.kukinews.com/article/view/kuk202503090038</w:t>
            </w:r>
          </w:p>
          <w:p>
            <w:pPr>
              <w:spacing w:after="60" w:before="14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[ 모델·비용 ]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30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Maia-2(MIT): https://github.com/CSSLab/maia2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30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Anthropic API 가격: https://platform.claude.com/docs/en/about-claude/pricing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30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Gemini 3 Flash 가격(제3자 집계): https://anotherwrapper.com/llm-pricing/gemini-3-flash-preview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30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Kanana 1.5 공개(카카오, 2025-05): https://www.kakaocorp.com/page/detail/11654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30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Qwen3-8B 모델 카드: https://huggingface.co/Qwen/Qwen3-8B</w:t>
            </w:r>
          </w:p>
          <w:p>
            <w:pPr>
              <w:spacing w:after="60" w:before="14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[ 데이터 수집 정책 ]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30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Chess.com Published Data API: https://support.chess.com/en/articles/9650547-published-data-api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30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Lichess API 이용 팁(요청 규칙): https://lichess.org/page/api-tips</w:t>
            </w:r>
          </w:p>
          <w:p>
            <w:pPr>
              <w:spacing w:after="60" w:before="14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[ 설명 신뢰도·수준 반영 ]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30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Kim 외, Concept-guided Chess Commentary Generation and Evaluation(NAACL 2025): https://aclanthology.org/2025.naacl-long.481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30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thinkfish(LLM 체스 해설 실험): https://github.com/ronaldsuwandi/thinkfish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30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McIlroy-Young 외, Aligning Superhuman AI with Human Behavior: Chess as a Model System(KDD 2020): https://arxiv.org/abs/2006.01855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30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Chess.com 사용자 블로그, Why the Game Review is Not Very Helpful(2023): https://www.chess.com/blog/DSTirana1/why-the-game-review-is-not-very-helpful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30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Chess.com 포럼, The review system made a mistake: https://www.chess.com/forum/view/help-support/the-review-system-made-a-mistake</w:t>
            </w:r>
          </w:p>
          <w:p>
            <w:pPr>
              <w:spacing w:after="60" w:before="14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[ 학습 효과 ]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30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Southwick 외, Not All Practice Is Created Equal: Longitudinal Evidence From Over 40,000 Chess Players(Psychological Science, 2026): https://www.psychologicalscience.org/journals/psychological-science/09567976261452568/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30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Charness 외, The Role of Deliberate Practice in Chess Expertise(Applied Cognitive Psychology, 2005): https://repub.eur.nl/pub/14116</w:t>
            </w:r>
          </w:p>
          <w:p>
            <w:pPr>
              <w:spacing w:after="60" w:before="14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[ 확장 가능성 ]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30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KataGo 네트워크 라이선스: https://katagotraining.org/network_license/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30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Fairy-Stockfish: https://github.com/fairy-stockfish/Fairy-Stockfish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30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Pikafish: https://github.com/official-pikafish/Pikafish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30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Mixing Expert Knowledge: Bring Human Thoughts Back To the Game of Go(2026): https://arxiv.org/abs/2601.16447</w:t>
            </w:r>
          </w:p>
        </w:tc>
      </w:tr>
    </w:tbl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-"/>
      <w:lvlJc w:val="left"/>
      <w:pPr>
        <w:ind w:left="360" w:hanging="220"/>
      </w:pPr>
    </w:lvl>
    <w:lvl w:ilvl="1" w:tentative="1">
      <w:start w:val="1"/>
      <w:numFmt w:val="bullet"/>
      <w:lvlText w:val="·"/>
      <w:lvlJc w:val="left"/>
      <w:pPr>
        <w:ind w:left="72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  <w:lvlOverride w:ilvl="1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19"/>
        <w:szCs w:val="19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프로젝트 기획서 - ChessInsight AI</dc:title>
  <dc:creator>ChessInsight AI</dc:creator>
  <cp:lastModifiedBy>Un-named</cp:lastModifiedBy>
  <cp:revision>1</cp:revision>
  <dcterms:created xsi:type="dcterms:W3CDTF">2026-10-22T01:25:53.102Z</dcterms:created>
  <dcterms:modified xsi:type="dcterms:W3CDTF">2026-10-22T01:25:53.111Z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