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780" w:lineRule="atLeast" w:before="26"/>
        <w:ind w:left="320" w:right="0" w:firstLine="1565"/>
        <w:jc w:val="left"/>
        <w:rPr>
          <w:b/>
          <w:sz w:val="41"/>
        </w:rPr>
      </w:pPr>
      <w:r>
        <w:rPr>
          <w:b/>
          <w:sz w:val="41"/>
        </w:rPr>
        <w:t>Method and Internship Results Measurement of Boys’ and Girls’ Engagement </w:t>
      </w:r>
      <w:r>
        <w:rPr>
          <w:b/>
          <w:sz w:val="41"/>
        </w:rPr>
        <w:t>in</w:t>
      </w:r>
    </w:p>
    <w:p>
      <w:pPr>
        <w:spacing w:before="28"/>
        <w:ind w:left="4058" w:right="0" w:firstLine="0"/>
        <w:jc w:val="left"/>
        <w:rPr>
          <w:b/>
          <w:sz w:val="41"/>
        </w:rPr>
      </w:pPr>
      <w:r>
        <w:rPr>
          <w:b/>
          <w:spacing w:val="-2"/>
          <w:sz w:val="41"/>
        </w:rPr>
        <w:t>Sports</w:t>
      </w:r>
    </w:p>
    <w:p>
      <w:pPr>
        <w:pStyle w:val="BodyText"/>
        <w:rPr>
          <w:b/>
          <w:sz w:val="41"/>
        </w:rPr>
      </w:pPr>
    </w:p>
    <w:p>
      <w:pPr>
        <w:pStyle w:val="BodyText"/>
        <w:spacing w:before="218"/>
        <w:rPr>
          <w:b/>
          <w:sz w:val="41"/>
        </w:rPr>
      </w:pPr>
    </w:p>
    <w:p>
      <w:pPr>
        <w:spacing w:before="0"/>
        <w:ind w:left="0" w:right="0" w:firstLine="0"/>
        <w:jc w:val="center"/>
        <w:rPr>
          <w:b/>
          <w:sz w:val="41"/>
        </w:rPr>
      </w:pPr>
      <w:r>
        <w:rPr>
          <w:b/>
          <w:sz w:val="41"/>
        </w:rPr>
        <w:t>Kossi</w:t>
      </w:r>
      <w:r>
        <w:rPr>
          <w:b/>
          <w:spacing w:val="-11"/>
          <w:sz w:val="41"/>
        </w:rPr>
        <w:t> </w:t>
      </w:r>
      <w:r>
        <w:rPr>
          <w:b/>
          <w:spacing w:val="-2"/>
          <w:sz w:val="41"/>
        </w:rPr>
        <w:t>ABOTSI</w:t>
      </w:r>
    </w:p>
    <w:p>
      <w:pPr>
        <w:pStyle w:val="BodyText"/>
        <w:spacing w:before="457"/>
        <w:rPr>
          <w:b/>
          <w:sz w:val="41"/>
        </w:rPr>
      </w:pPr>
    </w:p>
    <w:p>
      <w:pPr>
        <w:spacing w:before="0"/>
        <w:ind w:left="0" w:right="0" w:firstLine="0"/>
        <w:jc w:val="center"/>
        <w:rPr>
          <w:sz w:val="28"/>
        </w:rPr>
      </w:pPr>
      <w:r>
        <w:rPr>
          <w:sz w:val="28"/>
        </w:rPr>
        <w:t>June</w:t>
      </w:r>
      <w:r>
        <w:rPr>
          <w:spacing w:val="9"/>
          <w:sz w:val="28"/>
        </w:rPr>
        <w:t> </w:t>
      </w:r>
      <w:r>
        <w:rPr>
          <w:sz w:val="28"/>
        </w:rPr>
        <w:t>27,</w:t>
      </w:r>
      <w:r>
        <w:rPr>
          <w:spacing w:val="10"/>
          <w:sz w:val="28"/>
        </w:rPr>
        <w:t> </w:t>
      </w:r>
      <w:r>
        <w:rPr>
          <w:spacing w:val="-4"/>
          <w:sz w:val="28"/>
        </w:rPr>
        <w:t>2024</w:t>
      </w:r>
    </w:p>
    <w:p>
      <w:pPr>
        <w:pStyle w:val="BodyText"/>
        <w:spacing w:before="300"/>
        <w:rPr>
          <w:sz w:val="28"/>
        </w:rPr>
      </w:pPr>
    </w:p>
    <w:p>
      <w:pPr>
        <w:pStyle w:val="Heading1"/>
      </w:pPr>
      <w:r>
        <w:rPr>
          <w:spacing w:val="-2"/>
        </w:rPr>
        <w:t>METHOD</w:t>
      </w:r>
    </w:p>
    <w:p>
      <w:pPr>
        <w:pStyle w:val="BodyText"/>
        <w:spacing w:before="26"/>
        <w:rPr>
          <w:b/>
        </w:rPr>
      </w:pPr>
    </w:p>
    <w:p>
      <w:pPr>
        <w:spacing w:before="0"/>
        <w:ind w:left="471" w:right="0" w:firstLine="0"/>
        <w:jc w:val="left"/>
        <w:rPr>
          <w:i/>
          <w:sz w:val="24"/>
        </w:rPr>
      </w:pPr>
      <w:r>
        <w:rPr>
          <w:i/>
          <w:sz w:val="24"/>
        </w:rPr>
        <w:t>Description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Participants</w:t>
      </w:r>
    </w:p>
    <w:p>
      <w:pPr>
        <w:pStyle w:val="BodyText"/>
        <w:spacing w:line="252" w:lineRule="auto" w:before="13"/>
        <w:ind w:left="120" w:right="118"/>
        <w:jc w:val="both"/>
      </w:pP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middle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grades</w:t>
      </w:r>
      <w:r>
        <w:rPr>
          <w:spacing w:val="-10"/>
        </w:rPr>
        <w:t> </w:t>
      </w:r>
      <w:r>
        <w:rPr/>
        <w:t>7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/>
        <w:t>(ages</w:t>
      </w:r>
      <w:r>
        <w:rPr>
          <w:spacing w:val="-10"/>
        </w:rPr>
        <w:t> </w:t>
      </w:r>
      <w:r>
        <w:rPr/>
        <w:t>11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15)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classes who provided the necessary parental consent to participate.</w:t>
      </w:r>
      <w:r>
        <w:rPr>
          <w:spacing w:val="40"/>
        </w:rPr>
        <w:t> </w:t>
      </w:r>
      <w:r>
        <w:rPr/>
        <w:t>Sports sections and UPE2A </w:t>
      </w:r>
      <w:r>
        <w:rPr/>
        <w:t>and ULYSS classes are not included in the study.</w:t>
      </w:r>
      <w:r>
        <w:rPr>
          <w:spacing w:val="40"/>
        </w:rPr>
        <w:t> </w:t>
      </w:r>
      <w:r>
        <w:rPr/>
        <w:t>Data collection takes place in public middle schools</w:t>
      </w:r>
      <w:r>
        <w:rPr>
          <w:spacing w:val="-6"/>
        </w:rPr>
        <w:t> </w:t>
      </w:r>
      <w:r>
        <w:rPr/>
        <w:t>located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urban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rural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France. Schools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classified</w:t>
      </w:r>
      <w:r>
        <w:rPr>
          <w:spacing w:val="-6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 Social Position Index (SPI): disadvantaged schools (SPI &lt; 89), average schools (SPI between 90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114),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advantaged</w:t>
      </w:r>
      <w:r>
        <w:rPr>
          <w:spacing w:val="-4"/>
        </w:rPr>
        <w:t> </w:t>
      </w:r>
      <w:r>
        <w:rPr/>
        <w:t>schools</w:t>
      </w:r>
      <w:r>
        <w:rPr>
          <w:spacing w:val="-4"/>
        </w:rPr>
        <w:t> </w:t>
      </w:r>
      <w:r>
        <w:rPr/>
        <w:t>(SPI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115). Four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targeted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clas- sified from 1 to 4.</w:t>
      </w:r>
    </w:p>
    <w:p>
      <w:pPr>
        <w:pStyle w:val="BodyText"/>
        <w:spacing w:before="6"/>
      </w:pPr>
    </w:p>
    <w:p>
      <w:pPr>
        <w:spacing w:before="1"/>
        <w:ind w:left="47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Protocol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Description</w:t>
      </w:r>
    </w:p>
    <w:p>
      <w:pPr>
        <w:pStyle w:val="BodyText"/>
        <w:spacing w:line="252" w:lineRule="auto" w:before="13"/>
        <w:ind w:left="120" w:right="118"/>
        <w:jc w:val="both"/>
      </w:pPr>
      <w:r>
        <w:rPr/>
        <w:t>The aim of this quantitative analysis is to measure potential differences in physical engage- ment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boys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girls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two-hour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(PE)</w:t>
      </w:r>
      <w:r>
        <w:rPr>
          <w:spacing w:val="-1"/>
        </w:rPr>
        <w:t> </w:t>
      </w:r>
      <w:r>
        <w:rPr/>
        <w:t>class, 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evaluate the impact of three variables: gender, activities, and the socio-cultural level of the institution. Physical</w:t>
      </w:r>
      <w:r>
        <w:rPr>
          <w:spacing w:val="-4"/>
        </w:rPr>
        <w:t> </w:t>
      </w:r>
      <w:r>
        <w:rPr/>
        <w:t>engagement</w:t>
      </w:r>
      <w:r>
        <w:rPr>
          <w:spacing w:val="-4"/>
        </w:rPr>
        <w:t> </w:t>
      </w:r>
      <w:r>
        <w:rPr/>
        <w:t>levels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assessed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accelerometers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students’</w:t>
      </w:r>
      <w:r>
        <w:rPr>
          <w:spacing w:val="-4"/>
        </w:rPr>
        <w:t> </w:t>
      </w:r>
      <w:r>
        <w:rPr/>
        <w:t>level of</w:t>
      </w:r>
      <w:r>
        <w:rPr>
          <w:spacing w:val="-8"/>
        </w:rPr>
        <w:t> </w:t>
      </w:r>
      <w:r>
        <w:rPr/>
        <w:t>MVPA</w:t>
      </w:r>
      <w:r>
        <w:rPr>
          <w:spacing w:val="-8"/>
        </w:rPr>
        <w:t> </w:t>
      </w:r>
      <w:r>
        <w:rPr/>
        <w:t>(moderate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vigorous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activity). The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having the most significant influence on the observed differences.</w:t>
      </w:r>
    </w:p>
    <w:p>
      <w:pPr>
        <w:pStyle w:val="BodyText"/>
        <w:spacing w:before="7"/>
      </w:pPr>
    </w:p>
    <w:p>
      <w:pPr>
        <w:spacing w:before="0"/>
        <w:ind w:left="471" w:right="0" w:firstLine="0"/>
        <w:jc w:val="left"/>
        <w:rPr>
          <w:i/>
          <w:sz w:val="24"/>
        </w:rPr>
      </w:pPr>
      <w:r>
        <w:rPr>
          <w:i/>
          <w:sz w:val="24"/>
        </w:rPr>
        <w:t>Data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Collection</w:t>
      </w:r>
    </w:p>
    <w:p>
      <w:pPr>
        <w:pStyle w:val="BodyText"/>
        <w:spacing w:line="252" w:lineRule="auto" w:before="13"/>
        <w:ind w:left="120" w:right="118"/>
        <w:jc w:val="both"/>
      </w:pPr>
      <w:r>
        <w:rPr/>
        <w:t>An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questionnaire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students</w:t>
      </w:r>
      <w:r>
        <w:rPr>
          <w:spacing w:val="-13"/>
        </w:rPr>
        <w:t> </w:t>
      </w:r>
      <w:r>
        <w:rPr/>
        <w:t>before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collect</w:t>
      </w:r>
      <w:r>
        <w:rPr>
          <w:spacing w:val="-13"/>
        </w:rPr>
        <w:t> </w:t>
      </w:r>
      <w:r>
        <w:rPr/>
        <w:t>personal data:</w:t>
      </w:r>
      <w:r>
        <w:rPr>
          <w:spacing w:val="40"/>
        </w:rPr>
        <w:t> </w:t>
      </w:r>
      <w:r>
        <w:rPr/>
        <w:t>age, height, weight, siblings, physical activities, and other socio-cultural information. This questionnaire serves a dual purpose:</w:t>
      </w:r>
      <w:r>
        <w:rPr>
          <w:spacing w:val="38"/>
        </w:rPr>
        <w:t> </w:t>
      </w:r>
      <w:r>
        <w:rPr/>
        <w:t>to provide the necessary information for program- ming the accelerometers and to identify the socio-cultural characteristics of the participants.</w:t>
      </w:r>
    </w:p>
    <w:p>
      <w:pPr>
        <w:pStyle w:val="BodyText"/>
        <w:spacing w:line="252" w:lineRule="auto"/>
        <w:ind w:left="120" w:right="117" w:firstLine="351"/>
        <w:jc w:val="both"/>
      </w:pPr>
      <w:r>
        <w:rPr/>
        <w:t>The quantitative part of the study takes place during a 2-hour PE class.</w:t>
      </w:r>
      <w:r>
        <w:rPr>
          <w:spacing w:val="23"/>
        </w:rPr>
        <w:t> </w:t>
      </w:r>
      <w:r>
        <w:rPr/>
        <w:t>The research </w:t>
      </w:r>
      <w:r>
        <w:rPr/>
        <w:t>team briefly</w:t>
      </w:r>
      <w:r>
        <w:rPr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mentioning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focuses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gender</w:t>
      </w:r>
      <w:r>
        <w:rPr>
          <w:spacing w:val="-1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physical activity to avoid potential bias.</w:t>
      </w:r>
    </w:p>
    <w:p>
      <w:pPr>
        <w:spacing w:after="0" w:line="252" w:lineRule="auto"/>
        <w:jc w:val="both"/>
        <w:sectPr>
          <w:footerReference w:type="default" r:id="rId5"/>
          <w:type w:val="continuous"/>
          <w:pgSz w:w="11910" w:h="16840"/>
          <w:pgMar w:header="0" w:footer="863" w:top="1920" w:bottom="1060" w:left="1320" w:right="1320"/>
          <w:pgNumType w:start="1"/>
        </w:sectPr>
      </w:pPr>
    </w:p>
    <w:p>
      <w:pPr>
        <w:pStyle w:val="BodyText"/>
        <w:spacing w:line="252" w:lineRule="auto" w:before="77"/>
        <w:ind w:left="120" w:right="117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students</w:t>
      </w:r>
      <w:r>
        <w:rPr>
          <w:spacing w:val="-15"/>
        </w:rPr>
        <w:t> </w:t>
      </w:r>
      <w:r>
        <w:rPr/>
        <w:t>wear</w:t>
      </w:r>
      <w:r>
        <w:rPr>
          <w:spacing w:val="-15"/>
        </w:rPr>
        <w:t> </w:t>
      </w:r>
      <w:r>
        <w:rPr/>
        <w:t>ActiGraph</w:t>
      </w:r>
      <w:r>
        <w:rPr>
          <w:spacing w:val="-15"/>
        </w:rPr>
        <w:t> </w:t>
      </w:r>
      <w:r>
        <w:rPr/>
        <w:t>accelerometers,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GT3X+</w:t>
      </w:r>
      <w:r>
        <w:rPr>
          <w:spacing w:val="-15"/>
        </w:rPr>
        <w:t> </w:t>
      </w:r>
      <w:r>
        <w:rPr/>
        <w:t>(ActiGraph™,</w:t>
      </w:r>
      <w:r>
        <w:rPr>
          <w:spacing w:val="-15"/>
        </w:rPr>
        <w:t> </w:t>
      </w:r>
      <w:r>
        <w:rPr/>
        <w:t>Pensacola,</w:t>
      </w:r>
      <w:r>
        <w:rPr>
          <w:spacing w:val="-13"/>
        </w:rPr>
        <w:t> </w:t>
      </w:r>
      <w:r>
        <w:rPr/>
        <w:t>FL, USA),</w:t>
      </w:r>
      <w:r>
        <w:rPr>
          <w:spacing w:val="-1"/>
        </w:rPr>
        <w:t> </w:t>
      </w:r>
      <w:r>
        <w:rPr/>
        <w:t>attached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hip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elastic</w:t>
      </w:r>
      <w:r>
        <w:rPr>
          <w:spacing w:val="-1"/>
        </w:rPr>
        <w:t> </w:t>
      </w:r>
      <w:r>
        <w:rPr/>
        <w:t>belt</w:t>
      </w:r>
      <w:r>
        <w:rPr>
          <w:spacing w:val="-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class. The</w:t>
      </w:r>
      <w:r>
        <w:rPr>
          <w:spacing w:val="-1"/>
        </w:rPr>
        <w:t> </w:t>
      </w:r>
      <w:r>
        <w:rPr/>
        <w:t>accelerometers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set 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sampling</w:t>
      </w:r>
      <w:r>
        <w:rPr>
          <w:spacing w:val="-15"/>
        </w:rPr>
        <w:t> </w:t>
      </w:r>
      <w:r>
        <w:rPr/>
        <w:t>frequency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30</w:t>
      </w:r>
      <w:r>
        <w:rPr>
          <w:spacing w:val="-15"/>
        </w:rPr>
        <w:t> </w:t>
      </w:r>
      <w:r>
        <w:rPr/>
        <w:t>Hz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processed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10-second</w:t>
      </w:r>
      <w:r>
        <w:rPr>
          <w:spacing w:val="-15"/>
        </w:rPr>
        <w:t> </w:t>
      </w:r>
      <w:r>
        <w:rPr/>
        <w:t>intervals.</w:t>
      </w:r>
      <w:r>
        <w:rPr>
          <w:spacing w:val="-15"/>
        </w:rPr>
        <w:t> </w:t>
      </w:r>
      <w:r>
        <w:rPr/>
        <w:t>Troiano’s</w:t>
      </w:r>
      <w:r>
        <w:rPr>
          <w:spacing w:val="-15"/>
        </w:rPr>
        <w:t> </w:t>
      </w:r>
      <w:r>
        <w:rPr/>
        <w:t>(2007) wear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validation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ensure</w:t>
      </w:r>
      <w:r>
        <w:rPr>
          <w:spacing w:val="-14"/>
        </w:rPr>
        <w:t> </w:t>
      </w:r>
      <w:r>
        <w:rPr/>
        <w:t>accuracy,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intensity</w:t>
      </w:r>
      <w:r>
        <w:rPr>
          <w:spacing w:val="-14"/>
        </w:rPr>
        <w:t> </w:t>
      </w:r>
      <w:r>
        <w:rPr/>
        <w:t>thresholds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deter- mined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Freedson’s</w:t>
      </w:r>
      <w:r>
        <w:rPr>
          <w:spacing w:val="-7"/>
        </w:rPr>
        <w:t> </w:t>
      </w:r>
      <w:r>
        <w:rPr/>
        <w:t>(1998)</w:t>
      </w:r>
      <w:r>
        <w:rPr>
          <w:spacing w:val="-7"/>
        </w:rPr>
        <w:t> </w:t>
      </w:r>
      <w:r>
        <w:rPr/>
        <w:t>calibration. Accelerometer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extraction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performed using Actilife software, allowing the extraction of each individual’s MVPA, LPA, MPA, and VPA levels.</w:t>
      </w:r>
    </w:p>
    <w:p>
      <w:pPr>
        <w:pStyle w:val="BodyText"/>
        <w:spacing w:before="7"/>
      </w:pPr>
    </w:p>
    <w:p>
      <w:pPr>
        <w:spacing w:before="0"/>
        <w:ind w:left="471" w:right="0" w:firstLine="0"/>
        <w:jc w:val="left"/>
        <w:rPr>
          <w:i/>
          <w:sz w:val="24"/>
        </w:rPr>
      </w:pPr>
      <w:r>
        <w:rPr>
          <w:i/>
          <w:sz w:val="24"/>
        </w:rPr>
        <w:t>Statistical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Analysis</w:t>
      </w:r>
    </w:p>
    <w:p>
      <w:pPr>
        <w:pStyle w:val="BodyText"/>
        <w:spacing w:line="249" w:lineRule="auto" w:before="13"/>
        <w:ind w:left="119" w:right="119"/>
        <w:jc w:val="both"/>
      </w:pPr>
      <w:r>
        <w:rPr/>
        <w:t>Data analysis includes descriptive statistics and three two-factor ANOVA models, </w:t>
      </w:r>
      <w:r>
        <w:rPr/>
        <w:t>including independent variables such as gender (male, female) and one of the following variables: type of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(learning</w:t>
      </w:r>
      <w:r>
        <w:rPr>
          <w:spacing w:val="-7"/>
        </w:rPr>
        <w:t> </w:t>
      </w:r>
      <w:r>
        <w:rPr/>
        <w:t>field),</w:t>
      </w:r>
      <w:r>
        <w:rPr>
          <w:spacing w:val="-6"/>
        </w:rPr>
        <w:t> </w:t>
      </w:r>
      <w:r>
        <w:rPr/>
        <w:t>socio-cultural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institution</w:t>
      </w:r>
      <w:r>
        <w:rPr>
          <w:spacing w:val="-7"/>
        </w:rPr>
        <w:t> </w:t>
      </w:r>
      <w:r>
        <w:rPr/>
        <w:t>(Social</w:t>
      </w:r>
      <w:r>
        <w:rPr>
          <w:spacing w:val="-7"/>
        </w:rPr>
        <w:t> </w:t>
      </w:r>
      <w:r>
        <w:rPr/>
        <w:t>Position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/>
        <w:t>cat- egory)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geographical</w:t>
      </w:r>
      <w:r>
        <w:rPr>
          <w:spacing w:val="-12"/>
        </w:rPr>
        <w:t> </w:t>
      </w:r>
      <w:r>
        <w:rPr/>
        <w:t>area. The</w:t>
      </w:r>
      <w:r>
        <w:rPr>
          <w:spacing w:val="-12"/>
        </w:rPr>
        <w:t> </w:t>
      </w:r>
      <w:r>
        <w:rPr/>
        <w:t>dependent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deviation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student’s</w:t>
      </w:r>
      <w:r>
        <w:rPr>
          <w:spacing w:val="-12"/>
        </w:rPr>
        <w:t> </w:t>
      </w:r>
      <w:r>
        <w:rPr/>
        <w:t>MVPA from the class average.</w:t>
      </w:r>
      <w:r>
        <w:rPr>
          <w:spacing w:val="40"/>
        </w:rPr>
        <w:t> </w:t>
      </w:r>
      <w:r>
        <w:rPr/>
        <w:t>This choice is motivated by the fact that some classes have different activity times and different teachers, which does not facilitate comparison between different groups. Depending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fulfillment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normality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(QQ-plot)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homoscedastic- ity (residuals plot against predicted values), a generalized linear model (GLM) of the gamma type</w:t>
      </w:r>
      <w:r>
        <w:rPr>
          <w:spacing w:val="-9"/>
        </w:rPr>
        <w:t> </w:t>
      </w:r>
      <w:r>
        <w:rPr/>
        <w:t>(dependent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continuous)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preferred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ANOVA</w:t>
      </w:r>
      <w:r>
        <w:rPr>
          <w:spacing w:val="-9"/>
        </w:rPr>
        <w:t> </w:t>
      </w:r>
      <w:r>
        <w:rPr/>
        <w:t>model in case of violations. The significance threshold for statistical tests performed is </w:t>
      </w:r>
      <w:r>
        <w:rPr>
          <w:rFonts w:ascii="Arial" w:hAnsi="Arial"/>
          <w:i/>
        </w:rPr>
        <w:t>α </w:t>
      </w:r>
      <w:r>
        <w:rPr>
          <w:rFonts w:ascii="Calibri" w:hAnsi="Calibri"/>
          <w:w w:val="125"/>
        </w:rPr>
        <w:t>= </w:t>
      </w:r>
      <w:r>
        <w:rPr>
          <w:rFonts w:ascii="Calibri" w:hAnsi="Calibri"/>
        </w:rPr>
        <w:t>5%</w:t>
      </w:r>
      <w:r>
        <w:rPr/>
        <w:t>. The effect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small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Arial" w:hAnsi="Arial"/>
          <w:i/>
        </w:rPr>
        <w:t>ω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Arial" w:hAnsi="Arial"/>
          <w:i/>
          <w:vertAlign w:val="baseline"/>
        </w:rPr>
        <w:t>≈</w:t>
      </w:r>
      <w:r>
        <w:rPr>
          <w:vertAlign w:val="baseline"/>
        </w:rPr>
        <w:t>.01,</w:t>
      </w:r>
      <w:r>
        <w:rPr>
          <w:spacing w:val="-4"/>
          <w:vertAlign w:val="baseline"/>
        </w:rPr>
        <w:t> </w:t>
      </w:r>
      <w:r>
        <w:rPr>
          <w:vertAlign w:val="baseline"/>
        </w:rPr>
        <w:t>medium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vertAlign w:val="baseline"/>
        </w:rPr>
        <w:t>ω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Arial" w:hAnsi="Arial"/>
          <w:i/>
          <w:vertAlign w:val="baseline"/>
        </w:rPr>
        <w:t>≈</w:t>
      </w:r>
      <w:r>
        <w:rPr>
          <w:vertAlign w:val="baseline"/>
        </w:rPr>
        <w:t>.06,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rFonts w:ascii="Arial" w:hAnsi="Arial"/>
          <w:i/>
          <w:vertAlign w:val="baseline"/>
        </w:rPr>
        <w:t>ω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rFonts w:ascii="Arial" w:hAnsi="Arial"/>
          <w:i/>
          <w:vertAlign w:val="baseline"/>
        </w:rPr>
        <w:t>≈</w:t>
      </w:r>
      <w:r>
        <w:rPr>
          <w:vertAlign w:val="baseline"/>
        </w:rPr>
        <w:t>.14 (Cohen, 1988). All calculations and analyses are performed with R software (Version 4.3.3).</w:t>
      </w:r>
    </w:p>
    <w:p>
      <w:pPr>
        <w:pStyle w:val="BodyText"/>
        <w:spacing w:line="252" w:lineRule="auto" w:before="2"/>
        <w:ind w:left="119" w:right="117" w:firstLine="351"/>
        <w:jc w:val="both"/>
      </w:pPr>
      <w:r>
        <w:rPr/>
        <w:t>After constructing the models and verifying the assumptions, in case of significant inter- action, we conduct a post-hoc analysis (multiple comparisons) with Tukey’s correction for a balanced design and Tukey-Kramer for a complete design to compare the MVPA deviation from the average of boys and girls according to the modalities of the second factor of the ANOVA</w:t>
      </w:r>
      <w:r>
        <w:rPr>
          <w:spacing w:val="-4"/>
        </w:rPr>
        <w:t> </w:t>
      </w:r>
      <w:r>
        <w:rPr/>
        <w:t>model.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(omega-squared)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factor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to understand the magnitude of the difference observed between groups.</w:t>
      </w: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RESULTS</w:t>
      </w:r>
    </w:p>
    <w:p>
      <w:pPr>
        <w:pStyle w:val="BodyText"/>
        <w:spacing w:before="26"/>
        <w:rPr>
          <w:b/>
        </w:rPr>
      </w:pPr>
    </w:p>
    <w:p>
      <w:pPr>
        <w:spacing w:before="0"/>
        <w:ind w:left="47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Participant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Characteristics</w:t>
      </w:r>
    </w:p>
    <w:p>
      <w:pPr>
        <w:pStyle w:val="BodyText"/>
        <w:spacing w:before="26"/>
        <w:rPr>
          <w:i/>
        </w:rPr>
      </w:pPr>
    </w:p>
    <w:p>
      <w:pPr>
        <w:pStyle w:val="BodyText"/>
        <w:spacing w:line="252" w:lineRule="auto"/>
        <w:ind w:left="119" w:right="117" w:firstLine="351"/>
        <w:jc w:val="both"/>
      </w:pPr>
      <w:r>
        <w:rPr/>
        <w:t>Descriptive</w:t>
      </w:r>
      <w:r>
        <w:rPr>
          <w:spacing w:val="-15"/>
        </w:rPr>
        <w:t> </w:t>
      </w:r>
      <w:r>
        <w:rPr/>
        <w:t>statistics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1. In</w:t>
      </w:r>
      <w:r>
        <w:rPr>
          <w:spacing w:val="-15"/>
        </w:rPr>
        <w:t> </w:t>
      </w:r>
      <w:r>
        <w:rPr/>
        <w:t>total,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462</w:t>
      </w:r>
      <w:r>
        <w:rPr>
          <w:spacing w:val="-15"/>
        </w:rPr>
        <w:t> </w:t>
      </w:r>
      <w:r>
        <w:rPr/>
        <w:t>participants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study, including</w:t>
      </w:r>
      <w:r>
        <w:rPr>
          <w:spacing w:val="-6"/>
        </w:rPr>
        <w:t> </w:t>
      </w:r>
      <w:r>
        <w:rPr/>
        <w:t>177</w:t>
      </w:r>
      <w:r>
        <w:rPr>
          <w:spacing w:val="-6"/>
        </w:rPr>
        <w:t> </w:t>
      </w:r>
      <w:r>
        <w:rPr/>
        <w:t>girls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194</w:t>
      </w:r>
      <w:r>
        <w:rPr>
          <w:spacing w:val="-6"/>
        </w:rPr>
        <w:t> </w:t>
      </w:r>
      <w:r>
        <w:rPr/>
        <w:t>boys. Participants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13.65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old. 47.71%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participants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girls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52.29%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boys. 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12.13%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field 1, 26.15% in field 2, 10.24% in field 3, and approximately 51.48% in field 4.</w:t>
      </w:r>
      <w:r>
        <w:rPr>
          <w:spacing w:val="40"/>
        </w:rPr>
        <w:t> </w:t>
      </w:r>
      <w:r>
        <w:rPr/>
        <w:t>Regarding SPI categories, 31% were in the</w:t>
      </w:r>
      <w:r>
        <w:rPr>
          <w:spacing w:val="-1"/>
        </w:rPr>
        <w:t> </w:t>
      </w:r>
      <w:r>
        <w:rPr/>
        <w:t>low category, 22.37%</w:t>
      </w:r>
      <w:r>
        <w:rPr>
          <w:spacing w:val="-1"/>
        </w:rPr>
        <w:t> </w:t>
      </w:r>
      <w:r>
        <w:rPr/>
        <w:t>in the average category, and 46.63% in</w:t>
      </w:r>
      <w:r>
        <w:rPr>
          <w:spacing w:val="-1"/>
        </w:rPr>
        <w:t> </w:t>
      </w:r>
      <w:r>
        <w:rPr/>
        <w:t>the high</w:t>
      </w:r>
      <w:r>
        <w:rPr>
          <w:spacing w:val="-2"/>
        </w:rPr>
        <w:t> </w:t>
      </w:r>
      <w:r>
        <w:rPr/>
        <w:t>category.</w:t>
      </w:r>
      <w:r>
        <w:rPr>
          <w:spacing w:val="20"/>
        </w:rPr>
        <w:t> </w:t>
      </w:r>
      <w:r>
        <w:rPr/>
        <w:t>For</w:t>
      </w:r>
      <w:r>
        <w:rPr>
          <w:spacing w:val="-2"/>
        </w:rPr>
        <w:t> </w:t>
      </w:r>
      <w:r>
        <w:rPr/>
        <w:t>geographical</w:t>
      </w:r>
      <w:r>
        <w:rPr>
          <w:spacing w:val="-2"/>
        </w:rPr>
        <w:t> </w:t>
      </w:r>
      <w:r>
        <w:rPr/>
        <w:t>areas,</w:t>
      </w:r>
      <w:r>
        <w:rPr>
          <w:spacing w:val="-1"/>
        </w:rPr>
        <w:t> </w:t>
      </w:r>
      <w:r>
        <w:rPr/>
        <w:t>64.15%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urban</w:t>
      </w:r>
      <w:r>
        <w:rPr>
          <w:spacing w:val="-2"/>
        </w:rPr>
        <w:t> </w:t>
      </w:r>
      <w:r>
        <w:rPr/>
        <w:t>areas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35.85%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rural</w:t>
      </w:r>
      <w:r>
        <w:rPr>
          <w:spacing w:val="-2"/>
        </w:rPr>
        <w:t> </w:t>
      </w:r>
      <w:r>
        <w:rPr/>
        <w:t>areas. The average MVPA during 2 hours for participants was 35.14 minutes, with 31.4 minutes for girls and 38.5 minutes for boys.</w:t>
      </w:r>
      <w:r>
        <w:rPr>
          <w:spacing w:val="40"/>
        </w:rPr>
        <w:t> </w:t>
      </w:r>
      <w:r>
        <w:rPr/>
        <w:t>Details about the parents’ socio-professional categories are presented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1,</w:t>
      </w:r>
      <w:r>
        <w:rPr>
          <w:spacing w:val="-11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participants</w:t>
      </w:r>
      <w:r>
        <w:rPr>
          <w:spacing w:val="-13"/>
        </w:rPr>
        <w:t> </w:t>
      </w:r>
      <w:r>
        <w:rPr/>
        <w:t>whose</w:t>
      </w:r>
      <w:r>
        <w:rPr>
          <w:spacing w:val="-13"/>
        </w:rPr>
        <w:t> </w:t>
      </w:r>
      <w:r>
        <w:rPr/>
        <w:t>parents</w:t>
      </w:r>
      <w:r>
        <w:rPr>
          <w:spacing w:val="-13"/>
        </w:rPr>
        <w:t> </w:t>
      </w:r>
      <w:r>
        <w:rPr/>
        <w:t>hold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listed occupations.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proportion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girls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boys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fields,</w:t>
      </w:r>
      <w:r>
        <w:rPr>
          <w:spacing w:val="-15"/>
        </w:rPr>
        <w:t> </w:t>
      </w:r>
      <w:r>
        <w:rPr/>
        <w:t>SPI categories,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geographical</w:t>
      </w:r>
      <w:r>
        <w:rPr>
          <w:spacing w:val="-9"/>
        </w:rPr>
        <w:t> </w:t>
      </w:r>
      <w:r>
        <w:rPr/>
        <w:t>areas. Generally,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proportions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girls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boys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 variables are similar, except for certain modalities of these variables.</w:t>
      </w:r>
    </w:p>
    <w:p>
      <w:pPr>
        <w:spacing w:after="0" w:line="252" w:lineRule="auto"/>
        <w:jc w:val="both"/>
        <w:sectPr>
          <w:pgSz w:w="11910" w:h="16840"/>
          <w:pgMar w:header="0" w:footer="863" w:top="1360" w:bottom="1060" w:left="1320" w:right="1320"/>
        </w:sect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70"/>
        <w:gridCol w:w="1232"/>
        <w:gridCol w:w="1261"/>
        <w:gridCol w:w="1261"/>
      </w:tblGrid>
      <w:tr>
        <w:trPr>
          <w:trHeight w:val="394" w:hRule="atLeast"/>
        </w:trPr>
        <w:tc>
          <w:tcPr>
            <w:tcW w:w="527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Variables</w:t>
            </w:r>
          </w:p>
        </w:tc>
        <w:tc>
          <w:tcPr>
            <w:tcW w:w="123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Girls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Boys</w:t>
            </w:r>
          </w:p>
        </w:tc>
      </w:tr>
      <w:tr>
        <w:trPr>
          <w:trHeight w:val="342" w:hRule="atLeast"/>
        </w:trPr>
        <w:tc>
          <w:tcPr>
            <w:tcW w:w="52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Participants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5"/>
              <w:rPr>
                <w:b/>
                <w:sz w:val="24"/>
              </w:rPr>
            </w:pPr>
            <w:r>
              <w:rPr>
                <w:b/>
                <w:sz w:val="24"/>
              </w:rPr>
              <w:t>(n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462)</w:t>
            </w: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2" w:right="1"/>
              <w:rPr>
                <w:b/>
                <w:sz w:val="24"/>
              </w:rPr>
            </w:pPr>
            <w:r>
              <w:rPr>
                <w:b/>
                <w:sz w:val="24"/>
              </w:rPr>
              <w:t>(n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177)</w:t>
            </w: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(n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194)</w:t>
            </w:r>
          </w:p>
        </w:tc>
      </w:tr>
      <w:tr>
        <w:trPr>
          <w:trHeight w:val="281" w:hRule="atLeast"/>
        </w:trPr>
        <w:tc>
          <w:tcPr>
            <w:tcW w:w="5270" w:type="dxa"/>
          </w:tcPr>
          <w:p>
            <w:pPr>
              <w:pStyle w:val="TableParagraph"/>
              <w:spacing w:line="262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Participants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5"/>
                <w:sz w:val="24"/>
              </w:rPr>
              <w:t>(%)</w:t>
            </w:r>
          </w:p>
        </w:tc>
        <w:tc>
          <w:tcPr>
            <w:tcW w:w="1232" w:type="dxa"/>
          </w:tcPr>
          <w:p>
            <w:pPr>
              <w:pStyle w:val="TableParagraph"/>
              <w:spacing w:line="262" w:lineRule="exact"/>
              <w:ind w:right="25"/>
              <w:rPr>
                <w:sz w:val="24"/>
              </w:rPr>
            </w:pPr>
            <w:r>
              <w:rPr>
                <w:spacing w:val="-4"/>
                <w:sz w:val="24"/>
              </w:rPr>
              <w:t>100%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47.71%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52.29%</w:t>
            </w:r>
          </w:p>
        </w:tc>
      </w:tr>
      <w:tr>
        <w:trPr>
          <w:trHeight w:val="347" w:hRule="atLeast"/>
        </w:trPr>
        <w:tc>
          <w:tcPr>
            <w:tcW w:w="52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Average </w:t>
            </w: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13.65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 w:right="1"/>
              <w:rPr>
                <w:sz w:val="24"/>
              </w:rPr>
            </w:pPr>
            <w:r>
              <w:rPr>
                <w:spacing w:val="-2"/>
                <w:sz w:val="24"/>
              </w:rPr>
              <w:t>13.66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13.65</w:t>
            </w:r>
          </w:p>
        </w:tc>
      </w:tr>
      <w:tr>
        <w:trPr>
          <w:trHeight w:val="393" w:hRule="atLeast"/>
        </w:trPr>
        <w:tc>
          <w:tcPr>
            <w:tcW w:w="52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MVPA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(Average)</w:t>
            </w:r>
          </w:p>
        </w:tc>
        <w:tc>
          <w:tcPr>
            <w:tcW w:w="12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35.14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pacing w:val="-4"/>
                <w:sz w:val="24"/>
              </w:rPr>
              <w:t>31.4</w:t>
            </w:r>
          </w:p>
        </w:tc>
        <w:tc>
          <w:tcPr>
            <w:tcW w:w="1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"/>
              <w:rPr>
                <w:sz w:val="24"/>
              </w:rPr>
            </w:pPr>
            <w:r>
              <w:rPr>
                <w:spacing w:val="-4"/>
                <w:sz w:val="24"/>
              </w:rPr>
              <w:t>38.5</w:t>
            </w:r>
          </w:p>
        </w:tc>
      </w:tr>
      <w:tr>
        <w:trPr>
          <w:trHeight w:val="342" w:hRule="atLeast"/>
        </w:trPr>
        <w:tc>
          <w:tcPr>
            <w:tcW w:w="52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Parents’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Socio-Professional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Categories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(Number)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281" w:hRule="atLeast"/>
        </w:trPr>
        <w:tc>
          <w:tcPr>
            <w:tcW w:w="5270" w:type="dxa"/>
          </w:tcPr>
          <w:p>
            <w:pPr>
              <w:pStyle w:val="TableParagraph"/>
              <w:spacing w:line="262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Farmers</w:t>
            </w:r>
          </w:p>
        </w:tc>
        <w:tc>
          <w:tcPr>
            <w:tcW w:w="1232" w:type="dxa"/>
          </w:tcPr>
          <w:p>
            <w:pPr>
              <w:pStyle w:val="TableParagraph"/>
              <w:spacing w:line="262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 w:right="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Craftsmen,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Shopkeepers,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Owners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106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Inactive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Persons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82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Executives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Intellectual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Professions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47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Employees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213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123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Workers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66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Professions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116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57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Retirees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347" w:hRule="atLeast"/>
        </w:trPr>
        <w:tc>
          <w:tcPr>
            <w:tcW w:w="52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NA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342" w:hRule="atLeast"/>
        </w:trPr>
        <w:tc>
          <w:tcPr>
            <w:tcW w:w="52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Fields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281" w:hRule="atLeast"/>
        </w:trPr>
        <w:tc>
          <w:tcPr>
            <w:tcW w:w="5270" w:type="dxa"/>
          </w:tcPr>
          <w:p>
            <w:pPr>
              <w:pStyle w:val="TableParagraph"/>
              <w:spacing w:line="262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(performance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sports)</w:t>
            </w:r>
          </w:p>
        </w:tc>
        <w:tc>
          <w:tcPr>
            <w:tcW w:w="1232" w:type="dxa"/>
          </w:tcPr>
          <w:p>
            <w:pPr>
              <w:pStyle w:val="TableParagraph"/>
              <w:spacing w:line="262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12.13%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5.12%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7.01%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(outdoor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sports)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26.15%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13.75%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12.40%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(artistic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activities)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10.24%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4.31%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5.93%</w:t>
            </w:r>
          </w:p>
        </w:tc>
      </w:tr>
      <w:tr>
        <w:trPr>
          <w:trHeight w:val="347" w:hRule="atLeast"/>
        </w:trPr>
        <w:tc>
          <w:tcPr>
            <w:tcW w:w="52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(opposition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activities)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52.48%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24.53%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26.95%</w:t>
            </w:r>
          </w:p>
        </w:tc>
      </w:tr>
      <w:tr>
        <w:trPr>
          <w:trHeight w:val="342" w:hRule="atLeast"/>
        </w:trPr>
        <w:tc>
          <w:tcPr>
            <w:tcW w:w="52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Socio-Cultural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Categories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281" w:hRule="atLeast"/>
        </w:trPr>
        <w:tc>
          <w:tcPr>
            <w:tcW w:w="5270" w:type="dxa"/>
          </w:tcPr>
          <w:p>
            <w:pPr>
              <w:pStyle w:val="TableParagraph"/>
              <w:spacing w:line="262" w:lineRule="exact"/>
              <w:ind w:left="11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32" w:type="dxa"/>
          </w:tcPr>
          <w:p>
            <w:pPr>
              <w:pStyle w:val="TableParagraph"/>
              <w:spacing w:line="262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46.63%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16.17%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14.83%</w:t>
            </w:r>
          </w:p>
        </w:tc>
      </w:tr>
      <w:tr>
        <w:trPr>
          <w:trHeight w:val="288" w:hRule="atLeast"/>
        </w:trPr>
        <w:tc>
          <w:tcPr>
            <w:tcW w:w="5270" w:type="dxa"/>
          </w:tcPr>
          <w:p>
            <w:pPr>
              <w:pStyle w:val="TableParagraph"/>
              <w:spacing w:line="269" w:lineRule="exact"/>
              <w:ind w:left="11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32" w:type="dxa"/>
          </w:tcPr>
          <w:p>
            <w:pPr>
              <w:pStyle w:val="TableParagraph"/>
              <w:spacing w:line="269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22.37%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11.86%</w:t>
            </w:r>
          </w:p>
        </w:tc>
        <w:tc>
          <w:tcPr>
            <w:tcW w:w="1261" w:type="dxa"/>
          </w:tcPr>
          <w:p>
            <w:pPr>
              <w:pStyle w:val="TableParagraph"/>
              <w:spacing w:line="269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10.51%</w:t>
            </w:r>
          </w:p>
        </w:tc>
      </w:tr>
      <w:tr>
        <w:trPr>
          <w:trHeight w:val="347" w:hRule="atLeast"/>
        </w:trPr>
        <w:tc>
          <w:tcPr>
            <w:tcW w:w="52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Average</w:t>
            </w:r>
          </w:p>
        </w:tc>
        <w:tc>
          <w:tcPr>
            <w:tcW w:w="12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right="25"/>
              <w:rPr>
                <w:sz w:val="24"/>
              </w:rPr>
            </w:pPr>
            <w:r>
              <w:rPr>
                <w:spacing w:val="-5"/>
                <w:sz w:val="24"/>
              </w:rPr>
              <w:t>31%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19.68%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26.95%</w:t>
            </w:r>
          </w:p>
        </w:tc>
      </w:tr>
      <w:tr>
        <w:trPr>
          <w:trHeight w:val="342" w:hRule="atLeast"/>
        </w:trPr>
        <w:tc>
          <w:tcPr>
            <w:tcW w:w="52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Geographical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Area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281" w:hRule="atLeast"/>
        </w:trPr>
        <w:tc>
          <w:tcPr>
            <w:tcW w:w="5270" w:type="dxa"/>
          </w:tcPr>
          <w:p>
            <w:pPr>
              <w:pStyle w:val="TableParagraph"/>
              <w:spacing w:line="262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1232" w:type="dxa"/>
          </w:tcPr>
          <w:p>
            <w:pPr>
              <w:pStyle w:val="TableParagraph"/>
              <w:spacing w:line="262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35.85%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17.79%</w:t>
            </w:r>
          </w:p>
        </w:tc>
        <w:tc>
          <w:tcPr>
            <w:tcW w:w="1261" w:type="dxa"/>
          </w:tcPr>
          <w:p>
            <w:pPr>
              <w:pStyle w:val="TableParagraph"/>
              <w:spacing w:line="262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18.06%</w:t>
            </w:r>
          </w:p>
        </w:tc>
      </w:tr>
      <w:tr>
        <w:trPr>
          <w:trHeight w:val="348" w:hRule="atLeast"/>
        </w:trPr>
        <w:tc>
          <w:tcPr>
            <w:tcW w:w="52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123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ind w:right="25"/>
              <w:rPr>
                <w:sz w:val="24"/>
              </w:rPr>
            </w:pPr>
            <w:r>
              <w:rPr>
                <w:spacing w:val="-2"/>
                <w:sz w:val="24"/>
              </w:rPr>
              <w:t>64.15%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29.92%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34.23%</w:t>
            </w:r>
          </w:p>
        </w:tc>
      </w:tr>
    </w:tbl>
    <w:p>
      <w:pPr>
        <w:pStyle w:val="BodyText"/>
        <w:spacing w:before="27"/>
      </w:pPr>
    </w:p>
    <w:p>
      <w:pPr>
        <w:pStyle w:val="BodyText"/>
        <w:jc w:val="center"/>
      </w:pPr>
      <w:r>
        <w:rPr/>
        <w:t>Table</w:t>
      </w:r>
      <w:r>
        <w:rPr>
          <w:spacing w:val="-13"/>
        </w:rPr>
        <w:t> </w:t>
      </w:r>
      <w:r>
        <w:rPr/>
        <w:t>1: Descriptive</w:t>
      </w:r>
      <w:r>
        <w:rPr>
          <w:spacing w:val="-12"/>
        </w:rPr>
        <w:t> </w:t>
      </w:r>
      <w:r>
        <w:rPr/>
        <w:t>Statistics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Participants</w:t>
      </w:r>
    </w:p>
    <w:p>
      <w:pPr>
        <w:pStyle w:val="BodyText"/>
        <w:spacing w:before="67"/>
      </w:pPr>
    </w:p>
    <w:p>
      <w:pPr>
        <w:spacing w:before="1"/>
        <w:ind w:left="47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Engagement Difference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by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Gender</w:t>
      </w:r>
    </w:p>
    <w:p>
      <w:pPr>
        <w:pStyle w:val="BodyText"/>
        <w:spacing w:before="25"/>
        <w:rPr>
          <w:i/>
        </w:rPr>
      </w:pPr>
    </w:p>
    <w:p>
      <w:pPr>
        <w:pStyle w:val="BodyText"/>
        <w:spacing w:line="249" w:lineRule="auto"/>
        <w:ind w:left="120" w:right="117" w:firstLine="351"/>
        <w:jc w:val="both"/>
      </w:pPr>
      <w:r>
        <w:rPr/>
        <w:t>Analysis of PE engagement differences between boys and girls shows significant differ- ences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genders</w:t>
      </w:r>
      <w:r>
        <w:rPr>
          <w:spacing w:val="-4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gender</w:t>
      </w:r>
      <w:r>
        <w:rPr>
          <w:spacing w:val="-4"/>
        </w:rPr>
        <w:t> </w:t>
      </w:r>
      <w:r>
        <w:rPr/>
        <w:t>factor</w:t>
      </w:r>
      <w:r>
        <w:rPr>
          <w:spacing w:val="-3"/>
        </w:rPr>
        <w:t> </w:t>
      </w:r>
      <w:r>
        <w:rPr/>
        <w:t>(F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49.381,</w:t>
      </w:r>
      <w:r>
        <w:rPr>
          <w:spacing w:val="-3"/>
        </w:rPr>
        <w:t> </w:t>
      </w:r>
      <w:r>
        <w:rPr/>
        <w:t>p</w:t>
      </w:r>
      <w:r>
        <w:rPr>
          <w:spacing w:val="-4"/>
        </w:rPr>
        <w:t> </w:t>
      </w:r>
      <w:r>
        <w:rPr/>
        <w:t>&lt; 0.05, </w:t>
      </w:r>
      <w:r>
        <w:rPr>
          <w:rFonts w:ascii="Arial" w:hAnsi="Arial"/>
          <w:i/>
        </w:rPr>
        <w:t>ω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= 0.09). Table 2 of mean comparisons indicates that boys engage more than girls.</w:t>
      </w:r>
    </w:p>
    <w:p>
      <w:pPr>
        <w:pStyle w:val="BodyText"/>
        <w:spacing w:before="16"/>
      </w:pPr>
    </w:p>
    <w:p>
      <w:pPr>
        <w:spacing w:before="0"/>
        <w:ind w:left="471" w:right="0" w:firstLine="0"/>
        <w:jc w:val="left"/>
        <w:rPr>
          <w:i/>
          <w:sz w:val="24"/>
        </w:rPr>
      </w:pPr>
      <w:r>
        <w:rPr>
          <w:i/>
          <w:sz w:val="24"/>
        </w:rPr>
        <w:t>Engagement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Difference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Gender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according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Fields</w:t>
      </w:r>
    </w:p>
    <w:p>
      <w:pPr>
        <w:pStyle w:val="BodyText"/>
        <w:spacing w:line="252" w:lineRule="auto" w:before="13"/>
        <w:ind w:left="120"/>
      </w:pPr>
      <w:r>
        <w:rPr/>
        <w:t>When analyzing the impact of learning fields on MVPA differences between girls and </w:t>
      </w:r>
      <w:r>
        <w:rPr/>
        <w:t>boys, results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gender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fields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(F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8.325,</w:t>
      </w:r>
      <w:r>
        <w:rPr>
          <w:spacing w:val="-6"/>
        </w:rPr>
        <w:t> </w:t>
      </w:r>
      <w:r>
        <w:rPr>
          <w:spacing w:val="-10"/>
        </w:rPr>
        <w:t>p</w:t>
      </w:r>
    </w:p>
    <w:p>
      <w:pPr>
        <w:pStyle w:val="BodyText"/>
        <w:spacing w:line="249" w:lineRule="auto"/>
        <w:ind w:left="120"/>
      </w:pPr>
      <w:r>
        <w:rPr/>
        <w:t>&lt;</w:t>
      </w:r>
      <w:r>
        <w:rPr>
          <w:spacing w:val="-13"/>
        </w:rPr>
        <w:t> </w:t>
      </w:r>
      <w:r>
        <w:rPr/>
        <w:t>0.05,</w:t>
      </w:r>
      <w:r>
        <w:rPr>
          <w:spacing w:val="-12"/>
        </w:rPr>
        <w:t> </w:t>
      </w:r>
      <w:r>
        <w:rPr>
          <w:rFonts w:ascii="Arial" w:hAnsi="Arial"/>
          <w:i/>
        </w:rPr>
        <w:t>ω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0.05). Table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spacing w:val="-13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MVPA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vary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girls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boys</w:t>
      </w:r>
      <w:r>
        <w:rPr>
          <w:spacing w:val="-12"/>
          <w:vertAlign w:val="baseline"/>
        </w:rPr>
        <w:t> </w:t>
      </w:r>
      <w:r>
        <w:rPr>
          <w:vertAlign w:val="baseline"/>
        </w:rPr>
        <w:t>(boys engage more than girls) in different learning fields.</w:t>
      </w:r>
    </w:p>
    <w:p>
      <w:pPr>
        <w:spacing w:after="0" w:line="249" w:lineRule="auto"/>
        <w:sectPr>
          <w:pgSz w:w="11910" w:h="16840"/>
          <w:pgMar w:header="0" w:footer="863" w:top="1420" w:bottom="1060" w:left="1320" w:right="1320"/>
        </w:sectPr>
      </w:pPr>
    </w:p>
    <w:p>
      <w:pPr>
        <w:pStyle w:val="BodyText"/>
        <w:ind w:left="625"/>
        <w:rPr>
          <w:sz w:val="20"/>
        </w:rPr>
      </w:pPr>
      <w:r>
        <w:rPr>
          <w:sz w:val="20"/>
        </w:rPr>
        <w:drawing>
          <wp:inline distT="0" distB="0" distL="0" distR="0">
            <wp:extent cx="4988552" cy="307676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552" cy="30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0"/>
      </w:pPr>
    </w:p>
    <w:p>
      <w:pPr>
        <w:pStyle w:val="BodyText"/>
        <w:ind w:left="692"/>
      </w:pPr>
      <w:r>
        <w:rPr/>
        <w:t>Figure</w:t>
      </w:r>
      <w:r>
        <w:rPr>
          <w:spacing w:val="-8"/>
        </w:rPr>
        <w:t> </w:t>
      </w:r>
      <w:r>
        <w:rPr/>
        <w:t>1:</w:t>
      </w:r>
      <w:r>
        <w:rPr>
          <w:spacing w:val="7"/>
        </w:rPr>
        <w:t> </w:t>
      </w:r>
      <w:r>
        <w:rPr/>
        <w:t>Mean</w:t>
      </w:r>
      <w:r>
        <w:rPr>
          <w:spacing w:val="-8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Girls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Boys</w:t>
      </w:r>
      <w:r>
        <w:rPr>
          <w:spacing w:val="-7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>
          <w:spacing w:val="-2"/>
        </w:rPr>
        <w:t>Fields</w:t>
      </w:r>
    </w:p>
    <w:p>
      <w:pPr>
        <w:pStyle w:val="BodyText"/>
        <w:spacing w:before="68"/>
      </w:pPr>
    </w:p>
    <w:p>
      <w:pPr>
        <w:pStyle w:val="BodyText"/>
        <w:ind w:left="471"/>
      </w:pPr>
      <w:r>
        <w:rPr/>
        <w:t>In Learning Fields 1,</w:t>
      </w:r>
      <w:r>
        <w:rPr>
          <w:spacing w:val="2"/>
        </w:rPr>
        <w:t> </w:t>
      </w:r>
      <w:r>
        <w:rPr/>
        <w:t>2,</w:t>
      </w:r>
      <w:r>
        <w:rPr>
          <w:spacing w:val="2"/>
        </w:rPr>
        <w:t> </w:t>
      </w:r>
      <w:r>
        <w:rPr/>
        <w:t>and 3,</w:t>
      </w:r>
      <w:r>
        <w:rPr>
          <w:spacing w:val="2"/>
        </w:rPr>
        <w:t> </w:t>
      </w:r>
      <w:r>
        <w:rPr/>
        <w:t>there are no</w:t>
      </w:r>
      <w:r>
        <w:rPr>
          <w:spacing w:val="1"/>
        </w:rPr>
        <w:t> </w:t>
      </w:r>
      <w:r>
        <w:rPr/>
        <w:t>significant differences between girls and </w:t>
      </w:r>
      <w:r>
        <w:rPr>
          <w:spacing w:val="-2"/>
        </w:rPr>
        <w:t>boys.</w:t>
      </w:r>
    </w:p>
    <w:p>
      <w:pPr>
        <w:pStyle w:val="BodyText"/>
        <w:spacing w:before="13"/>
        <w:ind w:left="120"/>
        <w:jc w:val="both"/>
      </w:pPr>
      <w:r>
        <w:rPr/>
        <w:t>However,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4,</w:t>
      </w:r>
      <w:r>
        <w:rPr>
          <w:spacing w:val="-12"/>
        </w:rPr>
        <w:t> </w:t>
      </w:r>
      <w:r>
        <w:rPr/>
        <w:t>boys</w:t>
      </w:r>
      <w:r>
        <w:rPr>
          <w:spacing w:val="-11"/>
        </w:rPr>
        <w:t> </w:t>
      </w:r>
      <w:r>
        <w:rPr/>
        <w:t>engage</w:t>
      </w:r>
      <w:r>
        <w:rPr>
          <w:spacing w:val="-11"/>
        </w:rPr>
        <w:t> </w:t>
      </w:r>
      <w:r>
        <w:rPr/>
        <w:t>significantly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>
          <w:spacing w:val="-2"/>
        </w:rPr>
        <w:t>girls.</w:t>
      </w:r>
    </w:p>
    <w:p>
      <w:pPr>
        <w:pStyle w:val="BodyText"/>
        <w:spacing w:before="25"/>
      </w:pPr>
    </w:p>
    <w:p>
      <w:pPr>
        <w:spacing w:before="1"/>
        <w:ind w:left="471" w:right="0" w:firstLine="0"/>
        <w:jc w:val="left"/>
        <w:rPr>
          <w:i/>
          <w:sz w:val="24"/>
        </w:rPr>
      </w:pPr>
      <w:r>
        <w:rPr>
          <w:i/>
          <w:sz w:val="24"/>
        </w:rPr>
        <w:t>Engagement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Difference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Gender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according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pacing w:val="-5"/>
          <w:sz w:val="24"/>
        </w:rPr>
        <w:t>SPI</w:t>
      </w:r>
    </w:p>
    <w:p>
      <w:pPr>
        <w:pStyle w:val="BodyText"/>
        <w:spacing w:line="252" w:lineRule="auto" w:before="12"/>
        <w:ind w:left="120" w:right="118"/>
        <w:jc w:val="both"/>
      </w:pPr>
      <w:r>
        <w:rPr/>
        <w:t>Analysis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MVPA</w:t>
      </w:r>
      <w:r>
        <w:rPr>
          <w:spacing w:val="-14"/>
        </w:rPr>
        <w:t> </w:t>
      </w:r>
      <w:r>
        <w:rPr/>
        <w:t>differences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girls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boys</w:t>
      </w:r>
      <w:r>
        <w:rPr>
          <w:spacing w:val="-14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SPI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schools shows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neither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SPI</w:t>
      </w:r>
      <w:r>
        <w:rPr>
          <w:spacing w:val="-6"/>
        </w:rPr>
        <w:t> </w:t>
      </w:r>
      <w:r>
        <w:rPr/>
        <w:t>factor</w:t>
      </w:r>
      <w:r>
        <w:rPr>
          <w:spacing w:val="-6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gender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SPI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(p</w:t>
      </w:r>
      <w:r>
        <w:rPr>
          <w:spacing w:val="-6"/>
        </w:rPr>
        <w:t> </w:t>
      </w:r>
      <w:r>
        <w:rPr/>
        <w:t>&gt; 0.05). Thus,</w:t>
      </w:r>
      <w:r>
        <w:rPr>
          <w:spacing w:val="-14"/>
        </w:rPr>
        <w:t> </w:t>
      </w:r>
      <w:r>
        <w:rPr/>
        <w:t>gender</w:t>
      </w:r>
      <w:r>
        <w:rPr>
          <w:spacing w:val="-15"/>
        </w:rPr>
        <w:t> </w:t>
      </w:r>
      <w:r>
        <w:rPr/>
        <w:t>remains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factor</w:t>
      </w:r>
      <w:r>
        <w:rPr>
          <w:spacing w:val="-15"/>
        </w:rPr>
        <w:t> </w:t>
      </w:r>
      <w:r>
        <w:rPr/>
        <w:t>influencing</w:t>
      </w:r>
      <w:r>
        <w:rPr>
          <w:spacing w:val="-15"/>
        </w:rPr>
        <w:t> </w:t>
      </w:r>
      <w:r>
        <w:rPr/>
        <w:t>PE</w:t>
      </w:r>
      <w:r>
        <w:rPr>
          <w:spacing w:val="-15"/>
        </w:rPr>
        <w:t> </w:t>
      </w:r>
      <w:r>
        <w:rPr/>
        <w:t>engagement</w:t>
      </w:r>
      <w:r>
        <w:rPr>
          <w:spacing w:val="-15"/>
        </w:rPr>
        <w:t> </w:t>
      </w:r>
      <w:r>
        <w:rPr/>
        <w:t>differences,</w:t>
      </w:r>
      <w:r>
        <w:rPr>
          <w:spacing w:val="-14"/>
        </w:rPr>
        <w:t> </w:t>
      </w:r>
      <w:r>
        <w:rPr/>
        <w:t>regardless of the school’s SPI.</w:t>
      </w:r>
    </w:p>
    <w:p>
      <w:pPr>
        <w:pStyle w:val="BodyText"/>
        <w:spacing w:before="10"/>
      </w:pPr>
    </w:p>
    <w:p>
      <w:pPr>
        <w:spacing w:before="0"/>
        <w:ind w:left="471" w:right="0" w:firstLine="0"/>
        <w:jc w:val="left"/>
        <w:rPr>
          <w:i/>
          <w:sz w:val="24"/>
        </w:rPr>
      </w:pPr>
      <w:r>
        <w:rPr>
          <w:i/>
          <w:sz w:val="24"/>
        </w:rPr>
        <w:t>Engagement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Difference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Gender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according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Geographical</w:t>
      </w:r>
      <w:r>
        <w:rPr>
          <w:i/>
          <w:spacing w:val="-14"/>
          <w:sz w:val="24"/>
        </w:rPr>
        <w:t> </w:t>
      </w:r>
      <w:r>
        <w:rPr>
          <w:i/>
          <w:spacing w:val="-4"/>
          <w:sz w:val="24"/>
        </w:rPr>
        <w:t>Area</w:t>
      </w:r>
    </w:p>
    <w:p>
      <w:pPr>
        <w:pStyle w:val="BodyText"/>
        <w:spacing w:line="249" w:lineRule="auto" w:before="13"/>
        <w:ind w:left="120" w:right="118"/>
        <w:jc w:val="both"/>
      </w:pPr>
      <w:r>
        <w:rPr/>
        <w:t>Analysis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geographical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(urban</w:t>
      </w:r>
      <w:r>
        <w:rPr>
          <w:spacing w:val="-3"/>
        </w:rPr>
        <w:t> </w:t>
      </w:r>
      <w:r>
        <w:rPr/>
        <w:t>vs. rural)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gender</w:t>
      </w:r>
      <w:r>
        <w:rPr>
          <w:spacing w:val="-3"/>
        </w:rPr>
        <w:t> </w:t>
      </w:r>
      <w:r>
        <w:rPr/>
        <w:t>and geographical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(F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12.6145,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0.05,</w:t>
      </w:r>
      <w:r>
        <w:rPr>
          <w:spacing w:val="-4"/>
        </w:rPr>
        <w:t> </w:t>
      </w:r>
      <w:r>
        <w:rPr>
          <w:rFonts w:ascii="Arial" w:hAnsi="Arial"/>
          <w:i/>
        </w:rPr>
        <w:t>ω</w:t>
      </w:r>
      <w:r>
        <w:rPr>
          <w:rFonts w:ascii="Trebuchet MS" w:hAnsi="Trebuchet MS"/>
          <w:vertAlign w:val="superscript"/>
        </w:rPr>
        <w:t>2</w:t>
      </w:r>
      <w:r>
        <w:rPr>
          <w:rFonts w:ascii="Trebuchet MS" w:hAnsi="Trebuchet MS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0.02).</w:t>
      </w:r>
      <w:r>
        <w:rPr>
          <w:spacing w:val="15"/>
          <w:vertAlign w:val="baseline"/>
        </w:rPr>
        <w:t> </w:t>
      </w:r>
      <w:r>
        <w:rPr>
          <w:vertAlign w:val="baseline"/>
        </w:rPr>
        <w:t>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spacing w:val="-6"/>
          <w:vertAlign w:val="baseline"/>
        </w:rPr>
        <w:t> </w:t>
      </w:r>
      <w:r>
        <w:rPr>
          <w:vertAlign w:val="baseline"/>
        </w:rPr>
        <w:t>shows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MVPA differences between girls and boys are significantly higher in urban areas than in rural areas.</w:t>
      </w:r>
    </w:p>
    <w:p>
      <w:pPr>
        <w:spacing w:after="0" w:line="249" w:lineRule="auto"/>
        <w:jc w:val="both"/>
        <w:sectPr>
          <w:pgSz w:w="11910" w:h="16840"/>
          <w:pgMar w:header="0" w:footer="863" w:top="1520" w:bottom="1060" w:left="1320" w:right="1320"/>
        </w:sectPr>
      </w:pPr>
    </w:p>
    <w:p>
      <w:pPr>
        <w:pStyle w:val="BodyText"/>
        <w:ind w:left="541"/>
        <w:rPr>
          <w:sz w:val="20"/>
        </w:rPr>
      </w:pPr>
      <w:r>
        <w:rPr>
          <w:sz w:val="20"/>
        </w:rPr>
        <w:drawing>
          <wp:inline distT="0" distB="0" distL="0" distR="0">
            <wp:extent cx="5167312" cy="320078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312" cy="32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7"/>
        <w:jc w:val="center"/>
      </w:pPr>
      <w:r>
        <w:rPr/>
        <w:t>Figure</w:t>
      </w:r>
      <w:r>
        <w:rPr>
          <w:spacing w:val="-8"/>
        </w:rPr>
        <w:t> </w:t>
      </w:r>
      <w:r>
        <w:rPr/>
        <w:t>2:</w:t>
      </w:r>
      <w:r>
        <w:rPr>
          <w:spacing w:val="6"/>
        </w:rPr>
        <w:t> </w:t>
      </w:r>
      <w:r>
        <w:rPr/>
        <w:t>Mean</w:t>
      </w:r>
      <w:r>
        <w:rPr>
          <w:spacing w:val="-8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between</w:t>
      </w:r>
      <w:r>
        <w:rPr>
          <w:spacing w:val="-8"/>
        </w:rPr>
        <w:t> </w:t>
      </w:r>
      <w:r>
        <w:rPr/>
        <w:t>Girls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Boys</w:t>
      </w:r>
      <w:r>
        <w:rPr>
          <w:spacing w:val="-8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Geographical</w:t>
      </w:r>
      <w:r>
        <w:rPr>
          <w:spacing w:val="-7"/>
        </w:rPr>
        <w:t> </w:t>
      </w:r>
      <w:r>
        <w:rPr>
          <w:spacing w:val="-4"/>
        </w:rPr>
        <w:t>Area</w:t>
      </w:r>
    </w:p>
    <w:p>
      <w:pPr>
        <w:pStyle w:val="BodyText"/>
        <w:spacing w:before="67"/>
      </w:pPr>
    </w:p>
    <w:p>
      <w:pPr>
        <w:pStyle w:val="BodyText"/>
        <w:spacing w:line="252" w:lineRule="auto"/>
        <w:ind w:left="120" w:firstLine="351"/>
      </w:pPr>
      <w:r>
        <w:rPr/>
        <w:t>In urban areas, boys have significantly higher MVPA differences than girls (p &lt; 0.001),</w:t>
      </w:r>
      <w:r>
        <w:rPr>
          <w:spacing w:val="40"/>
        </w:rPr>
        <w:t> </w:t>
      </w:r>
      <w:r>
        <w:rPr/>
        <w:t>whereas in rural areas, this difference is not significant (cf. figure 2).</w:t>
      </w:r>
    </w:p>
    <w:p>
      <w:pPr>
        <w:pStyle w:val="BodyText"/>
        <w:spacing w:before="64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1685"/>
        <w:gridCol w:w="1875"/>
        <w:gridCol w:w="1501"/>
        <w:gridCol w:w="1768"/>
      </w:tblGrid>
      <w:tr>
        <w:trPr>
          <w:trHeight w:val="1839" w:hRule="atLeast"/>
        </w:trPr>
        <w:tc>
          <w:tcPr>
            <w:tcW w:w="219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68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52" w:lineRule="auto" w:before="44"/>
              <w:ind w:left="133" w:right="134" w:hanging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Estimated </w:t>
            </w:r>
            <w:r>
              <w:rPr>
                <w:b/>
                <w:spacing w:val="-4"/>
                <w:sz w:val="24"/>
              </w:rPr>
              <w:t>Mean </w:t>
            </w:r>
            <w:r>
              <w:rPr>
                <w:b/>
                <w:spacing w:val="-2"/>
                <w:sz w:val="24"/>
              </w:rPr>
              <w:t>Difference </w:t>
            </w:r>
            <w:r>
              <w:rPr>
                <w:b/>
                <w:sz w:val="24"/>
              </w:rPr>
              <w:t>between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Girls and Boys</w:t>
            </w:r>
          </w:p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(F-</w:t>
            </w:r>
            <w:r>
              <w:rPr>
                <w:b/>
                <w:spacing w:val="-7"/>
                <w:sz w:val="24"/>
              </w:rPr>
              <w:t>M)</w:t>
            </w:r>
          </w:p>
        </w:tc>
        <w:tc>
          <w:tcPr>
            <w:tcW w:w="187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1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95%</w:t>
            </w:r>
          </w:p>
          <w:p>
            <w:pPr>
              <w:pStyle w:val="TableParagraph"/>
              <w:spacing w:line="252" w:lineRule="auto" w:before="13"/>
              <w:ind w:right="13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Confidence </w:t>
            </w:r>
            <w:r>
              <w:rPr>
                <w:b/>
                <w:spacing w:val="-2"/>
                <w:sz w:val="24"/>
              </w:rPr>
              <w:t>Interval</w:t>
            </w:r>
          </w:p>
        </w:tc>
        <w:tc>
          <w:tcPr>
            <w:tcW w:w="150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P-value</w:t>
            </w:r>
          </w:p>
        </w:tc>
        <w:tc>
          <w:tcPr>
            <w:tcW w:w="176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Effect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Size</w:t>
            </w:r>
          </w:p>
        </w:tc>
      </w:tr>
      <w:tr>
        <w:trPr>
          <w:trHeight w:val="393" w:hRule="atLeast"/>
        </w:trPr>
        <w:tc>
          <w:tcPr>
            <w:tcW w:w="21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Overall</w:t>
            </w:r>
          </w:p>
        </w:tc>
        <w:tc>
          <w:tcPr>
            <w:tcW w:w="168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5.57</w:t>
            </w:r>
          </w:p>
        </w:tc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138"/>
              <w:rPr>
                <w:sz w:val="24"/>
              </w:rPr>
            </w:pPr>
            <w:r>
              <w:rPr>
                <w:sz w:val="24"/>
              </w:rPr>
              <w:t>-7.13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>4.01</w:t>
            </w:r>
          </w:p>
        </w:tc>
        <w:tc>
          <w:tcPr>
            <w:tcW w:w="15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91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0.0001</w:t>
            </w:r>
          </w:p>
        </w:tc>
        <w:tc>
          <w:tcPr>
            <w:tcW w:w="17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59"/>
              <w:rPr>
                <w:sz w:val="24"/>
              </w:rPr>
            </w:pPr>
            <w:r>
              <w:rPr>
                <w:spacing w:val="-4"/>
                <w:sz w:val="24"/>
              </w:rPr>
              <w:t>0.09</w:t>
            </w:r>
          </w:p>
        </w:tc>
      </w:tr>
      <w:tr>
        <w:trPr>
          <w:trHeight w:val="623" w:hRule="atLeast"/>
        </w:trPr>
        <w:tc>
          <w:tcPr>
            <w:tcW w:w="21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Fields</w:t>
            </w:r>
          </w:p>
          <w:p>
            <w:pPr>
              <w:pStyle w:val="TableParagraph"/>
              <w:spacing w:line="272" w:lineRule="exact" w:before="13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-4.4548</w:t>
            </w:r>
          </w:p>
        </w:tc>
        <w:tc>
          <w:tcPr>
            <w:tcW w:w="18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left="1" w:right="138"/>
              <w:rPr>
                <w:sz w:val="24"/>
              </w:rPr>
            </w:pPr>
            <w:r>
              <w:rPr>
                <w:sz w:val="24"/>
              </w:rPr>
              <w:t>-12.010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5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0.6235</w:t>
            </w:r>
          </w:p>
        </w:tc>
        <w:tc>
          <w:tcPr>
            <w:tcW w:w="1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59"/>
              <w:rPr>
                <w:sz w:val="24"/>
              </w:rPr>
            </w:pPr>
            <w:r>
              <w:rPr>
                <w:spacing w:val="-4"/>
                <w:sz w:val="24"/>
              </w:rPr>
              <w:t>0.05</w:t>
            </w:r>
          </w:p>
        </w:tc>
      </w:tr>
      <w:tr>
        <w:trPr>
          <w:trHeight w:val="577" w:hRule="atLeast"/>
        </w:trPr>
        <w:tc>
          <w:tcPr>
            <w:tcW w:w="2195" w:type="dxa"/>
          </w:tcPr>
          <w:p>
            <w:pPr>
              <w:pStyle w:val="TableParagraph"/>
              <w:spacing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85" w:type="dxa"/>
          </w:tcPr>
          <w:p>
            <w:pPr>
              <w:pStyle w:val="TableParagraph"/>
              <w:spacing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-1.4898</w:t>
            </w:r>
          </w:p>
        </w:tc>
        <w:tc>
          <w:tcPr>
            <w:tcW w:w="1875" w:type="dxa"/>
          </w:tcPr>
          <w:p>
            <w:pPr>
              <w:pStyle w:val="TableParagraph"/>
              <w:spacing w:line="273" w:lineRule="exact"/>
              <w:ind w:right="138"/>
              <w:rPr>
                <w:sz w:val="24"/>
              </w:rPr>
            </w:pPr>
            <w:r>
              <w:rPr>
                <w:spacing w:val="-2"/>
                <w:sz w:val="24"/>
              </w:rPr>
              <w:t>3.100</w:t>
            </w:r>
          </w:p>
          <w:p>
            <w:pPr>
              <w:pStyle w:val="TableParagraph"/>
              <w:spacing w:line="272" w:lineRule="exact" w:before="13"/>
              <w:ind w:left="1" w:right="138"/>
              <w:rPr>
                <w:sz w:val="24"/>
              </w:rPr>
            </w:pPr>
            <w:r>
              <w:rPr>
                <w:sz w:val="24"/>
              </w:rPr>
              <w:t>-6.4730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1501" w:type="dxa"/>
          </w:tcPr>
          <w:p>
            <w:pPr>
              <w:pStyle w:val="TableParagraph"/>
              <w:spacing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0.9850</w:t>
            </w:r>
          </w:p>
        </w:tc>
        <w:tc>
          <w:tcPr>
            <w:tcW w:w="1768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577" w:hRule="atLeast"/>
        </w:trPr>
        <w:tc>
          <w:tcPr>
            <w:tcW w:w="2195" w:type="dxa"/>
          </w:tcPr>
          <w:p>
            <w:pPr>
              <w:pStyle w:val="TableParagraph"/>
              <w:spacing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85" w:type="dxa"/>
          </w:tcPr>
          <w:p>
            <w:pPr>
              <w:pStyle w:val="TableParagraph"/>
              <w:spacing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-1.7470</w:t>
            </w:r>
          </w:p>
        </w:tc>
        <w:tc>
          <w:tcPr>
            <w:tcW w:w="1875" w:type="dxa"/>
          </w:tcPr>
          <w:p>
            <w:pPr>
              <w:pStyle w:val="TableParagraph"/>
              <w:spacing w:line="273" w:lineRule="exact"/>
              <w:ind w:right="138"/>
              <w:rPr>
                <w:sz w:val="24"/>
              </w:rPr>
            </w:pPr>
            <w:r>
              <w:rPr>
                <w:spacing w:val="-2"/>
                <w:sz w:val="24"/>
              </w:rPr>
              <w:t>3.493</w:t>
            </w:r>
          </w:p>
          <w:p>
            <w:pPr>
              <w:pStyle w:val="TableParagraph"/>
              <w:spacing w:line="272" w:lineRule="exact" w:before="13"/>
              <w:ind w:left="1" w:right="138"/>
              <w:rPr>
                <w:sz w:val="24"/>
              </w:rPr>
            </w:pPr>
            <w:r>
              <w:rPr>
                <w:sz w:val="24"/>
              </w:rPr>
              <w:t>-6.759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3.265</w:t>
            </w:r>
          </w:p>
        </w:tc>
        <w:tc>
          <w:tcPr>
            <w:tcW w:w="1501" w:type="dxa"/>
          </w:tcPr>
          <w:p>
            <w:pPr>
              <w:pStyle w:val="TableParagraph"/>
              <w:spacing w:before="10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0.96</w:t>
            </w:r>
          </w:p>
        </w:tc>
        <w:tc>
          <w:tcPr>
            <w:tcW w:w="1768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636" w:hRule="atLeast"/>
        </w:trPr>
        <w:tc>
          <w:tcPr>
            <w:tcW w:w="21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Field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-9.7647</w:t>
            </w:r>
          </w:p>
        </w:tc>
        <w:tc>
          <w:tcPr>
            <w:tcW w:w="18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left="1" w:right="138"/>
              <w:rPr>
                <w:sz w:val="24"/>
              </w:rPr>
            </w:pPr>
            <w:r>
              <w:rPr>
                <w:sz w:val="24"/>
              </w:rPr>
              <w:t>-13.286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spacing w:before="13"/>
              <w:ind w:right="138"/>
              <w:rPr>
                <w:sz w:val="24"/>
              </w:rPr>
            </w:pPr>
            <w:r>
              <w:rPr>
                <w:spacing w:val="-2"/>
                <w:sz w:val="24"/>
              </w:rPr>
              <w:t>-6.244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3" w:lineRule="exact"/>
              <w:ind w:right="91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0.0001</w:t>
            </w:r>
          </w:p>
        </w:tc>
        <w:tc>
          <w:tcPr>
            <w:tcW w:w="1768" w:type="dxa"/>
            <w:tcBorders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21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Geographical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Area</w:t>
            </w:r>
          </w:p>
          <w:p>
            <w:pPr>
              <w:pStyle w:val="TableParagraph"/>
              <w:spacing w:line="272" w:lineRule="exact" w:before="13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16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2.44</w:t>
            </w:r>
          </w:p>
        </w:tc>
        <w:tc>
          <w:tcPr>
            <w:tcW w:w="18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left="1" w:right="138"/>
              <w:rPr>
                <w:sz w:val="24"/>
              </w:rPr>
            </w:pPr>
            <w:r>
              <w:rPr>
                <w:sz w:val="24"/>
              </w:rPr>
              <w:t>-5.49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0.602</w:t>
            </w:r>
          </w:p>
        </w:tc>
        <w:tc>
          <w:tcPr>
            <w:tcW w:w="15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jc w:val="left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0.1650</w:t>
            </w:r>
          </w:p>
        </w:tc>
        <w:tc>
          <w:tcPr>
            <w:tcW w:w="1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59"/>
              <w:rPr>
                <w:sz w:val="24"/>
              </w:rPr>
            </w:pPr>
            <w:r>
              <w:rPr>
                <w:spacing w:val="-4"/>
                <w:sz w:val="24"/>
              </w:rPr>
              <w:t>0.02</w:t>
            </w:r>
          </w:p>
        </w:tc>
      </w:tr>
      <w:tr>
        <w:trPr>
          <w:trHeight w:val="637" w:hRule="atLeast"/>
        </w:trPr>
        <w:tc>
          <w:tcPr>
            <w:tcW w:w="21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168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8.06</w:t>
            </w:r>
          </w:p>
        </w:tc>
        <w:tc>
          <w:tcPr>
            <w:tcW w:w="18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ind w:left="1" w:right="138"/>
              <w:rPr>
                <w:sz w:val="24"/>
              </w:rPr>
            </w:pPr>
            <w:r>
              <w:rPr>
                <w:sz w:val="24"/>
              </w:rPr>
              <w:t>-10.761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to</w:t>
            </w:r>
          </w:p>
          <w:p>
            <w:pPr>
              <w:pStyle w:val="TableParagraph"/>
              <w:spacing w:before="13"/>
              <w:ind w:right="138"/>
              <w:rPr>
                <w:sz w:val="24"/>
              </w:rPr>
            </w:pPr>
            <w:r>
              <w:rPr>
                <w:spacing w:val="-2"/>
                <w:sz w:val="24"/>
              </w:rPr>
              <w:t>-5.350</w:t>
            </w:r>
          </w:p>
        </w:tc>
        <w:tc>
          <w:tcPr>
            <w:tcW w:w="15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3" w:lineRule="exact"/>
              <w:ind w:right="91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0.0001</w:t>
            </w:r>
          </w:p>
        </w:tc>
        <w:tc>
          <w:tcPr>
            <w:tcW w:w="1768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</w:tbl>
    <w:p>
      <w:pPr>
        <w:pStyle w:val="BodyText"/>
        <w:spacing w:before="2"/>
      </w:pPr>
    </w:p>
    <w:p>
      <w:pPr>
        <w:pStyle w:val="BodyText"/>
        <w:spacing w:before="1"/>
        <w:jc w:val="center"/>
      </w:pPr>
      <w:r>
        <w:rPr/>
        <w:t>Table</w:t>
      </w:r>
      <w:r>
        <w:rPr>
          <w:spacing w:val="-10"/>
        </w:rPr>
        <w:t> </w:t>
      </w:r>
      <w:r>
        <w:rPr/>
        <w:t>2:</w:t>
      </w:r>
      <w:r>
        <w:rPr>
          <w:spacing w:val="4"/>
        </w:rPr>
        <w:t> </w:t>
      </w:r>
      <w:r>
        <w:rPr/>
        <w:t>Mean</w:t>
      </w:r>
      <w:r>
        <w:rPr>
          <w:spacing w:val="-10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Girls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Boys</w:t>
      </w:r>
    </w:p>
    <w:sectPr>
      <w:pgSz w:w="11910" w:h="16840"/>
      <w:pgMar w:header="0" w:footer="863" w:top="142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3703942</wp:posOffset>
              </wp:positionH>
              <wp:positionV relativeFrom="page">
                <wp:posOffset>10004188</wp:posOffset>
              </wp:positionV>
              <wp:extent cx="165100" cy="2089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51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648987pt;margin-top:787.731384pt;width:13pt;height:16.45pt;mso-position-horizontal-relative:page;mso-position-vertical-relative:page;z-index:-160209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2024-06-27T22:13:06Z</dcterms:created>
  <dcterms:modified xsi:type="dcterms:W3CDTF">2024-06-27T22:13:06Z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2024-06-27T00:00:00Z</vt:filetime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