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03F9" w14:textId="3B0001BC" w:rsidR="00DB55F9" w:rsidRDefault="00DD0898" w:rsidP="00793B2F">
      <w:pPr>
        <w:spacing w:line="480" w:lineRule="auto"/>
        <w:jc w:val="center"/>
        <w:rPr>
          <w:rFonts w:ascii="Times New Roman" w:hAnsi="Times New Roman"/>
          <w:b/>
          <w:bCs/>
          <w:sz w:val="24"/>
          <w:szCs w:val="24"/>
          <w:lang w:val="en-GB"/>
        </w:rPr>
      </w:pPr>
      <w:bookmarkStart w:id="0" w:name="_Hlk152158247"/>
      <w:r w:rsidRPr="006217CB">
        <w:rPr>
          <w:rFonts w:ascii="Times New Roman" w:hAnsi="Times New Roman"/>
          <w:b/>
          <w:bCs/>
          <w:sz w:val="24"/>
          <w:szCs w:val="24"/>
          <w:lang w:val="en-GB"/>
        </w:rPr>
        <w:t xml:space="preserve">Understanding the differences in boys' and girls' involvement in </w:t>
      </w:r>
      <w:r w:rsidR="007E5B49">
        <w:rPr>
          <w:rFonts w:ascii="Times New Roman" w:hAnsi="Times New Roman"/>
          <w:b/>
          <w:bCs/>
          <w:sz w:val="24"/>
          <w:szCs w:val="24"/>
          <w:lang w:val="en-GB"/>
        </w:rPr>
        <w:t>Physical Education</w:t>
      </w:r>
      <w:r w:rsidRPr="006217CB">
        <w:rPr>
          <w:rFonts w:ascii="Times New Roman" w:hAnsi="Times New Roman"/>
          <w:b/>
          <w:bCs/>
          <w:sz w:val="24"/>
          <w:szCs w:val="24"/>
          <w:lang w:val="en-GB"/>
        </w:rPr>
        <w:t xml:space="preserve"> in French High school context: a</w:t>
      </w:r>
      <w:r w:rsidR="00793B2F">
        <w:rPr>
          <w:rFonts w:ascii="Times New Roman" w:hAnsi="Times New Roman"/>
          <w:b/>
          <w:bCs/>
          <w:sz w:val="24"/>
          <w:szCs w:val="24"/>
          <w:lang w:val="en-GB"/>
        </w:rPr>
        <w:t>n</w:t>
      </w:r>
      <w:r w:rsidR="0061354B">
        <w:rPr>
          <w:rFonts w:ascii="Times New Roman" w:hAnsi="Times New Roman"/>
          <w:b/>
          <w:bCs/>
          <w:sz w:val="24"/>
          <w:szCs w:val="24"/>
          <w:lang w:val="en-GB"/>
        </w:rPr>
        <w:t xml:space="preserve"> </w:t>
      </w:r>
      <w:r w:rsidRPr="006217CB">
        <w:rPr>
          <w:rFonts w:ascii="Times New Roman" w:hAnsi="Times New Roman"/>
          <w:b/>
          <w:bCs/>
          <w:sz w:val="24"/>
          <w:szCs w:val="24"/>
          <w:lang w:val="en-GB"/>
        </w:rPr>
        <w:t>ecological approach.</w:t>
      </w:r>
    </w:p>
    <w:p w14:paraId="01B273AF" w14:textId="77777777" w:rsidR="0061354B" w:rsidRDefault="0061354B" w:rsidP="00793B2F">
      <w:pPr>
        <w:spacing w:line="480" w:lineRule="auto"/>
        <w:rPr>
          <w:rFonts w:ascii="Times New Roman" w:hAnsi="Times New Roman"/>
          <w:b/>
          <w:bCs/>
          <w:sz w:val="24"/>
          <w:szCs w:val="24"/>
          <w:lang w:val="en-GB"/>
        </w:rPr>
      </w:pPr>
    </w:p>
    <w:p w14:paraId="06B90236" w14:textId="77777777" w:rsidR="0061354B" w:rsidRDefault="0061354B" w:rsidP="00793B2F">
      <w:pPr>
        <w:spacing w:line="480" w:lineRule="auto"/>
        <w:jc w:val="center"/>
        <w:rPr>
          <w:rFonts w:ascii="Times New Roman" w:hAnsi="Times New Roman"/>
          <w:b/>
          <w:bCs/>
          <w:sz w:val="24"/>
          <w:szCs w:val="24"/>
          <w:lang w:val="en-GB"/>
        </w:rPr>
      </w:pPr>
    </w:p>
    <w:p w14:paraId="59CD1337" w14:textId="12DFEB5F" w:rsidR="00DB55F9" w:rsidRPr="00C1508C" w:rsidRDefault="00DB55F9" w:rsidP="00793B2F">
      <w:pPr>
        <w:spacing w:line="480" w:lineRule="auto"/>
        <w:rPr>
          <w:rFonts w:ascii="Times New Roman" w:hAnsi="Times New Roman"/>
          <w:sz w:val="24"/>
          <w:szCs w:val="24"/>
          <w:lang w:val="en-US"/>
        </w:rPr>
      </w:pPr>
    </w:p>
    <w:p w14:paraId="0B7D537A" w14:textId="77777777" w:rsidR="006217CB" w:rsidRPr="00C1508C" w:rsidRDefault="006217CB" w:rsidP="00793B2F">
      <w:pPr>
        <w:spacing w:line="480" w:lineRule="auto"/>
        <w:rPr>
          <w:rFonts w:ascii="Times New Roman" w:hAnsi="Times New Roman"/>
          <w:sz w:val="24"/>
          <w:szCs w:val="24"/>
          <w:lang w:val="en-US"/>
        </w:rPr>
      </w:pPr>
    </w:p>
    <w:p w14:paraId="06088D0C" w14:textId="77777777" w:rsidR="006217CB" w:rsidRPr="00C1508C" w:rsidRDefault="006217CB" w:rsidP="00793B2F">
      <w:pPr>
        <w:spacing w:line="480" w:lineRule="auto"/>
        <w:rPr>
          <w:rFonts w:ascii="Times New Roman" w:hAnsi="Times New Roman"/>
          <w:sz w:val="24"/>
          <w:szCs w:val="24"/>
          <w:lang w:val="en-US"/>
        </w:rPr>
      </w:pPr>
    </w:p>
    <w:p w14:paraId="542C51A8" w14:textId="77777777" w:rsidR="006217CB" w:rsidRPr="00C1508C" w:rsidRDefault="006217CB" w:rsidP="00793B2F">
      <w:pPr>
        <w:spacing w:line="480" w:lineRule="auto"/>
        <w:rPr>
          <w:rFonts w:ascii="Times New Roman" w:hAnsi="Times New Roman"/>
          <w:sz w:val="24"/>
          <w:szCs w:val="24"/>
          <w:lang w:val="en-US"/>
        </w:rPr>
      </w:pPr>
    </w:p>
    <w:p w14:paraId="5D2724E7" w14:textId="77777777" w:rsidR="006217CB" w:rsidRPr="00C1508C" w:rsidRDefault="006217CB" w:rsidP="00793B2F">
      <w:pPr>
        <w:spacing w:line="480" w:lineRule="auto"/>
        <w:rPr>
          <w:rFonts w:ascii="Times New Roman" w:hAnsi="Times New Roman"/>
          <w:sz w:val="24"/>
          <w:szCs w:val="24"/>
          <w:lang w:val="en-US"/>
        </w:rPr>
      </w:pPr>
    </w:p>
    <w:p w14:paraId="6ECE4736" w14:textId="77777777" w:rsidR="006217CB" w:rsidRPr="00C1508C" w:rsidRDefault="006217CB" w:rsidP="00793B2F">
      <w:pPr>
        <w:spacing w:line="480" w:lineRule="auto"/>
        <w:rPr>
          <w:rFonts w:ascii="Times New Roman" w:hAnsi="Times New Roman"/>
          <w:sz w:val="24"/>
          <w:szCs w:val="24"/>
          <w:lang w:val="en-US"/>
        </w:rPr>
      </w:pPr>
    </w:p>
    <w:p w14:paraId="55643243" w14:textId="77777777" w:rsidR="006217CB" w:rsidRPr="00C1508C" w:rsidRDefault="006217CB" w:rsidP="00793B2F">
      <w:pPr>
        <w:spacing w:line="480" w:lineRule="auto"/>
        <w:rPr>
          <w:rFonts w:ascii="Times New Roman" w:hAnsi="Times New Roman"/>
          <w:sz w:val="24"/>
          <w:szCs w:val="24"/>
          <w:lang w:val="en-US"/>
        </w:rPr>
      </w:pPr>
    </w:p>
    <w:p w14:paraId="2AC08D29" w14:textId="77777777" w:rsidR="006217CB" w:rsidRPr="00C1508C" w:rsidRDefault="006217CB" w:rsidP="00793B2F">
      <w:pPr>
        <w:spacing w:line="480" w:lineRule="auto"/>
        <w:rPr>
          <w:rFonts w:ascii="Times New Roman" w:hAnsi="Times New Roman"/>
          <w:sz w:val="24"/>
          <w:szCs w:val="24"/>
          <w:lang w:val="en-US"/>
        </w:rPr>
      </w:pPr>
    </w:p>
    <w:p w14:paraId="76107BA3" w14:textId="77777777" w:rsidR="006217CB" w:rsidRPr="00C1508C" w:rsidRDefault="006217CB" w:rsidP="00793B2F">
      <w:pPr>
        <w:spacing w:line="480" w:lineRule="auto"/>
        <w:rPr>
          <w:rFonts w:ascii="Times New Roman" w:hAnsi="Times New Roman"/>
          <w:sz w:val="24"/>
          <w:szCs w:val="24"/>
          <w:lang w:val="en-US"/>
        </w:rPr>
      </w:pPr>
    </w:p>
    <w:p w14:paraId="28A8C65C" w14:textId="77777777" w:rsidR="006217CB" w:rsidRPr="00C1508C" w:rsidRDefault="006217CB" w:rsidP="00793B2F">
      <w:pPr>
        <w:spacing w:line="480" w:lineRule="auto"/>
        <w:rPr>
          <w:rFonts w:ascii="Times New Roman" w:hAnsi="Times New Roman"/>
          <w:sz w:val="24"/>
          <w:szCs w:val="24"/>
          <w:lang w:val="en-US"/>
        </w:rPr>
      </w:pPr>
    </w:p>
    <w:p w14:paraId="28684BDC" w14:textId="77777777" w:rsidR="006217CB" w:rsidRPr="00C1508C" w:rsidRDefault="006217CB" w:rsidP="00793B2F">
      <w:pPr>
        <w:spacing w:line="480" w:lineRule="auto"/>
        <w:rPr>
          <w:rFonts w:ascii="Times New Roman" w:hAnsi="Times New Roman"/>
          <w:sz w:val="24"/>
          <w:szCs w:val="24"/>
          <w:lang w:val="en-US"/>
        </w:rPr>
      </w:pPr>
    </w:p>
    <w:p w14:paraId="725C8572" w14:textId="77777777" w:rsidR="006217CB" w:rsidRPr="00C1508C" w:rsidRDefault="006217CB" w:rsidP="00793B2F">
      <w:pPr>
        <w:spacing w:line="480" w:lineRule="auto"/>
        <w:rPr>
          <w:rFonts w:ascii="Times New Roman" w:hAnsi="Times New Roman"/>
          <w:sz w:val="24"/>
          <w:szCs w:val="24"/>
          <w:lang w:val="en-US"/>
        </w:rPr>
      </w:pPr>
    </w:p>
    <w:p w14:paraId="00925D66" w14:textId="77777777" w:rsidR="006217CB" w:rsidRPr="00C1508C" w:rsidRDefault="006217CB" w:rsidP="00793B2F">
      <w:pPr>
        <w:spacing w:line="480" w:lineRule="auto"/>
        <w:rPr>
          <w:rFonts w:ascii="Times New Roman" w:hAnsi="Times New Roman"/>
          <w:sz w:val="24"/>
          <w:szCs w:val="24"/>
          <w:lang w:val="en-US"/>
        </w:rPr>
      </w:pPr>
    </w:p>
    <w:p w14:paraId="1E251866" w14:textId="77777777" w:rsidR="00B54473" w:rsidRPr="00C1508C" w:rsidRDefault="00B54473" w:rsidP="00793B2F">
      <w:pPr>
        <w:spacing w:line="480" w:lineRule="auto"/>
        <w:rPr>
          <w:rFonts w:ascii="Times New Roman" w:hAnsi="Times New Roman"/>
          <w:sz w:val="24"/>
          <w:szCs w:val="24"/>
          <w:lang w:val="en-US"/>
        </w:rPr>
      </w:pPr>
    </w:p>
    <w:p w14:paraId="76371E34" w14:textId="77777777" w:rsidR="000419BB" w:rsidRPr="00C1508C" w:rsidRDefault="000419BB" w:rsidP="00793B2F">
      <w:pPr>
        <w:spacing w:line="480" w:lineRule="auto"/>
        <w:rPr>
          <w:rFonts w:ascii="Times New Roman" w:hAnsi="Times New Roman"/>
          <w:sz w:val="24"/>
          <w:szCs w:val="24"/>
          <w:lang w:val="en-US"/>
        </w:rPr>
      </w:pPr>
    </w:p>
    <w:p w14:paraId="3E42FC11" w14:textId="77777777" w:rsidR="000419BB" w:rsidRPr="00C1508C" w:rsidRDefault="000419BB" w:rsidP="00793B2F">
      <w:pPr>
        <w:spacing w:line="480" w:lineRule="auto"/>
        <w:rPr>
          <w:rFonts w:ascii="Times New Roman" w:hAnsi="Times New Roman"/>
          <w:sz w:val="24"/>
          <w:szCs w:val="24"/>
          <w:lang w:val="en-US"/>
        </w:rPr>
      </w:pPr>
    </w:p>
    <w:p w14:paraId="52EA30DE" w14:textId="77777777" w:rsidR="000419BB" w:rsidRPr="00C1508C" w:rsidRDefault="000419BB" w:rsidP="00793B2F">
      <w:pPr>
        <w:spacing w:line="480" w:lineRule="auto"/>
        <w:rPr>
          <w:rFonts w:ascii="Times New Roman" w:hAnsi="Times New Roman"/>
          <w:sz w:val="24"/>
          <w:szCs w:val="24"/>
          <w:lang w:val="en-US"/>
        </w:rPr>
      </w:pPr>
    </w:p>
    <w:p w14:paraId="2B6701D1" w14:textId="7E3C9B9D" w:rsidR="00DB55F9" w:rsidRPr="006217CB" w:rsidRDefault="00DD0898" w:rsidP="00793B2F">
      <w:pPr>
        <w:spacing w:line="480" w:lineRule="auto"/>
        <w:jc w:val="center"/>
        <w:rPr>
          <w:rFonts w:ascii="Times New Roman" w:hAnsi="Times New Roman"/>
          <w:sz w:val="24"/>
          <w:szCs w:val="24"/>
          <w:lang w:val="en-GB"/>
        </w:rPr>
      </w:pPr>
      <w:r w:rsidRPr="006217CB">
        <w:rPr>
          <w:rFonts w:ascii="Times New Roman" w:hAnsi="Times New Roman"/>
          <w:b/>
          <w:bCs/>
          <w:sz w:val="24"/>
          <w:szCs w:val="24"/>
          <w:lang w:val="en-GB"/>
        </w:rPr>
        <w:lastRenderedPageBreak/>
        <w:t>Abstract</w:t>
      </w:r>
    </w:p>
    <w:p w14:paraId="0946CDD1" w14:textId="4AAB99B6" w:rsidR="00DB55F9" w:rsidRPr="00822F27" w:rsidRDefault="00D46B7A" w:rsidP="00793B2F">
      <w:pPr>
        <w:pStyle w:val="NormalWeb"/>
        <w:spacing w:line="480" w:lineRule="auto"/>
        <w:rPr>
          <w:lang w:val="en-US" w:eastAsia="en-US"/>
        </w:rPr>
      </w:pPr>
      <w:r w:rsidRPr="006217CB">
        <w:rPr>
          <w:lang w:val="en-US" w:eastAsia="en-US"/>
        </w:rPr>
        <w:t>The World Health Organization</w:t>
      </w:r>
      <w:r w:rsidR="00793B2F">
        <w:rPr>
          <w:lang w:val="en-US" w:eastAsia="en-US"/>
        </w:rPr>
        <w:t xml:space="preserve"> </w:t>
      </w:r>
      <w:r w:rsidRPr="006217CB">
        <w:rPr>
          <w:lang w:val="en-US" w:eastAsia="en-US"/>
        </w:rPr>
        <w:t>advises that adolescents engage in at least 60 minutes of moderate to vigorous physical activity</w:t>
      </w:r>
      <w:r w:rsidR="007E5B49">
        <w:rPr>
          <w:lang w:val="en-US" w:eastAsia="en-US"/>
        </w:rPr>
        <w:t xml:space="preserve"> </w:t>
      </w:r>
      <w:r w:rsidRPr="006217CB">
        <w:rPr>
          <w:lang w:val="en-US" w:eastAsia="en-US"/>
        </w:rPr>
        <w:t xml:space="preserve">daily. However, a significant proportion of adolescents do not meet this recommendation, with a notable </w:t>
      </w:r>
      <w:r w:rsidR="00C02316">
        <w:rPr>
          <w:lang w:val="en-US" w:eastAsia="en-US"/>
        </w:rPr>
        <w:t>gender gap</w:t>
      </w:r>
      <w:r w:rsidRPr="006217CB">
        <w:rPr>
          <w:lang w:val="en-US" w:eastAsia="en-US"/>
        </w:rPr>
        <w:t>. Specifically, 92% of girls fall short of this target, compared to 82% of boys. Contributing to this gap, physical education programs often exacerbate these inequalities</w:t>
      </w:r>
      <w:r w:rsidR="00822F27">
        <w:rPr>
          <w:lang w:val="en-US" w:eastAsia="en-US"/>
        </w:rPr>
        <w:t xml:space="preserve">. </w:t>
      </w:r>
      <w:r w:rsidR="00C02316" w:rsidRPr="00C02316">
        <w:rPr>
          <w:lang w:val="en-US" w:eastAsia="en-US"/>
        </w:rPr>
        <w:t>This study aims to investigate, within the ecological framework, the conditions that exacerbate or mitigate gender differences in physical activity engagement during physical education classes.</w:t>
      </w:r>
      <w:r w:rsidR="00C02316">
        <w:rPr>
          <w:lang w:val="en-US" w:eastAsia="en-US"/>
        </w:rPr>
        <w:t xml:space="preserve"> </w:t>
      </w:r>
      <w:r w:rsidR="00DD0898" w:rsidRPr="006217CB">
        <w:rPr>
          <w:lang w:val="en-US"/>
        </w:rPr>
        <w:t>The study is based on a mixed methodology, combining quantitative measures (accelerometers, questionnaires) and qualitative measures (focus groups, ethnographic notebook).</w:t>
      </w:r>
      <w:r w:rsidR="0075625B" w:rsidRPr="006217CB">
        <w:rPr>
          <w:lang w:val="en-US"/>
        </w:rPr>
        <w:t xml:space="preserve"> </w:t>
      </w:r>
      <w:r w:rsidR="00DD0898" w:rsidRPr="006217CB">
        <w:rPr>
          <w:lang w:val="en-US"/>
        </w:rPr>
        <w:t xml:space="preserve">This study aims to collect data from a broad cohort in different French schools, ranging from more to less advantaged secondary schools, on four different types of </w:t>
      </w:r>
      <w:r w:rsidR="00793B2F">
        <w:rPr>
          <w:lang w:val="en-US"/>
        </w:rPr>
        <w:t>physical activity</w:t>
      </w:r>
      <w:r w:rsidR="00DD0898" w:rsidRPr="006217CB">
        <w:rPr>
          <w:lang w:val="en-US"/>
        </w:rPr>
        <w:t>. Accelerometers will measure moderate to vigorous physical activit</w:t>
      </w:r>
      <w:r w:rsidR="00793B2F">
        <w:rPr>
          <w:lang w:val="en-US"/>
        </w:rPr>
        <w:t>y</w:t>
      </w:r>
      <w:r w:rsidR="00DD0898" w:rsidRPr="006217CB">
        <w:rPr>
          <w:lang w:val="en-US"/>
        </w:rPr>
        <w:t xml:space="preserve"> in girls and boys during a two-hour mandatory </w:t>
      </w:r>
      <w:r w:rsidR="00793B2F">
        <w:rPr>
          <w:lang w:val="en-US"/>
        </w:rPr>
        <w:t>physical education</w:t>
      </w:r>
      <w:r w:rsidR="00DD0898" w:rsidRPr="006217CB">
        <w:rPr>
          <w:lang w:val="en-US"/>
        </w:rPr>
        <w:t xml:space="preserve"> class. Concurrently, focus groups will provide insights into factors influencing girls’ participation in </w:t>
      </w:r>
      <w:r w:rsidR="00793B2F">
        <w:rPr>
          <w:lang w:val="en-US"/>
        </w:rPr>
        <w:t>physical education</w:t>
      </w:r>
      <w:r w:rsidR="00DD0898" w:rsidRPr="006217CB">
        <w:rPr>
          <w:lang w:val="en-US"/>
        </w:rPr>
        <w:t>. The target population for this study is French secondary school students aged 11 to 15</w:t>
      </w:r>
      <w:r w:rsidR="00DD0898" w:rsidRPr="006217CB">
        <w:rPr>
          <w:color w:val="4472C4" w:themeColor="accent1"/>
          <w:lang w:val="en-US"/>
        </w:rPr>
        <w:t>.</w:t>
      </w:r>
    </w:p>
    <w:p w14:paraId="5DFD4BFF" w14:textId="22785181" w:rsidR="00DB55F9" w:rsidRPr="00822F27" w:rsidRDefault="00DD0898" w:rsidP="00793B2F">
      <w:pPr>
        <w:pBdr>
          <w:top w:val="none" w:sz="4" w:space="0" w:color="000000"/>
          <w:left w:val="none" w:sz="4" w:space="0" w:color="000000"/>
          <w:bottom w:val="none" w:sz="4" w:space="0" w:color="000000"/>
          <w:right w:val="none" w:sz="4" w:space="0" w:color="000000"/>
        </w:pBdr>
        <w:spacing w:after="0" w:line="480" w:lineRule="auto"/>
        <w:rPr>
          <w:i/>
          <w:iCs/>
          <w:color w:val="4472C4" w:themeColor="accent1"/>
          <w:sz w:val="24"/>
          <w:szCs w:val="24"/>
          <w:lang w:val="en-US"/>
        </w:rPr>
      </w:pPr>
      <w:r w:rsidRPr="00822F27">
        <w:rPr>
          <w:rFonts w:ascii="Times New Roman" w:eastAsia="Times New Roman" w:hAnsi="Times New Roman"/>
          <w:i/>
          <w:iCs/>
          <w:color w:val="4472C4" w:themeColor="accent1"/>
          <w:sz w:val="24"/>
          <w:szCs w:val="24"/>
          <w:lang w:val="en-US"/>
        </w:rPr>
        <w:t> </w:t>
      </w:r>
      <w:r w:rsidRPr="00822F27">
        <w:rPr>
          <w:rFonts w:ascii="Times New Roman" w:hAnsi="Times New Roman"/>
          <w:i/>
          <w:iCs/>
          <w:sz w:val="24"/>
          <w:szCs w:val="24"/>
          <w:lang w:val="en-GB"/>
        </w:rPr>
        <w:t>Keywords: Physical education</w:t>
      </w:r>
      <w:r w:rsidR="00822F27" w:rsidRPr="00822F27">
        <w:rPr>
          <w:rFonts w:ascii="Times New Roman" w:hAnsi="Times New Roman"/>
          <w:i/>
          <w:iCs/>
          <w:sz w:val="24"/>
          <w:szCs w:val="24"/>
          <w:lang w:val="en-GB"/>
        </w:rPr>
        <w:t xml:space="preserve">, </w:t>
      </w:r>
      <w:r w:rsidRPr="00822F27">
        <w:rPr>
          <w:rFonts w:ascii="Times New Roman" w:hAnsi="Times New Roman"/>
          <w:i/>
          <w:iCs/>
          <w:sz w:val="24"/>
          <w:szCs w:val="24"/>
          <w:lang w:val="en-GB"/>
        </w:rPr>
        <w:t>Engagement</w:t>
      </w:r>
      <w:r w:rsidR="00822F27" w:rsidRPr="00822F27">
        <w:rPr>
          <w:rFonts w:ascii="Times New Roman" w:hAnsi="Times New Roman"/>
          <w:i/>
          <w:iCs/>
          <w:sz w:val="24"/>
          <w:szCs w:val="24"/>
          <w:lang w:val="en-GB"/>
        </w:rPr>
        <w:t xml:space="preserve">, </w:t>
      </w:r>
      <w:r w:rsidRPr="00822F27">
        <w:rPr>
          <w:rFonts w:ascii="Times New Roman" w:hAnsi="Times New Roman"/>
          <w:i/>
          <w:iCs/>
          <w:sz w:val="24"/>
          <w:szCs w:val="24"/>
          <w:lang w:val="en-GB"/>
        </w:rPr>
        <w:t>Gender gap</w:t>
      </w:r>
      <w:r w:rsidR="005F5959">
        <w:rPr>
          <w:rFonts w:ascii="Times New Roman" w:hAnsi="Times New Roman"/>
          <w:i/>
          <w:iCs/>
          <w:sz w:val="24"/>
          <w:szCs w:val="24"/>
          <w:lang w:val="en-GB"/>
        </w:rPr>
        <w:t xml:space="preserve">, Physical Activity  </w:t>
      </w:r>
    </w:p>
    <w:p w14:paraId="59595B63" w14:textId="77777777" w:rsidR="00DB55F9" w:rsidRDefault="00DB55F9" w:rsidP="00793B2F">
      <w:pPr>
        <w:pStyle w:val="Paragraphedeliste"/>
        <w:spacing w:line="480" w:lineRule="auto"/>
        <w:rPr>
          <w:rFonts w:ascii="Times New Roman" w:hAnsi="Times New Roman"/>
          <w:sz w:val="24"/>
          <w:szCs w:val="24"/>
          <w:lang w:val="en-GB"/>
        </w:rPr>
      </w:pPr>
    </w:p>
    <w:p w14:paraId="21EBB32D" w14:textId="77777777" w:rsidR="006217CB" w:rsidRDefault="006217CB" w:rsidP="00793B2F">
      <w:pPr>
        <w:pStyle w:val="Paragraphedeliste"/>
        <w:spacing w:line="480" w:lineRule="auto"/>
        <w:rPr>
          <w:rFonts w:ascii="Times New Roman" w:hAnsi="Times New Roman"/>
          <w:sz w:val="24"/>
          <w:szCs w:val="24"/>
          <w:lang w:val="en-GB"/>
        </w:rPr>
      </w:pPr>
    </w:p>
    <w:p w14:paraId="0AD3934E" w14:textId="77777777" w:rsidR="006217CB" w:rsidRDefault="006217CB" w:rsidP="00793B2F">
      <w:pPr>
        <w:pStyle w:val="Paragraphedeliste"/>
        <w:spacing w:line="480" w:lineRule="auto"/>
        <w:rPr>
          <w:rFonts w:ascii="Times New Roman" w:hAnsi="Times New Roman"/>
          <w:sz w:val="24"/>
          <w:szCs w:val="24"/>
          <w:lang w:val="en-GB"/>
        </w:rPr>
      </w:pPr>
    </w:p>
    <w:p w14:paraId="720EE2DA" w14:textId="77777777" w:rsidR="006217CB" w:rsidRDefault="006217CB" w:rsidP="00793B2F">
      <w:pPr>
        <w:pStyle w:val="Paragraphedeliste"/>
        <w:spacing w:line="480" w:lineRule="auto"/>
        <w:rPr>
          <w:rFonts w:ascii="Times New Roman" w:hAnsi="Times New Roman"/>
          <w:sz w:val="24"/>
          <w:szCs w:val="24"/>
          <w:lang w:val="en-GB"/>
        </w:rPr>
      </w:pPr>
    </w:p>
    <w:p w14:paraId="6A9EABCD" w14:textId="77777777" w:rsidR="006217CB" w:rsidRDefault="006217CB" w:rsidP="00793B2F">
      <w:pPr>
        <w:pStyle w:val="Paragraphedeliste"/>
        <w:spacing w:line="480" w:lineRule="auto"/>
        <w:rPr>
          <w:rFonts w:ascii="Times New Roman" w:hAnsi="Times New Roman"/>
          <w:sz w:val="24"/>
          <w:szCs w:val="24"/>
          <w:lang w:val="en-GB"/>
        </w:rPr>
      </w:pPr>
    </w:p>
    <w:p w14:paraId="6266307B" w14:textId="77777777" w:rsidR="006217CB" w:rsidRDefault="006217CB" w:rsidP="00793B2F">
      <w:pPr>
        <w:pStyle w:val="Paragraphedeliste"/>
        <w:spacing w:line="480" w:lineRule="auto"/>
        <w:rPr>
          <w:rFonts w:ascii="Times New Roman" w:hAnsi="Times New Roman"/>
          <w:sz w:val="24"/>
          <w:szCs w:val="24"/>
          <w:lang w:val="en-GB"/>
        </w:rPr>
      </w:pPr>
    </w:p>
    <w:p w14:paraId="218B73CE" w14:textId="77777777" w:rsidR="006217CB" w:rsidRDefault="006217CB" w:rsidP="00793B2F">
      <w:pPr>
        <w:pStyle w:val="Paragraphedeliste"/>
        <w:spacing w:line="480" w:lineRule="auto"/>
        <w:rPr>
          <w:rFonts w:ascii="Times New Roman" w:hAnsi="Times New Roman"/>
          <w:sz w:val="24"/>
          <w:szCs w:val="24"/>
          <w:lang w:val="en-GB"/>
        </w:rPr>
      </w:pPr>
    </w:p>
    <w:p w14:paraId="0CB498EE" w14:textId="77777777" w:rsidR="006217CB" w:rsidRDefault="006217CB" w:rsidP="00793B2F">
      <w:pPr>
        <w:pStyle w:val="Paragraphedeliste"/>
        <w:spacing w:line="480" w:lineRule="auto"/>
        <w:rPr>
          <w:rFonts w:ascii="Times New Roman" w:hAnsi="Times New Roman"/>
          <w:sz w:val="24"/>
          <w:szCs w:val="24"/>
          <w:lang w:val="en-GB"/>
        </w:rPr>
      </w:pPr>
    </w:p>
    <w:p w14:paraId="62120D26" w14:textId="77777777" w:rsidR="006217CB" w:rsidRDefault="006217CB" w:rsidP="00793B2F">
      <w:pPr>
        <w:pStyle w:val="Paragraphedeliste"/>
        <w:spacing w:line="480" w:lineRule="auto"/>
        <w:rPr>
          <w:rFonts w:ascii="Times New Roman" w:hAnsi="Times New Roman"/>
          <w:sz w:val="24"/>
          <w:szCs w:val="24"/>
          <w:lang w:val="en-GB"/>
        </w:rPr>
      </w:pPr>
    </w:p>
    <w:p w14:paraId="3788BC65" w14:textId="77777777" w:rsidR="006217CB" w:rsidRDefault="006217CB" w:rsidP="00793B2F">
      <w:pPr>
        <w:pBdr>
          <w:top w:val="none" w:sz="4" w:space="0" w:color="000000"/>
          <w:left w:val="none" w:sz="4" w:space="0" w:color="000000"/>
          <w:bottom w:val="none" w:sz="4" w:space="0" w:color="000000"/>
          <w:right w:val="none" w:sz="4" w:space="0" w:color="000000"/>
        </w:pBdr>
        <w:spacing w:before="240" w:after="240" w:line="480" w:lineRule="auto"/>
        <w:rPr>
          <w:rFonts w:ascii="Times New Roman" w:hAnsi="Times New Roman"/>
          <w:sz w:val="24"/>
          <w:szCs w:val="24"/>
          <w:lang w:val="en-US"/>
        </w:rPr>
      </w:pPr>
    </w:p>
    <w:p w14:paraId="09D9FE7B" w14:textId="2EEEE6DA" w:rsidR="006217CB" w:rsidRPr="006217CB" w:rsidRDefault="006217CB" w:rsidP="00793B2F">
      <w:pPr>
        <w:spacing w:line="480" w:lineRule="auto"/>
        <w:jc w:val="center"/>
        <w:rPr>
          <w:rFonts w:ascii="Times New Roman" w:hAnsi="Times New Roman"/>
          <w:b/>
          <w:bCs/>
          <w:sz w:val="24"/>
          <w:szCs w:val="24"/>
          <w:lang w:val="en-GB"/>
        </w:rPr>
      </w:pPr>
      <w:r w:rsidRPr="006217CB">
        <w:rPr>
          <w:rFonts w:ascii="Times New Roman" w:hAnsi="Times New Roman"/>
          <w:b/>
          <w:bCs/>
          <w:sz w:val="24"/>
          <w:szCs w:val="24"/>
          <w:lang w:val="en-GB"/>
        </w:rPr>
        <w:lastRenderedPageBreak/>
        <w:t>Understanding the differences in boys' and girls' involvement in PE in French High school context: a bio-ecological approach.</w:t>
      </w:r>
    </w:p>
    <w:p w14:paraId="20F6E93A" w14:textId="2625D77B"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rFonts w:ascii="Times New Roman" w:hAnsi="Times New Roman"/>
          <w:sz w:val="24"/>
          <w:szCs w:val="24"/>
          <w:lang w:val="en-US"/>
        </w:rPr>
      </w:pPr>
      <w:r w:rsidRPr="006217CB">
        <w:rPr>
          <w:rFonts w:ascii="Times New Roman" w:hAnsi="Times New Roman"/>
          <w:sz w:val="24"/>
          <w:szCs w:val="24"/>
          <w:lang w:val="en-US"/>
        </w:rPr>
        <w:t xml:space="preserve">The promotion of physical activity (PA) has emerged as a critical social and public health issue. The World Health Organization (WHO) characterizes PA as "any bodily movement produced by skeletal muscles that require energy expenditure" </w:t>
      </w:r>
      <w:r w:rsidR="0075625B" w:rsidRPr="006217CB">
        <w:rPr>
          <w:rFonts w:ascii="Times New Roman" w:hAnsi="Times New Roman"/>
          <w:sz w:val="24"/>
          <w:szCs w:val="24"/>
          <w:lang w:val="en-US"/>
        </w:rPr>
        <w:fldChar w:fldCharType="begin"/>
      </w:r>
      <w:r w:rsidR="0075625B" w:rsidRPr="006217CB">
        <w:rPr>
          <w:rFonts w:ascii="Times New Roman" w:hAnsi="Times New Roman"/>
          <w:sz w:val="24"/>
          <w:szCs w:val="24"/>
          <w:lang w:val="en-US"/>
        </w:rPr>
        <w:instrText xml:space="preserve"> ADDIN ZOTERO_ITEM CSL_CITATION {"citationID":"BzGnWALw","properties":{"formattedCitation":"[1]","plainCitation":"[1]","noteIndex":0},"citationItems":[{"id":444,"uris":["http://zotero.org/users/7342294/items/Z6RILVDZ"],"itemData":{"id":444,"type":"book","event-place":"Genève","ISBN":"978-92-4-003211-8","language":"fr","note":"section: viii, 93 p.","publisher":"Organisation mondiale de la Santé","publisher-place":"Genève","source":"WHO IRIS","title":"Lignes directrices de l’OMS sur l’activité physique et la sédentarité","URL":"https://apps.who.int/iris/handle/10665/349728","author":[{"literal":"Organisation mondiale de la Santé"}],"accessed":{"date-parts":[["2022",5,31]]},"issued":{"date-parts":[["2021"]]}}}],"schema":"https://github.com/citation-style-language/schema/raw/master/csl-citation.json"} </w:instrText>
      </w:r>
      <w:r w:rsidR="0075625B" w:rsidRPr="006217CB">
        <w:rPr>
          <w:rFonts w:ascii="Times New Roman" w:hAnsi="Times New Roman"/>
          <w:sz w:val="24"/>
          <w:szCs w:val="24"/>
          <w:lang w:val="en-US"/>
        </w:rPr>
        <w:fldChar w:fldCharType="separate"/>
      </w:r>
      <w:r w:rsidR="0075625B" w:rsidRPr="006217CB">
        <w:rPr>
          <w:rFonts w:ascii="Times New Roman" w:hAnsi="Times New Roman"/>
          <w:sz w:val="24"/>
          <w:szCs w:val="24"/>
          <w:lang w:val="en-US"/>
        </w:rPr>
        <w:t>[1]</w:t>
      </w:r>
      <w:r w:rsidR="0075625B" w:rsidRPr="006217CB">
        <w:rPr>
          <w:rFonts w:ascii="Times New Roman" w:hAnsi="Times New Roman"/>
          <w:sz w:val="24"/>
          <w:szCs w:val="24"/>
          <w:lang w:val="en-US"/>
        </w:rPr>
        <w:fldChar w:fldCharType="end"/>
      </w:r>
      <w:r w:rsidRPr="006217CB">
        <w:rPr>
          <w:rFonts w:ascii="Times New Roman" w:hAnsi="Times New Roman"/>
          <w:sz w:val="24"/>
          <w:szCs w:val="24"/>
          <w:lang w:val="en-US"/>
        </w:rPr>
        <w:t>, encompassing activities undertaken during leisure, work, or travel. This is distinct from sedentary behavior (SB), described as "any wakeful state with an energy expenditure of ≤1.5 METs while in a sitting, reclining, or lying posture"</w:t>
      </w:r>
      <w:r w:rsidR="00786350"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s1tXlRs7","properties":{"formattedCitation":"[1]","plainCitation":"[1]","noteIndex":0},"citationItems":[{"id":444,"uris":["http://zotero.org/users/7342294/items/Z6RILVDZ"],"itemData":{"id":444,"type":"book","event-place":"Genève","ISBN":"978-92-4-003211-8","language":"fr","note":"section: viii, 93 p.","publisher":"Organisation mondiale de la Santé","publisher-place":"Genève","source":"WHO IRIS","title":"Lignes directrices de l’OMS sur l’activité physique et la sédentarité","URL":"https://apps.who.int/iris/handle/10665/349728","author":[{"literal":"Organisation mondiale de la Santé"}],"accessed":{"date-parts":[["2022",5,31]]},"issued":{"date-parts":[["2021"]]}}}],"schema":"https://github.com/citation-style-language/schema/raw/master/csl-citation.json"} </w:instrText>
      </w:r>
      <w:r w:rsidR="00786350"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[1]</w:t>
      </w:r>
      <w:r w:rsidR="00786350" w:rsidRPr="006217CB">
        <w:rPr>
          <w:rFonts w:ascii="Times New Roman" w:hAnsi="Times New Roman"/>
          <w:sz w:val="24"/>
          <w:szCs w:val="24"/>
          <w:lang w:val="en-US"/>
        </w:rPr>
        <w:fldChar w:fldCharType="end"/>
      </w:r>
      <w:r w:rsidR="00786350" w:rsidRPr="006217CB">
        <w:rPr>
          <w:rFonts w:ascii="Times New Roman" w:hAnsi="Times New Roman"/>
          <w:sz w:val="24"/>
          <w:szCs w:val="24"/>
          <w:lang w:val="en-US"/>
        </w:rPr>
        <w:t>.</w:t>
      </w:r>
      <w:r w:rsidRPr="006217CB">
        <w:rPr>
          <w:rFonts w:ascii="Times New Roman" w:hAnsi="Times New Roman"/>
          <w:sz w:val="24"/>
          <w:szCs w:val="24"/>
          <w:lang w:val="en-US"/>
        </w:rPr>
        <w:t xml:space="preserve"> The WHO advises adolescents to engage in at least 60 minutes of moderate to vigorous physical activity (MVPA) daily, yet adherence to this recommendation remains suboptimal. Insufficient PA is linked to substantial health and social concerns, including increased risks of non-communicable diseases such as cardiovascular disease, obesity, type 2 diabetes, and certain cancers</w:t>
      </w:r>
      <w:r w:rsidR="00786350" w:rsidRPr="006217CB">
        <w:rPr>
          <w:rFonts w:ascii="Times New Roman" w:hAnsi="Times New Roman"/>
          <w:sz w:val="24"/>
          <w:szCs w:val="24"/>
          <w:lang w:val="en-US"/>
        </w:rPr>
        <w:t xml:space="preserve"> </w:t>
      </w:r>
      <w:r w:rsidR="00786350"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{"citationID":"hfk7xUf0","properties":{"formattedCitation":"[2]","plainCitation":"[2]","noteIndex":0},"citationItems":[{"id":3816,"uris":["http://zotero.org/users/7342294/items/T2SBXKVA"],"itemData":{"id":3816,"type":"article-journal","abstract":"Objective To examine the dose-response associations between accelerometer assessed total physical activity, different intensities of physical activity, and sedentary time and all cause mortality.\nDesign Systematic review and harmonised meta-analysis.\nData sources PubMed, PsycINFO, Embase, Web of Science, Sport Discus from inception to 31 July 2018.\nEligibility criteria Prospective cohort studies assessing physical activity and sedentary time by accelerometry and associations with all cause mortality and reported effect estimates as hazard ratios, odds ratios, or relative risks with 95% confidence intervals.\nData extraction and analysis Guidelines for meta-analyses and systematic reviews for observational studies and PRISMA guidelines were followed. Two authors independently screened the titles and abstracts. One author performed a full text review and another extracted the data. Two authors independently assessed the risk of bias. Individual level participant data were harmonised and analysed at study level. Data on physical activity were categorised by quarters at study level, and study specific associations with all cause mortality were analysed using Cox proportional hazards regression analyses. Study specific results were summarised using random effects meta-analysis.\nMain outcome measure All cause mortality.\nResults 39 studies were retrieved for full text review; 10 were eligible for inclusion, three were excluded owing to harmonisation challenges (eg, wrist placement of the accelerometer), and one study did not participate. Two additional studies with unpublished mortality data were also included. Thus, individual level data from eight studies (n=36 383; mean age 62.6 years; 72.8% women), with median follow-up of 5.8 years (range 3.0-14.5 years) and 2149 (5.9%) deaths were analysed. Any physical activity, regardless of intensity, was associated with lower risk of mortality, with a non-linear dose-response. Hazards ratios for mortality were 1.00 (referent) in the first quarter (least active), 0.48 (95% confidence interval 0.43 to 0.54) in the second quarter, 0.34 (0.26 to 0.45) in the third quarter, and 0.27 (0.23 to 0.32) in the fourth quarter (most active). Corresponding hazards ratios for light physical activity were 1.00, 0.60 (0.54 to 0.68), 0.44 (0.38 to 0.51), and 0.38 (0.28 to 0.51), and for moderate-to-vigorous physical activity were 1.00, 0.64 (0.55 to 0.74), 0.55 (0.40 to 0.74), and 0.52 (0.43 to 0.61). For sedentary time, hazards ratios were 1.00 (referent; least sedentary), 1.28 (1.09 to 1.51), 1.71 (1.36 to 2.15), and 2.63 (1.94 to 3.56).\nConclusion Higher levels of total physical activity, at any intensity, and less time spent sedentary, are associated with substantially reduced risk for premature mortality, with evidence of a non-linear dose-response pattern in middle aged and older adults.\nSystematic review registration PROSPERO CRD42018091808.","container-title":"BMJ","DOI":"10.1136/bmj.l4570","ISSN":"0959-8138,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31434697","page":"l4570","source":"www.bmj.com","title":"Dose-response associations between accelerometry measured physical activity and sedentary time and all cause mortality: systematic review and harmonised meta-analysis","title-short":"Dose-response associations between accelerometry measured physical activity and sedentary time and all cause mortality","volume":"366","author":[{"family":"Ekelund","given":"Ulf"},{"family":"Tarp","given":"Jakob"},{"family":"Steene-Johannessen","given":"Jostein"},{"family":"Hansen","given":"Bjørge H."},{"family":"Jefferis","given":"Barbara"},{"family":"Fagerland","given":"Morten W."},{"family":"Whincup","given":"Peter"},{"family":"Diaz","given":"Keith M."},{"family":"Hooker","given":"Steven P."},{"family":"Chernofsky","given":"Ariel"},{"family":"Larson","given":"Martin G."},{"family":"Spartano","given":"Nicole"},{"family":"Vasan","given":"Ramachandran S."},{"family":"Dohrn","given":"Ing-Mari"},{"family":"Hagströmer","given":"Maria"},{"family":"Edwardson","given":"Charlotte"},{"family":"Yates","given":"Thomas"},{"family":"Shiroma","given":"Eric"},{"family":"Anderssen","given":"Sigmund A."},{"family":"Lee","given":"I.-Min"}],"issued":{"date-parts":[["2019",8,21]]}}}],"schema":"https://github.com/citation-style-language/schema/raw/master/csl-citation.json"} </w:instrText>
      </w:r>
      <w:r w:rsidR="00786350"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[2]</w:t>
      </w:r>
      <w:r w:rsidR="00786350" w:rsidRPr="006217CB">
        <w:rPr>
          <w:rFonts w:ascii="Times New Roman" w:hAnsi="Times New Roman"/>
          <w:sz w:val="24"/>
          <w:szCs w:val="24"/>
          <w:lang w:val="en-US"/>
        </w:rPr>
        <w:fldChar w:fldCharType="end"/>
      </w:r>
      <w:r w:rsidRPr="006217CB">
        <w:rPr>
          <w:rFonts w:ascii="Times New Roman" w:hAnsi="Times New Roman"/>
          <w:sz w:val="24"/>
          <w:szCs w:val="24"/>
          <w:lang w:val="en-US"/>
        </w:rPr>
        <w:t>. Additionally, the rise of SB contributes to significant socioeconomic burdens. Globally, physical inactivity incurs an estimated $54 billion in direct healthcare costs [1], with France experiencing a parallel economic impact of approximately 17 billion euros annually, predominantly attributed to healthcare expenses.</w:t>
      </w:r>
    </w:p>
    <w:p w14:paraId="3B5E0AF8" w14:textId="70BAB9E5"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rFonts w:ascii="Times New Roman" w:hAnsi="Times New Roman"/>
          <w:sz w:val="24"/>
          <w:szCs w:val="24"/>
          <w:lang w:val="en-US"/>
        </w:rPr>
      </w:pPr>
      <w:r w:rsidRPr="006217CB">
        <w:rPr>
          <w:rFonts w:ascii="Times New Roman" w:hAnsi="Times New Roman"/>
          <w:sz w:val="24"/>
          <w:szCs w:val="24"/>
          <w:lang w:val="en-US"/>
        </w:rPr>
        <w:t>Alarmingly, PA deficiency is a global phenomenon, affecting approximately 28% of adults, with a higher prevalence among women (32%) than men (23%). This trend is more pronounced among youth, with 81% of adolescents aged 11-17 not meeting WHO PA guidelines [1]. Research indicates that PA levels decline from childhood into adulthood, with this trend being more acute among females</w:t>
      </w:r>
      <w:r w:rsidR="0075625B"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{"citationID":"1Ejmeost","properties":{"formattedCitation":"[3]","plainCitation":"[3]","noteIndex":0},"citationItems":[{"id":421,"uris":["http://zotero.org/users/7342294/items/S5HH9A5S"],"itemData":{"id":421,"type":"article-journal","abstract":"Advancements in accelerometer analytic and visualization techniques allow researchers to more precisely identify and compare critical periods of physical activity (PA) decline by age across the lifespan, and describe how daily PA patterns may vary across age groups. We used accelerometer data from the 2003–2006 cohorts of the National Health and Nutrition Examination Survey (NHANES) (n=12,529) to quantify total PA as well as PA by intensity across the lifespan using sex-stratified, age specific percentile curves constructed using generalized additive models. We additionally estimated minute-to-minute diurnal PA using smoothed bivariate surfaces. We found that from childhood to adolescence (ages 6–19) across sex, PA is sharply lower by age partially due to a later initiation of morning PA. Total PA levels, at age 19 are comparable to levels at age 60. Contrary to prior evidence, during young adulthood (ages 20–30) total and light intensity PA increases by age and then stabilizes during midlife (ages 31–59) partially due to an earlier initiation of morning PA. We additionally found that males compared to females have an earlier lowering in PA by age at midlife and lower total PA, higher sedentary behavior, and lower light intensity PA in older adulthood; these trends seem to be driven by lower PA in the afternoon compared to females. Our results suggest a re-evaluation of how emerging adulthood may affect PA levels and the importance of considering time of day and sex differences when developing PA interventions.","container-title":"Preventive Medicine","DOI":"10.1016/j.ypmed.2017.05.030","ISSN":"0091-7435","journalAbbreviation":"Preventive Medicine","language":"en","page":"102-108","source":"ScienceDirect","title":"Re-evaluating the effect of age on physical activity over the lifespan","volume":"101","author":[{"family":"Varma","given":"Vijay R."},{"family":"Dey","given":"Debangan"},{"family":"Leroux","given":"Andrew"},{"family":"Di","given":"Junrui"},{"family":"Urbanek","given":"Jacek"},{"family":"Xiao","given":"Luo"},{"family":"Zipunnikov","given":"Vadim"}],"issued":{"date-parts":[["2017",8,1]]}}}],"schema":"https://github.com/citation-style-language/schema/raw/master/csl-citation.json"} </w:instrText>
      </w:r>
      <w:r w:rsidR="0075625B"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[3]</w:t>
      </w:r>
      <w:r w:rsidR="0075625B" w:rsidRPr="006217CB">
        <w:rPr>
          <w:rFonts w:ascii="Times New Roman" w:hAnsi="Times New Roman"/>
          <w:sz w:val="24"/>
          <w:szCs w:val="24"/>
          <w:lang w:val="en-US"/>
        </w:rPr>
        <w:fldChar w:fldCharType="end"/>
      </w:r>
      <w:r w:rsidRPr="006217CB">
        <w:rPr>
          <w:rFonts w:ascii="Times New Roman" w:hAnsi="Times New Roman"/>
          <w:sz w:val="24"/>
          <w:szCs w:val="24"/>
          <w:lang w:val="en-US"/>
        </w:rPr>
        <w:t xml:space="preserve">. Studies reveal persistent gender disparities in PA engagement across various cultures and age groups, with girls consistently less active than boys </w:t>
      </w:r>
      <w:r w:rsidR="0075625B"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{"citationID":"zseThCsf","properties":{"formattedCitation":"[4\\uc0\\u8211{}6]","plainCitation":"[4–6]","noteIndex":0},"citationItems":[{"id":303,"uris":["http://zotero.org/users/7342294/items/FGNTIJPG"],"itemData":{"id":303,"type":"article-journal","abstract":"Background: Sufficient levels of moderate to vigorous physical activity (MVPA) give substantial health benefits to adolescents. This article examines trends in physical activity (PA) from 2002 to 2010 across 32 countries from Europe and North America. Methods: Representative samples included 479 674 pupils (49% boys) aged 11 years (n = 156 383), 13 years (n = 163 729) and 15 years (n = 159 562). The trends in meeting the recommendations for PA (at least 60 min daily) were evaluated using logistic regression. Results: There was a slight overall increase between 2002 and 2010 (17.0% and 18.6%, respectively). MVPA increased significantly (P ≤ 0.05) among boys in 16 countries. Conversely, nine countries showed a significant decrease. Among girls, 10 countries showed a significant increase (P ≤ 0.05). Eight countries showed a significant decrease. For all countries combined, girls were slightly less likely to show an increase in PA over time. Conclusions: The majority of adolescents do not meet current recommendations of PA. Further investment at national and international levels is therefore necessary to increase PA participation among children and adolescents and reduce the future health burden associated with inactivity.","container-title":"European Journal of Public Health","DOI":"10.1093/eurpub/ckv024","ISSN":"1101-1262","issue":"suppl_2","journalAbbreviation":"European Journal of Public Health","page":"37-40","source":"Silverchair","title":"Secular trends in moderate-to-vigorous physical activity in 32 countries from 2002 to 2010: a cross-national perspective","title-short":"Secular trends in moderate-to-vigorous physical activity in 32 countries from 2002 to 2010","volume":"25","author":[{"family":"Kalman","given":"Michal"},{"family":"Inchley","given":"Jo"},{"family":"Sigmundova","given":"Dagmar"},{"family":"Iannotti","given":"Ronald J."},{"family":"Tynjälä","given":"Jorma A."},{"family":"Hamrik","given":"Zdenek"},{"family":"Haug","given":"Ellen"},{"family":"Bucksch","given":"Jens"}],"issued":{"date-parts":[["2015",4,1]]}}},{"id":3822,"uris":["http://zotero.org/users/7342294/items/9N8N7K59"],"itemData":{"id":3822,"type":"article-journal","container-title":"The Lancet Child &amp; Adolescent Health","DOI":"10.1016/S2352-4642(19)30323-2","ISSN":"2352-4642, 2352-4650","issue":"1","journalAbbreviation":"The Lancet Child &amp; Adolescent Health","language":"English","note":"publisher: Elsevier\nPMID: 31761562","page":"23-35","source":"www.thelancet.com","title":"Global trends in insufficient physical activity among adolescents: a pooled analysis of 298 population-based surveys with 1·6 million participants","title-short":"Global trends in insufficient physical activity among adolescents","volume":"4","author":[{"family":"Guthold","given":"Regina"},{"family":"Stevens","given":"Gretchen A."},{"family":"Riley","given":"Leanne M."},{"family":"Bull","given":"Fiona C."}],"issued":{"date-parts":[["2020",1,1]]}}},{"id":3825,"uris":["http://zotero.org/users/7342294/items/9ZCTMJPD"],"itemData":{"id":3825,"type":"article-journal","abstract":"Aims: This study examined the compliance of French children with physical activity (PA) guidelines, using objective assessments of PA.\nMethods: The study involved 252 children aged 9.9 ± 0.9 years, with mean height and weight of 1.39 ± 0.08 m and 35.8 ± 8.8 kg, respectively. Their usual PA was evaluated during a week using an Actigraph accelerometer.\nResults: The time spent in a moderate-to-vigorous PA (MVPA) ranged from 142 ± 44 min.d-1 to 25 ± 18 min/day according to the cut-offs used. Boys were significantly more active than girls (p ≤ .001). Overweight/obese children spent significantly less time in MVPA as determined with cut-off points at 3200 cpm (-26%) or 3600 cpm (-35%) (p &lt; .01). Between 5% (8% of boys vs 1% of girls, p &lt; .0001) and 9% (14% of boys vs 3% of girls, p &lt; .0001) of children probably met the PA guidelines. No relationships were found with socioeconomic status.\nConclusions: This high proportion of insufficiently active children (&gt; 90%), together with the relatively high proportion of overweight children in this area, advocates a more aggressive PA promotion project, which should target all children whatever their social origins.","container-title":"Perspectives in Public Health","DOI":"10.1177/1757913911419896","ISSN":"1757-9139","issue":"2","journalAbbreviation":"Perspect Public Health","language":"en","note":"publisher: SAGE Publications Ltd","page":"81-88","source":"SAGE Journals","title":"Compliance of children in northern France with physical activity recommendations","volume":"132","author":[{"family":"Apété","given":"Geoffroy K"},{"family":"Zitouni","given":"Djamel"},{"family":"Hubert","given":"Hervé"},{"family":"Guinhouya","given":"Benjamin C"}],"issued":{"date-parts":[["2012",3,1]]}}}],"schema":"https://github.com/citation-style-language/schema/raw/master/csl-citation.json"} </w:instrText>
      </w:r>
      <w:r w:rsidR="0075625B"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[4–6]</w:t>
      </w:r>
      <w:r w:rsidR="0075625B" w:rsidRPr="006217CB">
        <w:rPr>
          <w:rFonts w:ascii="Times New Roman" w:hAnsi="Times New Roman"/>
          <w:sz w:val="24"/>
          <w:szCs w:val="24"/>
          <w:lang w:val="en-US"/>
        </w:rPr>
        <w:fldChar w:fldCharType="end"/>
      </w:r>
      <w:r w:rsidRPr="006217CB">
        <w:rPr>
          <w:rFonts w:ascii="Times New Roman" w:hAnsi="Times New Roman"/>
          <w:sz w:val="24"/>
          <w:szCs w:val="24"/>
          <w:lang w:val="en-US"/>
        </w:rPr>
        <w:t xml:space="preserve">. In the context of </w:t>
      </w:r>
      <w:r w:rsidR="00E82B35">
        <w:rPr>
          <w:rFonts w:ascii="Times New Roman" w:hAnsi="Times New Roman"/>
          <w:sz w:val="24"/>
          <w:szCs w:val="24"/>
          <w:lang w:val="en-US"/>
        </w:rPr>
        <w:t>p</w:t>
      </w:r>
      <w:r w:rsidRPr="006217CB">
        <w:rPr>
          <w:rFonts w:ascii="Times New Roman" w:hAnsi="Times New Roman"/>
          <w:sz w:val="24"/>
          <w:szCs w:val="24"/>
          <w:lang w:val="en-US"/>
        </w:rPr>
        <w:t xml:space="preserve">hysical </w:t>
      </w:r>
      <w:r w:rsidR="00E82B35">
        <w:rPr>
          <w:rFonts w:ascii="Times New Roman" w:hAnsi="Times New Roman"/>
          <w:sz w:val="24"/>
          <w:szCs w:val="24"/>
          <w:lang w:val="en-US"/>
        </w:rPr>
        <w:t>e</w:t>
      </w:r>
      <w:r w:rsidRPr="006217CB">
        <w:rPr>
          <w:rFonts w:ascii="Times New Roman" w:hAnsi="Times New Roman"/>
          <w:sz w:val="24"/>
          <w:szCs w:val="24"/>
          <w:lang w:val="en-US"/>
        </w:rPr>
        <w:t>ducation (PE), this discrepancy is evident in assessment outcomes, where girls</w:t>
      </w:r>
      <w:r w:rsidR="00EE1FFF" w:rsidRPr="006217CB">
        <w:rPr>
          <w:rFonts w:ascii="Times New Roman" w:hAnsi="Times New Roman"/>
          <w:sz w:val="24"/>
          <w:szCs w:val="24"/>
          <w:lang w:val="en-US"/>
        </w:rPr>
        <w:t xml:space="preserve"> obtain grades significantly</w:t>
      </w:r>
      <w:r w:rsidRPr="006217CB">
        <w:rPr>
          <w:rFonts w:ascii="Times New Roman" w:hAnsi="Times New Roman"/>
          <w:sz w:val="24"/>
          <w:szCs w:val="24"/>
          <w:lang w:val="en-US"/>
        </w:rPr>
        <w:t xml:space="preserve"> lower than boys, a gap that has widened over time</w:t>
      </w:r>
      <w:r w:rsidR="00786350" w:rsidRPr="006217CB">
        <w:rPr>
          <w:rFonts w:ascii="Times New Roman" w:hAnsi="Times New Roman"/>
          <w:sz w:val="24"/>
          <w:szCs w:val="24"/>
          <w:lang w:val="en-US"/>
        </w:rPr>
        <w:t xml:space="preserve"> </w:t>
      </w:r>
      <w:r w:rsidR="00786350"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zSTaT2Zm","properties":{"formattedCitation":"[7]","plainCitation":"[7]","noteIndex":0},"citationItems":[{"id":306,"uris":["http://zotero.org/users/7342294/items/EMJKK5CT"],"itemData":{"id":306,"type":"article-journal","abstract":"&lt;titre&gt;R&amp;#233;sum&amp;#233;&lt;/titre&gt; L&amp;#8217;objectif est de caract&amp;#233;riser les in&amp;#233;galit&amp;#233;s de sexe per&amp;#231;ues par les &amp;#233;l&amp;#232;ves et leurs sentiments d&amp;#8217;injustice : l&amp;#8217;&amp;#233;cart de r&amp;#233;sultats obtenus en EPS s&amp;#8217;accompagne-t-il de diff&amp;#233;rences d&amp;#8217;opinions entre les filles et les gar&amp;#231;ons vis-&amp;#224;-vis de l&amp;#8217;&amp;#233;valuation ? Deux approches ont &amp;#233;t&amp;#233; entreprises, une par questionnaires et l&amp;#8217;autre par entretiens semi-directifs collectifs. Les filles de Coll&amp;#232;ge ne per&amp;#231;oivent pas plus d&amp;#8217;in&amp;#233;galit&amp;#233;s li&amp;#233;es aux sexes en EPS que les gar&amp;#231;ons. Par contre, ces in&amp;#233;galit&amp;#233;s sont davantage per&amp;#231;ues en fin de scolarit&amp;#233; de Coll&amp;#232;ge (4e/3e) et par les &amp;#233;l&amp;#232;ves de d&amp;#233;but de scolarit&amp;#233; (6e/5e) de milieu d&amp;#233;favoris&amp;#233; compar&amp;#233;s &amp;#224; ceux de milieu favoris&amp;#233;. Or ces in&amp;#233;galit&amp;#233;s ne sont pas toujours assimil&amp;#233;es &amp;#224; des injustices. Seuls les gar&amp;#231;ons de fin de scolarit&amp;#233; per&amp;#231;oivent des injustices entre les sexes. Les &amp;#233;l&amp;#232;ves de d&amp;#233;but de scolarit&amp;#233; (6e/5e) per&amp;#231;oivent une injustice non pas par rapport au sexe mais par rapport &amp;#224; la pratique sportive extra-scolaire, entre &amp;#171; sportifs &amp;#187; et &amp;#171; novices &amp;#187;. Ces r&amp;#233;sultats permettent de questionner l&amp;#8217;importance des in&amp;#233;galit&amp;#233;s entre les sexes en EPS. Les filles ont d&amp;#8217;une certaine mani&amp;#232;re int&amp;#233;rioris&amp;#233; leur statut d&amp;#8217;inf&amp;#233;riorit&amp;#233; en EPS.","container-title":"Staps","ISSN":"0247-106X","issue":"2","language":"fr","note":"publisher: De Boeck Supérieur","page":"77-93","source":"www.cairn.info","title":"Les inégalités entre les sexes dans l'évaluation en EPS : sentiment d'injustice chez les collégiens","title-short":"Les inégalités entre les sexes dans l'évaluation en EPS","volume":"no 68","author":[{"family":"Lentillon-Kaestner","given":"Vanessa"},{"family":"Cogérino","given":"Geneviève"}],"issued":{"date-parts":[["2005",10,1]]}}}],"schema":"https://github.com/citation-style-language/schema/raw/master/csl-citation.json"} </w:instrText>
      </w:r>
      <w:r w:rsidR="00786350"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[7]</w:t>
      </w:r>
      <w:r w:rsidR="00786350" w:rsidRPr="006217CB">
        <w:rPr>
          <w:rFonts w:ascii="Times New Roman" w:hAnsi="Times New Roman"/>
          <w:sz w:val="24"/>
          <w:szCs w:val="24"/>
          <w:lang w:val="en-US"/>
        </w:rPr>
        <w:fldChar w:fldCharType="end"/>
      </w:r>
      <w:r w:rsidRPr="006217CB">
        <w:rPr>
          <w:rFonts w:ascii="Times New Roman" w:hAnsi="Times New Roman"/>
          <w:sz w:val="24"/>
          <w:szCs w:val="24"/>
          <w:lang w:val="en-US"/>
        </w:rPr>
        <w:t xml:space="preserve">. Factors contributing to this disparity include socialization patterns, gender stereotypes, and inherent biases in PE programs and assessment criteria </w:t>
      </w:r>
      <w:r w:rsidR="00786350" w:rsidRPr="006217CB">
        <w:rPr>
          <w:rFonts w:ascii="Times New Roman" w:hAnsi="Times New Roman"/>
          <w:sz w:val="24"/>
          <w:szCs w:val="24"/>
          <w:lang w:val="en-US"/>
        </w:rPr>
        <w:fldChar w:fldCharType="begin"/>
      </w:r>
      <w:r w:rsidR="00786350" w:rsidRPr="006217CB">
        <w:rPr>
          <w:rFonts w:ascii="Times New Roman" w:hAnsi="Times New Roman"/>
          <w:sz w:val="24"/>
          <w:szCs w:val="24"/>
          <w:lang w:val="en-US"/>
        </w:rPr>
        <w:instrText xml:space="preserve"> ADDIN ZOTERO_ITEM CSL_CITATION {"citationID":"jM2VgslQ","properties":{"formattedCitation":"[8\\uc0\\u8211{}10]","plainCitation":"[8–10]","noteIndex":0},"citationItems":[{"id":159,"uris":["http://zotero.org/users/7342294/items/PIMJ7VZS"],"itemData":{"id":159,"type":"article-journal","abstract":"En EPS, l’observation des écarts de résultats aux examens entre filles et garçons contraste avec les analyses réalisées dans les autres disciplines. Les résultats des filles en EPS sont faibles et systématiquement inférieurs à ceux des garçons. Parallèlement, se combinent aux effets de genre, de puissants effets sociaux qui surprennent parfois dans un contexte d’évaluation et de réalisation de performances sportives inférées à la détention de qualités physiques. Si les travaux en sociologie de l’éducation montrent que l’EPS se fond dans le moule traditionnel de l’excellence scolaire en en embrassant les normes et les valeurs, le travail présenté ici expose une approche complémentaire qui s’attache aux représentations et attentes des enseignants de cette discipline, susceptibles de produire chez leurs élèves des deux sexes des inégalités de réussite sans rapport aucun avec leurs ressources physiologiques.","container-title":"Revue française de pédagogie. Recherches en éducation","DOI":"10.4000/rfp.146","ISSN":"0556-7807","issue":"154","language":"fr","license":"© tous droits réservés","note":"number: 154\npublisher: ENS Éditions","page":"11-124","source":"journals.openedition.org","title":"Les inégalités de réussite en EPS entre filles et garçons : déterminisme biologique ou fabrication scolaire ?","title-short":"Les inégalités de réussite en EPS entre filles et garçons","author":[{"family":"Vigneron","given":"Cécile"}],"issued":{"date-parts":[["2006",3,1]]}}},{"id":74,"uris":["http://zotero.org/users/7342294/items/J2KKN99N"],"itemData":{"id":74,"type":"article-journal","abstract":"Background: Limited research has been conducted on student voice with students in physical education. Accessing and responding to student voice are relevant for researchers and physical education teachers to develop physical education programs that are meaningful and have a sense of purpose to the students themselves. It is through listening to student voices that researchers and teachers might learn how students navigate power structures, formulated by adults, which typically dominate physical education curricula and exclude students from the process of curricular decision-making and implementation and, ultimately, ownership of their own learning and movement experiences. Purpose: This study explored how secondary-school girls, through their voices, identified and critiqued their self-identified barriers to their engagement in and enjoyment of physical education and navigated these barriers and the unequal power relations they encountered to thrive or survive in physical education. Participants and setting: Participants were seven 9th and 10th grade girls in a coeducational physical education class in a rural high school located in the northeast region of the USA. Data collection: Data were collected from the following sources: (a) focus group interviews, (b) formal interviews with the adolescent girls, (c) descriptive field notes of the girls' physical education classes, and (d) informal conversations with the physical education teachers. Data analysis: Data analysis was conducted simultaneously with the data collection process throughout this study. Field notes were word-processed into narratives and the focus group and formal interviews were transcribed verbatim. The transcriptions and field notes were coded using content analysis and the constant comparative method. Findings: Interpretations include the participants' self-identified barriers to their engagement in and enjoyment of physical education and their critique of these self-identified barriers and how they navigated these barriers and the unequal power relations they encountered within physical education. Girls' self-identified barriers included \"Proving themselves to the boys,\" \"Girls are supposed to do girly things and boys are supposed to do boy-ee things,\" and \"There's a risk of being embarrassed.\" Through discourse and critical inquiry, the participants were able to voice their self-identified barriers and individual lived experiences. Although the participants experienced these barriers, they were able to embody their comfort and enjoyment by navigating their participation within particular contexts and situations to thrive or survive in physical education.","container-title":"Physical Education and Sport Pedagogy","DOI":"10.1080/17408989.2011.649724","ISSN":"1740-8989","issue":"2","language":"en","note":"publisher: Routledge\nERIC Number: EJ1025979","page":"184-203","source":"ERIC","title":"\"Are You Listening?\": Adolescent Girls Voice How They Negotiate Self-Identified Barriers to Their Success and Survival in Physical Education","title-short":"\"Are You Listening?","volume":"18","author":[{"family":"Fisette","given":"Jennifer L."}],"issued":{"date-parts":[["2013"]]}}},{"id":33,"uris":["http://zotero.org/users/7342294/items/TLQGN94M"],"itemData":{"id":33,"type":"article-journal","abstract":"A total of 852 adolescents between 12 and 17 years of age were evaluated (M = 14.86, SD = 1.67), randomly selected among a population of secondary school and Baccalaureate students. We applied an “ad hoc” questionnaire on sociodemographic data and the Self-Report of Reasons for the Practice of Physical Exercise (AMPEF) and Self-Report of Barriers to the Practice of Physical Exercise (ABPEF) questionnaires. The results obtained show a prevalence of competition, social recognition, and challenge as motivational factors, and fatigue or laziness as barriers to physical exercise among adolescents. With respect to gender, boys show a greater presence of motivations towards doing physical exercise, while girls show more barriers. In conclusion, the motivational factors and barriers interact and support each other for a better predisposition towards physical exercise.","container-title":"International Journal of Environmental Research and Public Health","DOI":"10.3390/ijerph17010168","ISSN":"1660-4601","issue":"1","language":"en","license":"http://creativecommons.org/licenses/by/3.0/","note":"number: 1\npublisher: Multidisciplinary Digital Publishing Institute","page":"168","source":"www.mdpi.com","title":"Gender Differences in Motivation and Barriers for The Practice of Physical Exercise in Adolescence","volume":"17","author":[{"family":"Portela-Pino","given":"Iago"},{"family":"López-Castedo","given":"Antonio"},{"family":"Martínez-Patiño","given":"María José"},{"family":"Valverde-Esteve","given":"Teresa"},{"family":"Domínguez-Alonso","given":"José"}],"issued":{"date-parts":[["2020",1]]}}}],"schema":"https://github.com/citation-style-language/schema/raw/master/csl-citation.json"} </w:instrText>
      </w:r>
      <w:r w:rsidR="00786350" w:rsidRPr="006217CB">
        <w:rPr>
          <w:rFonts w:ascii="Times New Roman" w:hAnsi="Times New Roman"/>
          <w:sz w:val="24"/>
          <w:szCs w:val="24"/>
          <w:lang w:val="en-US"/>
        </w:rPr>
        <w:fldChar w:fldCharType="separate"/>
      </w:r>
      <w:r w:rsidR="00786350" w:rsidRPr="006217CB">
        <w:rPr>
          <w:rFonts w:ascii="Times New Roman" w:hAnsi="Times New Roman"/>
          <w:sz w:val="24"/>
          <w:szCs w:val="24"/>
          <w:lang w:val="en-US"/>
        </w:rPr>
        <w:t>[8–10]</w:t>
      </w:r>
      <w:r w:rsidR="00786350" w:rsidRPr="006217CB">
        <w:rPr>
          <w:rFonts w:ascii="Times New Roman" w:hAnsi="Times New Roman"/>
          <w:sz w:val="24"/>
          <w:szCs w:val="24"/>
          <w:lang w:val="en-US"/>
        </w:rPr>
        <w:fldChar w:fldCharType="end"/>
      </w:r>
      <w:r w:rsidRPr="006217CB">
        <w:rPr>
          <w:rFonts w:ascii="Times New Roman" w:hAnsi="Times New Roman"/>
          <w:sz w:val="24"/>
          <w:szCs w:val="24"/>
          <w:lang w:val="en-US"/>
        </w:rPr>
        <w:t>. For instance, certain PE program components are perceived as masculine or feminine, influencing participation and performance</w:t>
      </w:r>
      <w:r w:rsidR="006217CB" w:rsidRPr="006217CB">
        <w:rPr>
          <w:rFonts w:ascii="Times New Roman" w:hAnsi="Times New Roman"/>
          <w:sz w:val="24"/>
          <w:szCs w:val="24"/>
          <w:lang w:val="en-US"/>
        </w:rPr>
        <w:t xml:space="preserve"> </w:t>
      </w:r>
      <w:r w:rsidR="006217CB" w:rsidRPr="006217CB">
        <w:rPr>
          <w:rFonts w:ascii="Times New Roman" w:hAnsi="Times New Roman"/>
          <w:sz w:val="24"/>
          <w:szCs w:val="24"/>
          <w:lang w:val="en-US"/>
        </w:rPr>
        <w:fldChar w:fldCharType="begin"/>
      </w:r>
      <w:r w:rsidR="006217CB" w:rsidRPr="006217CB">
        <w:rPr>
          <w:rFonts w:ascii="Times New Roman" w:hAnsi="Times New Roman"/>
          <w:sz w:val="24"/>
          <w:szCs w:val="24"/>
          <w:lang w:val="en-US"/>
        </w:rPr>
        <w:instrText xml:space="preserve"> ADDIN ZOTERO_ITEM CSL_CITATION {"citationID":"ddfZxRLX","properties":{"formattedCitation":"[11]","plainCitation":"[11]","noteIndex":0},"citationItems":[{"id":3855,"uris":["http://zotero.org/users/7342294/items/HCLRAI3Y"],"itemData":{"id":3855,"type":"article-journal","abstract":"Participation in sport and Physical Education (PE) has historically been heavily gendered, and the glorification of masculinity and sporting prowess is viewed as a potentially negative influence on participation for both males and females. This paper explores male and female experiences of sport and PE to grasp how the field of physical culture represents a space for the development and enactment of gendered behaviours and norms within an active identity. Fifty-one individual or paired semi-structured interviews were conducted with 33 young men and 37 young women in Year 11 (aged 15–16) at three demographically varied schools in North East England. Using Bourdieu’s concepts of habitus, field, capital and doxa, this paper demonstrates that these young people identify feeling trapped in gendered norms and beliefs which recreate rigid notions of acceptable behaviours for young men and women. Interviewees often described gender in biological terms through a belief that masculinity is associated with maleness and femininity with femaleness. Through encouraging reflexivity as part of the interview process, young people were able to identify the (usually) non-conscious elements of their gendered habitus, which represent the taken-for-granted assumptions about masculinity and femininity which direct practice. Perceived gender pressures lead to self- and peer-surveillance within PE environments, whereby capital is allocated to gender- and sport-appropriate bodies. These findings suggest that PE and school structures regulate adolescent bodies, affecting participation in sport and physical activity in heavily gendered ways. Therefore, limited opportunities are available for young people to transgress the restrictive social norms which normalise the role of sport and PE for a successful male identity whilst simultaneously undermining the presence of an athletic female.","container-title":"Sport, Education and Society","DOI":"10.1080/13573322.2018.1493574","ISSN":"1357-3322","issue":"7","note":"publisher: Routledge\n_eprint: https://doi.org/10.1080/13573322.2018.1493574","page":"681-693","source":"Taylor and Francis+NEJM","title":"Adolescent constructions of gendered identities: the role of sport and (physical) education","title-short":"Adolescent constructions of gendered identities","volume":"23","author":[{"family":"Metcalfe","given":"Sarah"}],"issued":{"date-parts":[["2018",9,2]]}}}],"schema":"https://github.com/citation-style-language/schema/raw/master/csl-citation.json"} </w:instrText>
      </w:r>
      <w:r w:rsidR="006217CB" w:rsidRPr="006217CB">
        <w:rPr>
          <w:rFonts w:ascii="Times New Roman" w:hAnsi="Times New Roman"/>
          <w:sz w:val="24"/>
          <w:szCs w:val="24"/>
          <w:lang w:val="en-US"/>
        </w:rPr>
        <w:fldChar w:fldCharType="separate"/>
      </w:r>
      <w:r w:rsidR="006217CB" w:rsidRPr="006217CB">
        <w:rPr>
          <w:rFonts w:ascii="Times New Roman" w:hAnsi="Times New Roman"/>
          <w:sz w:val="24"/>
          <w:szCs w:val="24"/>
          <w:lang w:val="en-US"/>
        </w:rPr>
        <w:t>[11]</w:t>
      </w:r>
      <w:r w:rsidR="006217CB" w:rsidRPr="006217CB">
        <w:rPr>
          <w:rFonts w:ascii="Times New Roman" w:hAnsi="Times New Roman"/>
          <w:sz w:val="24"/>
          <w:szCs w:val="24"/>
          <w:lang w:val="en-US"/>
        </w:rPr>
        <w:fldChar w:fldCharType="end"/>
      </w:r>
    </w:p>
    <w:p w14:paraId="21D7AF14" w14:textId="443EFB75"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rFonts w:ascii="Times New Roman" w:hAnsi="Times New Roman"/>
          <w:sz w:val="24"/>
          <w:szCs w:val="24"/>
          <w:lang w:val="en-GB"/>
        </w:rPr>
      </w:pPr>
      <w:r w:rsidRPr="006217CB">
        <w:rPr>
          <w:rFonts w:ascii="Times New Roman" w:hAnsi="Times New Roman"/>
          <w:sz w:val="24"/>
          <w:szCs w:val="24"/>
          <w:lang w:val="en-GB"/>
        </w:rPr>
        <w:lastRenderedPageBreak/>
        <w:t xml:space="preserve">The ecological model by Bauman et al. (2012) offers a comprehensive framework for understanding </w:t>
      </w:r>
      <w:r w:rsidR="00EE1FFF" w:rsidRPr="006217CB">
        <w:rPr>
          <w:rFonts w:ascii="Times New Roman" w:hAnsi="Times New Roman"/>
          <w:sz w:val="24"/>
          <w:szCs w:val="24"/>
          <w:lang w:val="en-GB"/>
        </w:rPr>
        <w:t>the complexity of PA engagement,</w:t>
      </w:r>
      <w:r w:rsidRPr="006217CB">
        <w:rPr>
          <w:rFonts w:ascii="Times New Roman" w:hAnsi="Times New Roman"/>
          <w:sz w:val="24"/>
          <w:szCs w:val="24"/>
          <w:lang w:val="en-GB"/>
        </w:rPr>
        <w:t xml:space="preserve"> highlighting the interplay of individual, interpersonal, environmental, and policy factors in shaping PA </w:t>
      </w:r>
      <w:r w:rsidR="00580556" w:rsidRPr="006217CB">
        <w:rPr>
          <w:rFonts w:ascii="Times New Roman" w:hAnsi="Times New Roman"/>
          <w:sz w:val="24"/>
          <w:szCs w:val="24"/>
          <w:lang w:val="en-GB"/>
        </w:rPr>
        <w:t>behaviour</w:t>
      </w:r>
      <w:r w:rsidRPr="006217CB">
        <w:rPr>
          <w:rFonts w:ascii="Times New Roman" w:hAnsi="Times New Roman"/>
          <w:sz w:val="24"/>
          <w:szCs w:val="24"/>
          <w:lang w:val="en-GB"/>
        </w:rPr>
        <w:t xml:space="preserve"> </w:t>
      </w:r>
      <w:r w:rsidR="00786350" w:rsidRPr="006217CB">
        <w:rPr>
          <w:rFonts w:ascii="Times New Roman" w:hAnsi="Times New Roman"/>
          <w:sz w:val="24"/>
          <w:szCs w:val="24"/>
          <w:lang w:val="en-GB"/>
        </w:rPr>
        <w:fldChar w:fldCharType="begin"/>
      </w:r>
      <w:r w:rsidR="006217CB" w:rsidRPr="006217CB">
        <w:rPr>
          <w:rFonts w:ascii="Times New Roman" w:hAnsi="Times New Roman"/>
          <w:sz w:val="24"/>
          <w:szCs w:val="24"/>
          <w:lang w:val="en-GB"/>
        </w:rPr>
        <w:instrText xml:space="preserve"> ADDIN ZOTERO_ITEM CSL_CITATION {"citationID":"jRw0aMgF","properties":{"formattedCitation":"[12]","plainCitation":"[12]","noteIndex":0},"citationItems":[{"id":6,"uris":["http://zotero.org/users/7342294/items/94EZKAB2"],"itemData":{"id":6,"type":"article-journal","abstract":"&lt;h2&gt;Summary&lt;/h2&gt;&lt;p&gt;Physical inactivity is an important contributor to non-communicable diseases in countries of high income, and increasingly so in those of low and middle income. Understanding why people are physically active or inactive contributes to evidence-based planning of public health interventions, because effective programmes will target factors known to cause inactivity. Research into correlates (factors associated with activity) or determinants (those with a causal relationship) has burgeoned in the past two decades, but has mostly focused on individual-level factors in high-income countries. It has shown that age, sex, health status, self-efficacy, and motivation are associated with physical activity. Ecological models take a broad view of health behaviour causation, with the social and physical environment included as contributors to physical inactivity, particularly those outside the health sector, such as urban planning, transportation systems, and parks and trails. New areas of determinants research have identified genetic factors contributing to the propensity to be physically active, and evolutionary factors and obesity that might predispose to inactivity, and have explored the longitudinal tracking of physical activity throughout life. An understanding of correlates and determinants, especially in countries of low and middle income, could reduce the effect of future epidemics of inactivity and contribute to effective global prevention of non-communicable diseases.&lt;/p&gt;","container-title":"The Lancet","DOI":"10.1016/S0140-6736(12)60735-1","ISSN":"0140-6736, 1474-547X","issue":"9838","journalAbbreviation":"The Lancet","language":"English","note":"publisher: Elsevier\nPMID: 22818938","page":"258-271","source":"www.thelancet.com","title":"Correlates of physical activity: why are some people physically active and others not?","title-short":"Correlates of physical activity","volume":"380","author":[{"family":"Bauman","given":"Adrian E."},{"family":"Reis","given":"Rodrigo S."},{"family":"Sallis","given":"James F."},{"family":"Wells","given":"Jonathan C."},{"family":"Loos","given":"Ruth JF"},{"family":"Martin","given":"Brian W."}],"issued":{"date-parts":[["2012",7,21]]}}}],"schema":"https://github.com/citation-style-language/schema/raw/master/csl-citation.json"} </w:instrText>
      </w:r>
      <w:r w:rsidR="00786350" w:rsidRPr="006217CB">
        <w:rPr>
          <w:rFonts w:ascii="Times New Roman" w:hAnsi="Times New Roman"/>
          <w:sz w:val="24"/>
          <w:szCs w:val="24"/>
          <w:lang w:val="en-GB"/>
        </w:rPr>
        <w:fldChar w:fldCharType="separate"/>
      </w:r>
      <w:r w:rsidR="006217CB" w:rsidRPr="006217CB">
        <w:rPr>
          <w:rFonts w:ascii="Times New Roman" w:hAnsi="Times New Roman"/>
          <w:sz w:val="24"/>
          <w:szCs w:val="24"/>
          <w:lang w:val="en-US"/>
        </w:rPr>
        <w:t>[12]</w:t>
      </w:r>
      <w:r w:rsidR="00786350" w:rsidRPr="006217CB">
        <w:rPr>
          <w:rFonts w:ascii="Times New Roman" w:hAnsi="Times New Roman"/>
          <w:sz w:val="24"/>
          <w:szCs w:val="24"/>
          <w:lang w:val="en-GB"/>
        </w:rPr>
        <w:fldChar w:fldCharType="end"/>
      </w:r>
      <w:r w:rsidRPr="006217CB">
        <w:rPr>
          <w:rFonts w:ascii="Times New Roman" w:hAnsi="Times New Roman"/>
          <w:sz w:val="24"/>
          <w:szCs w:val="24"/>
          <w:lang w:val="en-GB"/>
        </w:rPr>
        <w:t xml:space="preserve">. Despite recognizing the gender imbalance in PE engagement, empirical quantification and analysis of its determinants have been limited. </w:t>
      </w:r>
    </w:p>
    <w:p w14:paraId="03616A02" w14:textId="2364F68E"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rFonts w:ascii="Times New Roman" w:hAnsi="Times New Roman"/>
          <w:sz w:val="24"/>
          <w:szCs w:val="24"/>
          <w:lang w:val="en-US"/>
        </w:rPr>
      </w:pPr>
      <w:r w:rsidRPr="006217CB">
        <w:rPr>
          <w:rFonts w:ascii="Times New Roman" w:hAnsi="Times New Roman"/>
          <w:sz w:val="24"/>
          <w:szCs w:val="24"/>
          <w:lang w:val="en-US"/>
        </w:rPr>
        <w:t xml:space="preserve">This study aims to investigate the conditions that exacerbate or mitigate gender differences in PA engagement during PE classes, within the context of the ecological framework. Our hypotheses posit that: </w:t>
      </w:r>
      <w:r w:rsidR="00E82B35">
        <w:rPr>
          <w:rFonts w:ascii="Times New Roman" w:hAnsi="Times New Roman"/>
          <w:sz w:val="24"/>
          <w:szCs w:val="24"/>
          <w:lang w:val="en-US"/>
        </w:rPr>
        <w:t>(1</w:t>
      </w:r>
      <w:r w:rsidRPr="006217CB">
        <w:rPr>
          <w:rFonts w:ascii="Times New Roman" w:hAnsi="Times New Roman"/>
          <w:sz w:val="24"/>
          <w:szCs w:val="24"/>
          <w:lang w:val="en-US"/>
        </w:rPr>
        <w:t xml:space="preserve">) Boys exhibit significantly higher motor engagement in PE than girls; </w:t>
      </w:r>
      <w:r w:rsidR="00E82B35">
        <w:rPr>
          <w:rFonts w:ascii="Times New Roman" w:hAnsi="Times New Roman"/>
          <w:sz w:val="24"/>
          <w:szCs w:val="24"/>
          <w:lang w:val="en-US"/>
        </w:rPr>
        <w:t>(2</w:t>
      </w:r>
      <w:r w:rsidRPr="006217CB">
        <w:rPr>
          <w:rFonts w:ascii="Times New Roman" w:hAnsi="Times New Roman"/>
          <w:sz w:val="24"/>
          <w:szCs w:val="24"/>
          <w:lang w:val="en-US"/>
        </w:rPr>
        <w:t xml:space="preserve">) Individual relationships with PA and sport critically influence engagement levels; </w:t>
      </w:r>
      <w:r w:rsidR="00E82B35">
        <w:rPr>
          <w:rFonts w:ascii="Times New Roman" w:hAnsi="Times New Roman"/>
          <w:sz w:val="24"/>
          <w:szCs w:val="24"/>
          <w:lang w:val="en-US"/>
        </w:rPr>
        <w:t>(3</w:t>
      </w:r>
      <w:r w:rsidRPr="006217CB">
        <w:rPr>
          <w:rFonts w:ascii="Times New Roman" w:hAnsi="Times New Roman"/>
          <w:sz w:val="24"/>
          <w:szCs w:val="24"/>
          <w:lang w:val="en-US"/>
        </w:rPr>
        <w:t xml:space="preserve">) The cultural gendering of activities mediates this engagement; </w:t>
      </w:r>
      <w:r w:rsidR="00E82B35">
        <w:rPr>
          <w:rFonts w:ascii="Times New Roman" w:hAnsi="Times New Roman"/>
          <w:sz w:val="24"/>
          <w:szCs w:val="24"/>
          <w:lang w:val="en-US"/>
        </w:rPr>
        <w:t>(4</w:t>
      </w:r>
      <w:r w:rsidRPr="006217CB">
        <w:rPr>
          <w:rFonts w:ascii="Times New Roman" w:hAnsi="Times New Roman"/>
          <w:sz w:val="24"/>
          <w:szCs w:val="24"/>
          <w:lang w:val="en-US"/>
        </w:rPr>
        <w:t xml:space="preserve">) Socio-cultural and geographical school characteristics correlate with the gender gap, being less pronounced in advantaged urban settings and more so in disadvantaged urban and rural areas; </w:t>
      </w:r>
      <w:r w:rsidR="00E82B35">
        <w:rPr>
          <w:rFonts w:ascii="Times New Roman" w:hAnsi="Times New Roman"/>
          <w:sz w:val="24"/>
          <w:szCs w:val="24"/>
          <w:lang w:val="en-US"/>
        </w:rPr>
        <w:t>(5</w:t>
      </w:r>
      <w:r w:rsidRPr="006217CB">
        <w:rPr>
          <w:rFonts w:ascii="Times New Roman" w:hAnsi="Times New Roman"/>
          <w:sz w:val="24"/>
          <w:szCs w:val="24"/>
          <w:lang w:val="en-US"/>
        </w:rPr>
        <w:t>) Teachers' ability to create an inclusive environment can diminish gender disparities in PE engagement.</w:t>
      </w:r>
    </w:p>
    <w:p w14:paraId="4B2C92D6" w14:textId="0BED5D87" w:rsidR="00DB55F9" w:rsidRPr="006217CB" w:rsidRDefault="00DD0898" w:rsidP="00793B2F">
      <w:pPr>
        <w:spacing w:line="480" w:lineRule="auto"/>
        <w:jc w:val="center"/>
        <w:rPr>
          <w:sz w:val="24"/>
          <w:szCs w:val="24"/>
          <w:lang w:val="en-US"/>
        </w:rPr>
      </w:pPr>
      <w:r w:rsidRPr="006217CB">
        <w:rPr>
          <w:rFonts w:ascii="Times New Roman" w:hAnsi="Times New Roman"/>
          <w:b/>
          <w:bCs/>
          <w:sz w:val="24"/>
          <w:szCs w:val="24"/>
          <w:lang w:val="en-GB"/>
        </w:rPr>
        <w:t>Methods</w:t>
      </w:r>
    </w:p>
    <w:p w14:paraId="11612EC8" w14:textId="18D96B8F" w:rsidR="00EE1FFF" w:rsidRPr="006217CB" w:rsidRDefault="00EE1FFF" w:rsidP="00793B2F">
      <w:pPr>
        <w:pBdr>
          <w:top w:val="none" w:sz="4" w:space="0" w:color="000000"/>
          <w:left w:val="none" w:sz="4" w:space="0" w:color="000000"/>
          <w:bottom w:val="none" w:sz="4" w:space="0" w:color="000000"/>
          <w:right w:val="none" w:sz="4" w:space="0" w:color="000000"/>
        </w:pBdr>
        <w:spacing w:after="0" w:line="480" w:lineRule="auto"/>
        <w:ind w:firstLine="708"/>
        <w:rPr>
          <w:rFonts w:ascii="Times New Roman" w:hAnsi="Times New Roman"/>
          <w:sz w:val="24"/>
          <w:szCs w:val="24"/>
          <w:lang w:val="en-US"/>
        </w:rPr>
      </w:pPr>
      <w:r w:rsidRPr="006217CB">
        <w:rPr>
          <w:rFonts w:ascii="Times New Roman" w:hAnsi="Times New Roman"/>
          <w:sz w:val="24"/>
          <w:szCs w:val="24"/>
          <w:lang w:val="en-US"/>
        </w:rPr>
        <w:t>The research methodology for this study received ethical approval from the university's ethics board in July 2023, under the reference number CER 2023-16. Using a mixed</w:t>
      </w:r>
      <w:r w:rsidR="00C02316">
        <w:rPr>
          <w:rFonts w:ascii="Times New Roman" w:hAnsi="Times New Roman"/>
          <w:sz w:val="24"/>
          <w:szCs w:val="24"/>
          <w:lang w:val="en-US"/>
        </w:rPr>
        <w:t xml:space="preserve"> </w:t>
      </w:r>
      <w:r w:rsidRPr="006217CB">
        <w:rPr>
          <w:rFonts w:ascii="Times New Roman" w:hAnsi="Times New Roman"/>
          <w:sz w:val="24"/>
          <w:szCs w:val="24"/>
          <w:lang w:val="en-US"/>
        </w:rPr>
        <w:t>methods approach, the study combines quantitative tools, such as accelerometers and questionnaires, with qualitative techniques, including semi-structured interviews conducted in creative focus group</w:t>
      </w:r>
      <w:r w:rsidR="00C02316">
        <w:rPr>
          <w:rFonts w:ascii="Times New Roman" w:hAnsi="Times New Roman"/>
          <w:sz w:val="24"/>
          <w:szCs w:val="24"/>
          <w:lang w:val="en-US"/>
        </w:rPr>
        <w:t>s</w:t>
      </w:r>
      <w:r w:rsidRPr="006217CB">
        <w:rPr>
          <w:rFonts w:ascii="Times New Roman" w:hAnsi="Times New Roman"/>
          <w:sz w:val="24"/>
          <w:szCs w:val="24"/>
          <w:lang w:val="en-US"/>
        </w:rPr>
        <w:t xml:space="preserve"> settings</w:t>
      </w:r>
      <w:r w:rsidR="00C02316">
        <w:rPr>
          <w:rFonts w:ascii="Times New Roman" w:hAnsi="Times New Roman"/>
          <w:sz w:val="24"/>
          <w:szCs w:val="24"/>
          <w:lang w:val="en-US"/>
        </w:rPr>
        <w:t xml:space="preserve"> and ethnographic notebooks</w:t>
      </w:r>
      <w:r w:rsidRPr="006217CB">
        <w:rPr>
          <w:rFonts w:ascii="Times New Roman" w:hAnsi="Times New Roman"/>
          <w:sz w:val="24"/>
          <w:szCs w:val="24"/>
          <w:lang w:val="en-US"/>
        </w:rPr>
        <w:t>. As Creswell</w:t>
      </w:r>
      <w:r w:rsidR="00725BD1">
        <w:rPr>
          <w:rFonts w:ascii="Times New Roman" w:hAnsi="Times New Roman"/>
          <w:sz w:val="24"/>
          <w:szCs w:val="24"/>
          <w:lang w:val="en-US"/>
        </w:rPr>
        <w:t xml:space="preserve"> (</w:t>
      </w:r>
      <w:r w:rsidRPr="006217CB">
        <w:rPr>
          <w:rFonts w:ascii="Times New Roman" w:hAnsi="Times New Roman"/>
          <w:sz w:val="24"/>
          <w:szCs w:val="24"/>
          <w:lang w:val="en-US"/>
        </w:rPr>
        <w:t>2009) explains, this mixed</w:t>
      </w:r>
      <w:r w:rsidR="00C02316">
        <w:rPr>
          <w:rFonts w:ascii="Times New Roman" w:hAnsi="Times New Roman"/>
          <w:sz w:val="24"/>
          <w:szCs w:val="24"/>
          <w:lang w:val="en-US"/>
        </w:rPr>
        <w:t xml:space="preserve"> </w:t>
      </w:r>
      <w:r w:rsidRPr="006217CB">
        <w:rPr>
          <w:rFonts w:ascii="Times New Roman" w:hAnsi="Times New Roman"/>
          <w:sz w:val="24"/>
          <w:szCs w:val="24"/>
          <w:lang w:val="en-US"/>
        </w:rPr>
        <w:t>methods approach is crucial for a comprehensive understanding of complex issues in human sciences, providing richer and more nuanced insights than single-method approaches</w:t>
      </w:r>
      <w:r w:rsidR="00E82B35">
        <w:rPr>
          <w:rFonts w:ascii="Times New Roman" w:hAnsi="Times New Roman"/>
          <w:sz w:val="24"/>
          <w:szCs w:val="24"/>
          <w:lang w:val="en-US"/>
        </w:rPr>
        <w:t xml:space="preserve"> </w:t>
      </w:r>
      <w:r w:rsidR="00E82B35">
        <w:rPr>
          <w:rFonts w:ascii="Times New Roman" w:hAnsi="Times New Roman"/>
          <w:sz w:val="24"/>
          <w:szCs w:val="24"/>
          <w:lang w:val="en-US"/>
        </w:rPr>
        <w:fldChar w:fldCharType="begin"/>
      </w:r>
      <w:r w:rsidR="00E82B35">
        <w:rPr>
          <w:rFonts w:ascii="Times New Roman" w:hAnsi="Times New Roman"/>
          <w:sz w:val="24"/>
          <w:szCs w:val="24"/>
          <w:lang w:val="en-US"/>
        </w:rPr>
        <w:instrText xml:space="preserve"> ADDIN ZOTERO_ITEM CSL_CITATION {"citationID":"2SVJa3KT","properties":{"formattedCitation":"[13]","plainCitation":"[13]","noteIndex":0},"citationItems":[{"id":3851,"uris":["http://zotero.org/users/7342294/items/R2VHPFV8"],"itemData":{"id":3851,"type":"article-journal","container-title":"Journal of Mixed Methods Research","DOI":"10.1177/1558689808330883","ISSN":"1558-6898","issue":"2","language":"en","note":"publisher: SAGE Publications","page":"95-108","source":"SAGE Journals","title":"Editorial: Mapping the Field of Mixed Methods Research","title-short":"Editorial","volume":"3","author":[{"family":"Creswell","given":"John W."}],"issued":{"date-parts":[["2009",4,1]]}}}],"schema":"https://github.com/citation-style-language/schema/raw/master/csl-citation.json"} </w:instrText>
      </w:r>
      <w:r w:rsidR="00E82B35">
        <w:rPr>
          <w:rFonts w:ascii="Times New Roman" w:hAnsi="Times New Roman"/>
          <w:sz w:val="24"/>
          <w:szCs w:val="24"/>
          <w:lang w:val="en-US"/>
        </w:rPr>
        <w:fldChar w:fldCharType="separate"/>
      </w:r>
      <w:r w:rsidR="00E82B35" w:rsidRPr="00E82B35">
        <w:rPr>
          <w:rFonts w:ascii="Times New Roman" w:hAnsi="Times New Roman"/>
          <w:sz w:val="24"/>
          <w:lang w:val="en-US"/>
        </w:rPr>
        <w:t>[13]</w:t>
      </w:r>
      <w:r w:rsidR="00E82B35">
        <w:rPr>
          <w:rFonts w:ascii="Times New Roman" w:hAnsi="Times New Roman"/>
          <w:sz w:val="24"/>
          <w:szCs w:val="24"/>
          <w:lang w:val="en-US"/>
        </w:rPr>
        <w:fldChar w:fldCharType="end"/>
      </w:r>
      <w:r w:rsidR="00E82B35">
        <w:rPr>
          <w:rFonts w:ascii="Times New Roman" w:hAnsi="Times New Roman"/>
          <w:sz w:val="24"/>
          <w:szCs w:val="24"/>
          <w:lang w:val="en-US"/>
        </w:rPr>
        <w:t>.</w:t>
      </w:r>
    </w:p>
    <w:p w14:paraId="05AB2089" w14:textId="63154F15" w:rsidR="00EE1FFF" w:rsidRPr="006217CB" w:rsidRDefault="00EE1FFF" w:rsidP="00793B2F">
      <w:pPr>
        <w:pBdr>
          <w:top w:val="none" w:sz="4" w:space="0" w:color="000000"/>
          <w:left w:val="none" w:sz="4" w:space="0" w:color="000000"/>
          <w:bottom w:val="none" w:sz="4" w:space="0" w:color="000000"/>
          <w:right w:val="none" w:sz="4" w:space="0" w:color="000000"/>
        </w:pBdr>
        <w:spacing w:after="0" w:line="480" w:lineRule="auto"/>
        <w:ind w:firstLine="708"/>
        <w:rPr>
          <w:rFonts w:ascii="Times New Roman" w:hAnsi="Times New Roman"/>
          <w:sz w:val="24"/>
          <w:szCs w:val="24"/>
          <w:lang w:val="en-US"/>
        </w:rPr>
      </w:pPr>
      <w:r w:rsidRPr="006217CB">
        <w:rPr>
          <w:rFonts w:ascii="Times New Roman" w:hAnsi="Times New Roman"/>
          <w:sz w:val="24"/>
          <w:szCs w:val="24"/>
          <w:lang w:val="en-US"/>
        </w:rPr>
        <w:t>This study aims to gather data from a wide-ranging cohort in various French schools, covering both more and less advantaged secondary schools, focusing on four different types of physical activity. Accelerometers will be used to measure</w:t>
      </w:r>
      <w:r w:rsidR="007E5B49">
        <w:rPr>
          <w:rFonts w:ascii="Times New Roman" w:hAnsi="Times New Roman"/>
          <w:sz w:val="24"/>
          <w:szCs w:val="24"/>
          <w:lang w:val="en-US"/>
        </w:rPr>
        <w:t xml:space="preserve"> </w:t>
      </w:r>
      <w:r w:rsidRPr="006217CB">
        <w:rPr>
          <w:rFonts w:ascii="Times New Roman" w:hAnsi="Times New Roman"/>
          <w:sz w:val="24"/>
          <w:szCs w:val="24"/>
          <w:lang w:val="en-US"/>
        </w:rPr>
        <w:t>MVPA in both girls and boys during a two-hour mandatory PE class. Simultaneously, focus groups will delve into the factors influencing girls' participation in PE.</w:t>
      </w:r>
    </w:p>
    <w:p w14:paraId="1E8F7A15" w14:textId="7E45532D" w:rsidR="00213668" w:rsidRPr="00793B2F" w:rsidRDefault="00EE1FFF" w:rsidP="00793B2F">
      <w:pPr>
        <w:pBdr>
          <w:top w:val="none" w:sz="4" w:space="0" w:color="000000"/>
          <w:left w:val="none" w:sz="4" w:space="0" w:color="000000"/>
          <w:bottom w:val="none" w:sz="4" w:space="0" w:color="000000"/>
          <w:right w:val="none" w:sz="4" w:space="0" w:color="000000"/>
        </w:pBdr>
        <w:spacing w:after="0" w:line="480" w:lineRule="auto"/>
        <w:ind w:firstLine="708"/>
        <w:rPr>
          <w:sz w:val="24"/>
          <w:szCs w:val="24"/>
          <w:lang w:val="en-US"/>
        </w:rPr>
      </w:pPr>
      <w:r w:rsidRPr="006217CB">
        <w:rPr>
          <w:rFonts w:ascii="Times New Roman" w:hAnsi="Times New Roman"/>
          <w:sz w:val="24"/>
          <w:szCs w:val="24"/>
          <w:lang w:val="en-US"/>
        </w:rPr>
        <w:t>Special attention has been paid to gender and socio-demographic parity to ensure an unbiased representation in</w:t>
      </w:r>
      <w:r w:rsidR="007E5B49">
        <w:rPr>
          <w:rFonts w:ascii="Times New Roman" w:hAnsi="Times New Roman"/>
          <w:sz w:val="24"/>
          <w:szCs w:val="24"/>
          <w:lang w:val="en-US"/>
        </w:rPr>
        <w:t xml:space="preserve"> </w:t>
      </w:r>
      <w:r w:rsidRPr="006217CB">
        <w:rPr>
          <w:rFonts w:ascii="Times New Roman" w:hAnsi="Times New Roman"/>
          <w:sz w:val="24"/>
          <w:szCs w:val="24"/>
          <w:lang w:val="en-US"/>
        </w:rPr>
        <w:t xml:space="preserve">PA distribution, in line with </w:t>
      </w:r>
      <w:proofErr w:type="spellStart"/>
      <w:r w:rsidRPr="00F84FB9">
        <w:rPr>
          <w:rFonts w:ascii="Times New Roman" w:hAnsi="Times New Roman"/>
          <w:sz w:val="24"/>
          <w:szCs w:val="24"/>
          <w:lang w:val="en-US"/>
        </w:rPr>
        <w:t>Slootmaker</w:t>
      </w:r>
      <w:proofErr w:type="spellEnd"/>
      <w:r w:rsidRPr="00F84FB9">
        <w:rPr>
          <w:rFonts w:ascii="Times New Roman" w:hAnsi="Times New Roman"/>
          <w:sz w:val="24"/>
          <w:szCs w:val="24"/>
          <w:lang w:val="en-US"/>
        </w:rPr>
        <w:t xml:space="preserve"> et al. (2009).</w:t>
      </w:r>
      <w:r w:rsidRPr="006217CB">
        <w:rPr>
          <w:rFonts w:ascii="Times New Roman" w:hAnsi="Times New Roman"/>
          <w:sz w:val="24"/>
          <w:szCs w:val="24"/>
          <w:lang w:val="en-US"/>
        </w:rPr>
        <w:t xml:space="preserve"> The inclusion criteria include students from years 7 to 9 in lower-secondary schools in France, who consent to wear an accelerometer for </w:t>
      </w:r>
      <w:r w:rsidRPr="006217CB">
        <w:rPr>
          <w:rFonts w:ascii="Times New Roman" w:hAnsi="Times New Roman"/>
          <w:sz w:val="24"/>
          <w:szCs w:val="24"/>
          <w:lang w:val="en-US"/>
        </w:rPr>
        <w:lastRenderedPageBreak/>
        <w:t xml:space="preserve">an entire PE lesson. Along with PA data, sociodemographic information, such as age, sex, height, weight, email address, and phone number, will be collected, offering participants the option to withhold any of this information. Written consent will be obtained from all participants and their parents or caregivers prior to participation. Data collection is scheduled from April to June 2024 to minimize seasonal variations, adhering to </w:t>
      </w:r>
      <w:r w:rsidRPr="00F84FB9">
        <w:rPr>
          <w:rFonts w:ascii="Times New Roman" w:hAnsi="Times New Roman"/>
          <w:sz w:val="24"/>
          <w:szCs w:val="24"/>
          <w:lang w:val="en-US"/>
        </w:rPr>
        <w:t>the Declaration of Helsinki (2013)</w:t>
      </w:r>
      <w:r w:rsidRPr="006217CB">
        <w:rPr>
          <w:rFonts w:ascii="Times New Roman" w:hAnsi="Times New Roman"/>
          <w:sz w:val="24"/>
          <w:szCs w:val="24"/>
          <w:lang w:val="en-US"/>
        </w:rPr>
        <w:t xml:space="preserve"> guidelines, with the study's ethical approval granted by the Ethics Committee of </w:t>
      </w:r>
      <w:r w:rsidR="00C1508C">
        <w:rPr>
          <w:rFonts w:ascii="Times New Roman" w:hAnsi="Times New Roman"/>
          <w:sz w:val="24"/>
          <w:szCs w:val="24"/>
          <w:lang w:val="en-US"/>
        </w:rPr>
        <w:t xml:space="preserve">XXX </w:t>
      </w:r>
      <w:r w:rsidRPr="006217CB">
        <w:rPr>
          <w:rFonts w:ascii="Times New Roman" w:hAnsi="Times New Roman"/>
          <w:sz w:val="24"/>
          <w:szCs w:val="24"/>
          <w:lang w:val="en-US"/>
        </w:rPr>
        <w:t>University in July 2023.</w:t>
      </w:r>
    </w:p>
    <w:p w14:paraId="04CDD90A" w14:textId="2C29BECA" w:rsidR="00DB55F9" w:rsidRPr="006217CB" w:rsidRDefault="00DD0898" w:rsidP="00793B2F">
      <w:pPr>
        <w:spacing w:line="480" w:lineRule="auto"/>
        <w:rPr>
          <w:rFonts w:ascii="Times New Roman" w:hAnsi="Times New Roman"/>
          <w:b/>
          <w:bCs/>
          <w:sz w:val="24"/>
          <w:szCs w:val="24"/>
          <w:lang w:val="en-GB"/>
        </w:rPr>
      </w:pPr>
      <w:r w:rsidRPr="006217CB">
        <w:rPr>
          <w:rFonts w:ascii="Times New Roman" w:hAnsi="Times New Roman"/>
          <w:b/>
          <w:bCs/>
          <w:sz w:val="24"/>
          <w:szCs w:val="24"/>
          <w:lang w:val="en-GB"/>
        </w:rPr>
        <w:t>Participants</w:t>
      </w:r>
    </w:p>
    <w:p w14:paraId="3248937B" w14:textId="1EAA1EE6" w:rsidR="00E346AB" w:rsidRPr="006217CB" w:rsidRDefault="00E346AB"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The study focuses exclusively on students enrolled in junior high school (</w:t>
      </w:r>
      <w:r w:rsidR="00725BD1">
        <w:rPr>
          <w:rFonts w:ascii="Times New Roman" w:hAnsi="Times New Roman"/>
          <w:sz w:val="24"/>
          <w:szCs w:val="24"/>
          <w:lang w:val="en-GB"/>
        </w:rPr>
        <w:t>“</w:t>
      </w:r>
      <w:proofErr w:type="spellStart"/>
      <w:r w:rsidRPr="006217CB">
        <w:rPr>
          <w:rFonts w:ascii="Times New Roman" w:hAnsi="Times New Roman"/>
          <w:sz w:val="24"/>
          <w:szCs w:val="24"/>
          <w:lang w:val="en-GB"/>
        </w:rPr>
        <w:t>collège</w:t>
      </w:r>
      <w:proofErr w:type="spellEnd"/>
      <w:r w:rsidR="00725BD1">
        <w:rPr>
          <w:rFonts w:ascii="Times New Roman" w:hAnsi="Times New Roman"/>
          <w:sz w:val="24"/>
          <w:szCs w:val="24"/>
          <w:lang w:val="en-GB"/>
        </w:rPr>
        <w:t>”</w:t>
      </w:r>
      <w:r w:rsidRPr="006217CB">
        <w:rPr>
          <w:rFonts w:ascii="Times New Roman" w:hAnsi="Times New Roman"/>
          <w:sz w:val="24"/>
          <w:szCs w:val="24"/>
          <w:lang w:val="en-GB"/>
        </w:rPr>
        <w:t xml:space="preserve"> in France), covering grades 7 to 9. Formal authorization and a detailed explanation of the protocol will be obtained from inspectors, school principals, teachers, parents, and students.</w:t>
      </w:r>
    </w:p>
    <w:p w14:paraId="555788DF" w14:textId="189DDF1E" w:rsidR="00E346AB" w:rsidRPr="006217CB" w:rsidRDefault="00E346AB"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A power analysis, conducted using G*Power software, determined the required sample size for testing our hypotheses with an alpha level of 0.05 and a power level of 0.8. This analysis, set within a factorial design, considers three variables: gender (male/female), learning field (1, 2, 3, 4), and socio-economic background (deprived, average, affluent), creating a total of 24 groups. The results indicate that a sample of 1000 participants is needed to detect a small effect size (F=0.15), while 372 participants are sufficient for a medium effect size (F=0.25). Given that the average class size is about 30 students, our study's design efficiently includes one class per learning field for each socio-economic status category, adequately detecting medium-sized effects.</w:t>
      </w:r>
    </w:p>
    <w:p w14:paraId="1A2AA835" w14:textId="3632C235" w:rsidR="00E346AB" w:rsidRPr="006217CB" w:rsidRDefault="00E346AB"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Site selection targets public secondary schools in the </w:t>
      </w:r>
      <w:r w:rsidR="00C1508C">
        <w:rPr>
          <w:rFonts w:ascii="Times New Roman" w:hAnsi="Times New Roman"/>
          <w:sz w:val="24"/>
          <w:szCs w:val="24"/>
          <w:lang w:val="en-GB"/>
        </w:rPr>
        <w:t>XXX</w:t>
      </w:r>
      <w:r w:rsidRPr="006217CB">
        <w:rPr>
          <w:rFonts w:ascii="Times New Roman" w:hAnsi="Times New Roman"/>
          <w:sz w:val="24"/>
          <w:szCs w:val="24"/>
          <w:lang w:val="en-GB"/>
        </w:rPr>
        <w:t xml:space="preserve"> and </w:t>
      </w:r>
      <w:r w:rsidR="00C1508C">
        <w:rPr>
          <w:rFonts w:ascii="Times New Roman" w:hAnsi="Times New Roman"/>
          <w:sz w:val="24"/>
          <w:szCs w:val="24"/>
          <w:lang w:val="en-GB"/>
        </w:rPr>
        <w:t>XXX</w:t>
      </w:r>
      <w:r w:rsidRPr="006217CB">
        <w:rPr>
          <w:rFonts w:ascii="Times New Roman" w:hAnsi="Times New Roman"/>
          <w:sz w:val="24"/>
          <w:szCs w:val="24"/>
          <w:lang w:val="en-GB"/>
        </w:rPr>
        <w:t xml:space="preserve"> regions of France to achieve a geographically and socio-economically diverse sample. Schools are classified based on the Indicator of Social Position (I</w:t>
      </w:r>
      <w:r w:rsidR="00725BD1">
        <w:rPr>
          <w:rFonts w:ascii="Times New Roman" w:hAnsi="Times New Roman"/>
          <w:sz w:val="24"/>
          <w:szCs w:val="24"/>
          <w:lang w:val="en-GB"/>
        </w:rPr>
        <w:t>PS</w:t>
      </w:r>
      <w:r w:rsidRPr="006217CB">
        <w:rPr>
          <w:rFonts w:ascii="Times New Roman" w:hAnsi="Times New Roman"/>
          <w:sz w:val="24"/>
          <w:szCs w:val="24"/>
          <w:lang w:val="en-GB"/>
        </w:rPr>
        <w:t>), as defined by the French Ministry of Education, with an IPS below 80 indicating disadvantaged schools, between 80 and 119 as average, and above 120 as advantaged. This stratification enables a thorough analysis across different socio-economic educational environments.</w:t>
      </w:r>
    </w:p>
    <w:p w14:paraId="7183C0E2" w14:textId="77777777" w:rsidR="00E346AB" w:rsidRPr="006217CB" w:rsidRDefault="00E346AB" w:rsidP="00793B2F">
      <w:pPr>
        <w:spacing w:line="480" w:lineRule="auto"/>
        <w:rPr>
          <w:rFonts w:ascii="Times New Roman" w:hAnsi="Times New Roman"/>
          <w:sz w:val="24"/>
          <w:szCs w:val="24"/>
          <w:lang w:val="en-GB"/>
        </w:rPr>
      </w:pPr>
    </w:p>
    <w:p w14:paraId="0C0B1E92" w14:textId="4AA3B779" w:rsidR="00DB55F9" w:rsidRPr="006217CB" w:rsidRDefault="00E346AB" w:rsidP="00793B2F">
      <w:pPr>
        <w:spacing w:line="480" w:lineRule="auto"/>
        <w:ind w:firstLine="708"/>
        <w:rPr>
          <w:rFonts w:ascii="Times New Roman" w:hAnsi="Times New Roman"/>
          <w:b/>
          <w:bCs/>
          <w:sz w:val="24"/>
          <w:szCs w:val="24"/>
          <w:lang w:val="en-GB"/>
        </w:rPr>
      </w:pPr>
      <w:r w:rsidRPr="006217CB">
        <w:rPr>
          <w:rFonts w:ascii="Times New Roman" w:hAnsi="Times New Roman"/>
          <w:sz w:val="24"/>
          <w:szCs w:val="24"/>
          <w:lang w:val="en-GB"/>
        </w:rPr>
        <w:lastRenderedPageBreak/>
        <w:t xml:space="preserve">The quantitative protocol includes all volunteer students from </w:t>
      </w:r>
      <w:r w:rsidR="00C1508C">
        <w:rPr>
          <w:rFonts w:ascii="Times New Roman" w:hAnsi="Times New Roman"/>
          <w:sz w:val="24"/>
          <w:szCs w:val="24"/>
          <w:lang w:val="en-GB"/>
        </w:rPr>
        <w:t>XXX’s</w:t>
      </w:r>
      <w:r w:rsidRPr="006217CB">
        <w:rPr>
          <w:rFonts w:ascii="Times New Roman" w:hAnsi="Times New Roman"/>
          <w:sz w:val="24"/>
          <w:szCs w:val="24"/>
          <w:lang w:val="en-GB"/>
        </w:rPr>
        <w:t xml:space="preserve"> secondary schools, aged 11 to 15, who have parental authorization. Exclusions apply to sports section classes and students from special needs classes. The qualitative protocol is restricted to volunteer girls from the classes selected for accelerometer testing. This approach ensures a focused examination of the factors influencing </w:t>
      </w:r>
      <w:r w:rsidR="007E5B49">
        <w:rPr>
          <w:rFonts w:ascii="Times New Roman" w:hAnsi="Times New Roman"/>
          <w:sz w:val="24"/>
          <w:szCs w:val="24"/>
          <w:lang w:val="en-GB"/>
        </w:rPr>
        <w:t>PA</w:t>
      </w:r>
      <w:r w:rsidRPr="006217CB">
        <w:rPr>
          <w:rFonts w:ascii="Times New Roman" w:hAnsi="Times New Roman"/>
          <w:sz w:val="24"/>
          <w:szCs w:val="24"/>
          <w:lang w:val="en-GB"/>
        </w:rPr>
        <w:t xml:space="preserve"> among junior high school students across varied socio-demographic backgrounds.</w:t>
      </w:r>
    </w:p>
    <w:p w14:paraId="6E96137F" w14:textId="51E6CB83" w:rsidR="00580556" w:rsidRPr="006217CB" w:rsidRDefault="00DD0898" w:rsidP="00793B2F">
      <w:pPr>
        <w:spacing w:line="480" w:lineRule="auto"/>
        <w:rPr>
          <w:rFonts w:ascii="Times New Roman" w:hAnsi="Times New Roman"/>
          <w:b/>
          <w:bCs/>
          <w:sz w:val="24"/>
          <w:szCs w:val="24"/>
          <w:lang w:val="en-GB"/>
        </w:rPr>
      </w:pPr>
      <w:r w:rsidRPr="006217CB">
        <w:rPr>
          <w:rFonts w:ascii="Times New Roman" w:hAnsi="Times New Roman"/>
          <w:b/>
          <w:bCs/>
          <w:sz w:val="24"/>
          <w:szCs w:val="24"/>
          <w:lang w:val="en-GB"/>
        </w:rPr>
        <w:t>Quantitative protocol</w:t>
      </w:r>
    </w:p>
    <w:p w14:paraId="7CCFA93A" w14:textId="5362055A" w:rsidR="00DB55F9" w:rsidRPr="006217CB" w:rsidRDefault="00DD0898" w:rsidP="00793B2F">
      <w:pPr>
        <w:spacing w:line="480" w:lineRule="auto"/>
        <w:rPr>
          <w:rFonts w:ascii="Times New Roman" w:hAnsi="Times New Roman"/>
          <w:b/>
          <w:bCs/>
          <w:i/>
          <w:iCs/>
          <w:sz w:val="24"/>
          <w:szCs w:val="24"/>
          <w:lang w:val="en-GB"/>
        </w:rPr>
      </w:pPr>
      <w:r w:rsidRPr="006217CB">
        <w:rPr>
          <w:rFonts w:ascii="Times New Roman" w:hAnsi="Times New Roman"/>
          <w:b/>
          <w:bCs/>
          <w:i/>
          <w:iCs/>
          <w:sz w:val="24"/>
          <w:szCs w:val="24"/>
          <w:lang w:val="en-GB"/>
        </w:rPr>
        <w:t>Description of the protocol</w:t>
      </w:r>
    </w:p>
    <w:p w14:paraId="5F258843" w14:textId="475997CE" w:rsidR="00E346AB" w:rsidRPr="006217CB" w:rsidRDefault="00E346AB"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The aim of this quantitative analysis is to measure the potential disparity in physical engagement levels between girls and boys during a two-hour PE class, and to evaluate the impact of various dependent variables, including the type of activity, socio-cultural level, and environment. PA levels are assessed using accelerometers to categorize the MVPA</w:t>
      </w:r>
      <w:r w:rsidR="007E5B49">
        <w:rPr>
          <w:rFonts w:ascii="Times New Roman" w:hAnsi="Times New Roman"/>
          <w:sz w:val="24"/>
          <w:szCs w:val="24"/>
          <w:lang w:val="en-GB"/>
        </w:rPr>
        <w:t xml:space="preserve"> </w:t>
      </w:r>
      <w:r w:rsidRPr="006217CB">
        <w:rPr>
          <w:rFonts w:ascii="Times New Roman" w:hAnsi="Times New Roman"/>
          <w:sz w:val="24"/>
          <w:szCs w:val="24"/>
          <w:lang w:val="en-GB"/>
        </w:rPr>
        <w:t xml:space="preserve">of students. This potential disparity in MVPA is </w:t>
      </w:r>
      <w:r w:rsidR="00725BD1" w:rsidRPr="006217CB">
        <w:rPr>
          <w:rFonts w:ascii="Times New Roman" w:hAnsi="Times New Roman"/>
          <w:sz w:val="24"/>
          <w:szCs w:val="24"/>
          <w:lang w:val="en-GB"/>
        </w:rPr>
        <w:t>analysed</w:t>
      </w:r>
      <w:r w:rsidRPr="006217CB">
        <w:rPr>
          <w:rFonts w:ascii="Times New Roman" w:hAnsi="Times New Roman"/>
          <w:sz w:val="24"/>
          <w:szCs w:val="24"/>
          <w:lang w:val="en-GB"/>
        </w:rPr>
        <w:t xml:space="preserve"> through the lens of the secondary school's socio-economic status</w:t>
      </w:r>
      <w:r w:rsidR="00C02316">
        <w:rPr>
          <w:rFonts w:ascii="Times New Roman" w:hAnsi="Times New Roman"/>
          <w:sz w:val="24"/>
          <w:szCs w:val="24"/>
          <w:lang w:val="en-GB"/>
        </w:rPr>
        <w:t xml:space="preserve"> (IPS) </w:t>
      </w:r>
      <w:r w:rsidRPr="006217CB">
        <w:rPr>
          <w:rFonts w:ascii="Times New Roman" w:hAnsi="Times New Roman"/>
          <w:sz w:val="24"/>
          <w:szCs w:val="24"/>
          <w:lang w:val="en-GB"/>
        </w:rPr>
        <w:t>and the types of activities offered. The objective is to identify which variables exert the most significant influence on the observed gap.</w:t>
      </w:r>
    </w:p>
    <w:p w14:paraId="0E90FE74" w14:textId="641044A0" w:rsidR="00DB55F9" w:rsidRPr="006217CB" w:rsidRDefault="00DD0898" w:rsidP="00793B2F">
      <w:pPr>
        <w:spacing w:line="480" w:lineRule="auto"/>
        <w:rPr>
          <w:rFonts w:ascii="Times New Roman" w:hAnsi="Times New Roman"/>
          <w:b/>
          <w:bCs/>
          <w:i/>
          <w:iCs/>
          <w:sz w:val="24"/>
          <w:szCs w:val="24"/>
          <w:lang w:val="en-GB"/>
        </w:rPr>
      </w:pPr>
      <w:r w:rsidRPr="006217CB">
        <w:rPr>
          <w:rFonts w:ascii="Times New Roman" w:hAnsi="Times New Roman"/>
          <w:b/>
          <w:bCs/>
          <w:i/>
          <w:iCs/>
          <w:sz w:val="24"/>
          <w:szCs w:val="24"/>
          <w:lang w:val="en-GB"/>
        </w:rPr>
        <w:t>Data collection</w:t>
      </w:r>
    </w:p>
    <w:p w14:paraId="6F6B7DB1" w14:textId="281059AA" w:rsidR="00580556" w:rsidRPr="006217CB" w:rsidRDefault="00E346AB"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Before the study commences, we will collect personal data for each participant, including age, height, weight, and other socio-cultural information. This data collection serves two purposes: programming the accelerometer and defining the participant's characteristics. The study will be conducted during a regular 2-hour PE class. The research team will briefly introduce the study without disclosing its focus on gender differences in </w:t>
      </w:r>
      <w:r w:rsidR="007E5B49">
        <w:rPr>
          <w:rFonts w:ascii="Times New Roman" w:hAnsi="Times New Roman"/>
          <w:sz w:val="24"/>
          <w:szCs w:val="24"/>
          <w:lang w:val="en-GB"/>
        </w:rPr>
        <w:t>PA</w:t>
      </w:r>
      <w:r w:rsidRPr="006217CB">
        <w:rPr>
          <w:rFonts w:ascii="Times New Roman" w:hAnsi="Times New Roman"/>
          <w:sz w:val="24"/>
          <w:szCs w:val="24"/>
          <w:lang w:val="en-GB"/>
        </w:rPr>
        <w:t xml:space="preserve"> levels to prevent potential bias. Students will then be equipped with </w:t>
      </w:r>
      <w:proofErr w:type="spellStart"/>
      <w:r w:rsidRPr="006217CB">
        <w:rPr>
          <w:rFonts w:ascii="Times New Roman" w:hAnsi="Times New Roman"/>
          <w:sz w:val="24"/>
          <w:szCs w:val="24"/>
          <w:lang w:val="en-GB"/>
        </w:rPr>
        <w:t>ActiGraph</w:t>
      </w:r>
      <w:proofErr w:type="spellEnd"/>
      <w:r w:rsidRPr="006217CB">
        <w:rPr>
          <w:rFonts w:ascii="Times New Roman" w:hAnsi="Times New Roman"/>
          <w:sz w:val="24"/>
          <w:szCs w:val="24"/>
          <w:lang w:val="en-GB"/>
        </w:rPr>
        <w:t xml:space="preserve"> accelerometers, model GT3X+ (</w:t>
      </w:r>
      <w:proofErr w:type="spellStart"/>
      <w:r w:rsidRPr="006217CB">
        <w:rPr>
          <w:rFonts w:ascii="Times New Roman" w:hAnsi="Times New Roman"/>
          <w:sz w:val="24"/>
          <w:szCs w:val="24"/>
          <w:lang w:val="en-GB"/>
        </w:rPr>
        <w:t>ActiGraph</w:t>
      </w:r>
      <w:proofErr w:type="spellEnd"/>
      <w:r w:rsidRPr="006217CB">
        <w:rPr>
          <w:rFonts w:ascii="Times New Roman" w:hAnsi="Times New Roman"/>
          <w:sz w:val="24"/>
          <w:szCs w:val="24"/>
          <w:lang w:val="en-GB"/>
        </w:rPr>
        <w:t xml:space="preserve">™, Pensacola, FL, USA), which will be set to a 30Hz sampling rate and worn on the preferred hip using an elastic belt for the duration of the PE lesson. Data will be processed in 10-second epochs, and Troiano’s (2007) wear-time validation algorithm will be applied to ensure accuracy. For children, intensity level cut-offs will be determined using Evenson’s (2008) </w:t>
      </w:r>
      <w:proofErr w:type="spellStart"/>
      <w:r w:rsidRPr="006217CB">
        <w:rPr>
          <w:rFonts w:ascii="Times New Roman" w:hAnsi="Times New Roman"/>
          <w:sz w:val="24"/>
          <w:szCs w:val="24"/>
          <w:lang w:val="en-GB"/>
        </w:rPr>
        <w:t>ActiGraph</w:t>
      </w:r>
      <w:proofErr w:type="spellEnd"/>
      <w:r w:rsidRPr="006217CB">
        <w:rPr>
          <w:rFonts w:ascii="Times New Roman" w:hAnsi="Times New Roman"/>
          <w:sz w:val="24"/>
          <w:szCs w:val="24"/>
          <w:lang w:val="en-GB"/>
        </w:rPr>
        <w:t xml:space="preserve"> output, while </w:t>
      </w:r>
      <w:proofErr w:type="spellStart"/>
      <w:r w:rsidRPr="006217CB">
        <w:rPr>
          <w:rFonts w:ascii="Times New Roman" w:hAnsi="Times New Roman"/>
          <w:sz w:val="24"/>
          <w:szCs w:val="24"/>
          <w:lang w:val="en-GB"/>
        </w:rPr>
        <w:t>Freedson’s</w:t>
      </w:r>
      <w:proofErr w:type="spellEnd"/>
      <w:r w:rsidRPr="006217CB">
        <w:rPr>
          <w:rFonts w:ascii="Times New Roman" w:hAnsi="Times New Roman"/>
          <w:sz w:val="24"/>
          <w:szCs w:val="24"/>
          <w:lang w:val="en-GB"/>
        </w:rPr>
        <w:t xml:space="preserve"> (1998) calibration will be used to establish </w:t>
      </w:r>
      <w:proofErr w:type="spellStart"/>
      <w:r w:rsidRPr="006217CB">
        <w:rPr>
          <w:rFonts w:ascii="Times New Roman" w:hAnsi="Times New Roman"/>
          <w:sz w:val="24"/>
          <w:szCs w:val="24"/>
          <w:lang w:val="en-GB"/>
        </w:rPr>
        <w:t>cutpoints</w:t>
      </w:r>
      <w:proofErr w:type="spellEnd"/>
      <w:r w:rsidRPr="006217CB">
        <w:rPr>
          <w:rFonts w:ascii="Times New Roman" w:hAnsi="Times New Roman"/>
          <w:sz w:val="24"/>
          <w:szCs w:val="24"/>
          <w:lang w:val="en-GB"/>
        </w:rPr>
        <w:t xml:space="preserve"> for young adults.</w:t>
      </w:r>
    </w:p>
    <w:p w14:paraId="59D588B4" w14:textId="77777777" w:rsidR="00C02316" w:rsidRDefault="00C02316" w:rsidP="00793B2F">
      <w:pPr>
        <w:spacing w:line="480" w:lineRule="auto"/>
        <w:ind w:firstLine="708"/>
        <w:rPr>
          <w:rFonts w:ascii="Times New Roman" w:hAnsi="Times New Roman"/>
          <w:b/>
          <w:bCs/>
          <w:i/>
          <w:iCs/>
          <w:sz w:val="24"/>
          <w:szCs w:val="24"/>
          <w:lang w:val="en-GB"/>
        </w:rPr>
      </w:pPr>
    </w:p>
    <w:p w14:paraId="6D3983C7" w14:textId="0B6FC497" w:rsidR="00DB55F9" w:rsidRPr="006217CB" w:rsidRDefault="00DD0898" w:rsidP="00166695">
      <w:pPr>
        <w:spacing w:line="480" w:lineRule="auto"/>
        <w:rPr>
          <w:rFonts w:ascii="Times New Roman" w:hAnsi="Times New Roman"/>
          <w:b/>
          <w:bCs/>
          <w:i/>
          <w:iCs/>
          <w:sz w:val="24"/>
          <w:szCs w:val="24"/>
          <w:lang w:val="en-US"/>
        </w:rPr>
      </w:pPr>
      <w:r w:rsidRPr="006217CB">
        <w:rPr>
          <w:rFonts w:ascii="Times New Roman" w:hAnsi="Times New Roman"/>
          <w:b/>
          <w:bCs/>
          <w:i/>
          <w:iCs/>
          <w:sz w:val="24"/>
          <w:szCs w:val="24"/>
          <w:lang w:val="en-GB"/>
        </w:rPr>
        <w:lastRenderedPageBreak/>
        <w:t>Data analysis</w:t>
      </w:r>
    </w:p>
    <w:p w14:paraId="64A050C2" w14:textId="585EAB9C" w:rsidR="00017217" w:rsidRPr="006217CB" w:rsidRDefault="00017217" w:rsidP="00166695">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The statistical analysis of our study will employ a three-way ANOVA to assess the impact of gender (male, female), type of activity (with four levels: 1, 2, 3, 4), and the socio-cultural background of schools (categorized as deprived, average, affluent) on our dependent variable. We will use parametric or non-parametric statistics based on the data's normality and homogeneity of variances. The significance level is set at α &lt; 0.05. To measure the effect size of each factor and their interactions, we will calculate partial eta-squared values, indicating the proportion of variance in the dependent variable each factor explains. Tukey's post-hoc analysis will then be conducted to pinpoint specific differences between factor levels and explore their interactions, enhancing the thoroughness and robustness of our findings</w:t>
      </w:r>
      <w:r w:rsidR="00AF7A8D" w:rsidRPr="006217CB">
        <w:rPr>
          <w:rFonts w:ascii="Times New Roman" w:hAnsi="Times New Roman"/>
          <w:sz w:val="24"/>
          <w:szCs w:val="24"/>
          <w:lang w:val="en-GB"/>
        </w:rPr>
        <w:t>.</w:t>
      </w:r>
    </w:p>
    <w:p w14:paraId="7C34FEC6" w14:textId="5DB0D9CC" w:rsidR="00DB55F9" w:rsidRPr="006217CB" w:rsidRDefault="00DD0898" w:rsidP="00793B2F">
      <w:pPr>
        <w:spacing w:line="480" w:lineRule="auto"/>
        <w:rPr>
          <w:sz w:val="24"/>
          <w:szCs w:val="24"/>
          <w:lang w:val="en-US"/>
        </w:rPr>
      </w:pPr>
      <w:r w:rsidRPr="006217CB">
        <w:rPr>
          <w:rFonts w:ascii="Times New Roman" w:hAnsi="Times New Roman"/>
          <w:b/>
          <w:bCs/>
          <w:sz w:val="24"/>
          <w:szCs w:val="24"/>
          <w:lang w:val="en-GB"/>
        </w:rPr>
        <w:t>Qualitative protocol</w:t>
      </w:r>
    </w:p>
    <w:p w14:paraId="181EF4C2" w14:textId="79EE962D" w:rsidR="00DB55F9" w:rsidRPr="006217CB" w:rsidRDefault="00DD0898" w:rsidP="00793B2F">
      <w:pPr>
        <w:spacing w:line="480" w:lineRule="auto"/>
        <w:rPr>
          <w:rFonts w:ascii="Times New Roman" w:hAnsi="Times New Roman"/>
          <w:b/>
          <w:bCs/>
          <w:i/>
          <w:iCs/>
          <w:sz w:val="24"/>
          <w:szCs w:val="24"/>
          <w:lang w:val="en-GB"/>
        </w:rPr>
      </w:pPr>
      <w:r w:rsidRPr="006217CB">
        <w:rPr>
          <w:rFonts w:ascii="Times New Roman" w:hAnsi="Times New Roman"/>
          <w:b/>
          <w:bCs/>
          <w:i/>
          <w:iCs/>
          <w:sz w:val="24"/>
          <w:szCs w:val="24"/>
          <w:lang w:val="en-GB"/>
        </w:rPr>
        <w:t>Description of the protocol</w:t>
      </w:r>
    </w:p>
    <w:p w14:paraId="76A06FA5" w14:textId="0199BFEF" w:rsidR="00DB55F9" w:rsidRPr="006217CB" w:rsidRDefault="00DD0898" w:rsidP="00793B2F">
      <w:pPr>
        <w:spacing w:line="480" w:lineRule="auto"/>
        <w:ind w:firstLine="708"/>
        <w:rPr>
          <w:rFonts w:ascii="Times New Roman" w:hAnsi="Times New Roman"/>
          <w:sz w:val="24"/>
          <w:szCs w:val="24"/>
          <w:lang w:val="en-US"/>
        </w:rPr>
      </w:pPr>
      <w:r w:rsidRPr="006217CB">
        <w:rPr>
          <w:rFonts w:ascii="Times New Roman" w:hAnsi="Times New Roman"/>
          <w:sz w:val="24"/>
          <w:szCs w:val="24"/>
          <w:lang w:val="en-GB"/>
        </w:rPr>
        <w:t xml:space="preserve"> The protocol is divided into two specific </w:t>
      </w:r>
      <w:r w:rsidR="00580556" w:rsidRPr="006217CB">
        <w:rPr>
          <w:rFonts w:ascii="Times New Roman" w:hAnsi="Times New Roman"/>
          <w:sz w:val="24"/>
          <w:szCs w:val="24"/>
          <w:lang w:val="en-GB"/>
        </w:rPr>
        <w:t>phases</w:t>
      </w:r>
      <w:r w:rsidRPr="006217CB">
        <w:rPr>
          <w:rFonts w:ascii="Times New Roman" w:hAnsi="Times New Roman"/>
          <w:sz w:val="24"/>
          <w:szCs w:val="24"/>
          <w:lang w:val="en-GB"/>
        </w:rPr>
        <w:t xml:space="preserve">. The first phase consists in an ethnographic observation, which aims at characterizing the interactions between boys, </w:t>
      </w:r>
      <w:r w:rsidR="00580556" w:rsidRPr="006217CB">
        <w:rPr>
          <w:rFonts w:ascii="Times New Roman" w:hAnsi="Times New Roman"/>
          <w:sz w:val="24"/>
          <w:szCs w:val="24"/>
          <w:lang w:val="en-GB"/>
        </w:rPr>
        <w:t>girls,</w:t>
      </w:r>
      <w:r w:rsidRPr="006217CB">
        <w:rPr>
          <w:rFonts w:ascii="Times New Roman" w:hAnsi="Times New Roman"/>
          <w:sz w:val="24"/>
          <w:szCs w:val="24"/>
          <w:lang w:val="en-GB"/>
        </w:rPr>
        <w:t xml:space="preserve"> and the teacher during the lesson. The second phase consists of a focus group of 6 to 8 girls (from highly engaged to almost disengaged in PE) which aims to gather more detailed data by listening to the girls' voice about their feelings in PE on the topic of engagement.</w:t>
      </w:r>
    </w:p>
    <w:p w14:paraId="03E7FD7D" w14:textId="1CFBF4B2" w:rsidR="00DB55F9" w:rsidRPr="006217CB" w:rsidRDefault="00DD0898" w:rsidP="00793B2F">
      <w:pPr>
        <w:spacing w:line="480" w:lineRule="auto"/>
        <w:rPr>
          <w:rFonts w:ascii="Times New Roman" w:hAnsi="Times New Roman"/>
          <w:i/>
          <w:iCs/>
          <w:sz w:val="24"/>
          <w:szCs w:val="24"/>
          <w:lang w:val="en-GB"/>
        </w:rPr>
      </w:pPr>
      <w:r w:rsidRPr="006217CB">
        <w:rPr>
          <w:rFonts w:ascii="Times New Roman" w:hAnsi="Times New Roman"/>
          <w:b/>
          <w:bCs/>
          <w:i/>
          <w:iCs/>
          <w:sz w:val="24"/>
          <w:szCs w:val="24"/>
          <w:lang w:val="en-GB"/>
        </w:rPr>
        <w:t>Ethnographic observation</w:t>
      </w:r>
    </w:p>
    <w:p w14:paraId="75F4514A" w14:textId="4343F099" w:rsidR="00DB55F9" w:rsidRPr="006217CB" w:rsidRDefault="00DD0898" w:rsidP="00793B2F">
      <w:pPr>
        <w:spacing w:line="480" w:lineRule="auto"/>
        <w:ind w:firstLine="708"/>
        <w:rPr>
          <w:sz w:val="24"/>
          <w:szCs w:val="24"/>
          <w:lang w:val="en-US"/>
        </w:rPr>
      </w:pPr>
      <w:r w:rsidRPr="006217CB">
        <w:rPr>
          <w:rFonts w:ascii="Times New Roman" w:hAnsi="Times New Roman"/>
          <w:sz w:val="24"/>
          <w:szCs w:val="24"/>
          <w:lang w:val="en-GB"/>
        </w:rPr>
        <w:t xml:space="preserve">The purpose of this non-participant observational phase is to analyse student engagement in PE on physical, psychological/emotional, social, and cognitive levels, and to determine how gender influences these observations. The ethnographic notebook is organized in four </w:t>
      </w:r>
      <w:r w:rsidR="00580556" w:rsidRPr="006217CB">
        <w:rPr>
          <w:rFonts w:ascii="Times New Roman" w:hAnsi="Times New Roman"/>
          <w:sz w:val="24"/>
          <w:szCs w:val="24"/>
          <w:lang w:val="en-GB"/>
        </w:rPr>
        <w:t>parts</w:t>
      </w:r>
      <w:r w:rsidRPr="006217CB">
        <w:rPr>
          <w:rFonts w:ascii="Times New Roman" w:hAnsi="Times New Roman"/>
          <w:sz w:val="24"/>
          <w:szCs w:val="24"/>
          <w:lang w:val="en-GB"/>
        </w:rPr>
        <w:t xml:space="preserve">. </w:t>
      </w:r>
    </w:p>
    <w:p w14:paraId="38DF7C85" w14:textId="77777777"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First, the observers have to briefly describe the context of the observation moment by filling in the following information: date, place of observation, description of the environment (the academic level, the specific class, the characteristics of the teacher), the participant, the course of the session (start and end time of the sessions, the proposed PA and the sequence of the session, the planned activities for the PE session) </w:t>
      </w:r>
      <w:r w:rsidRPr="006217CB">
        <w:rPr>
          <w:rFonts w:ascii="Times New Roman" w:hAnsi="Times New Roman"/>
          <w:sz w:val="24"/>
          <w:szCs w:val="24"/>
          <w:lang w:val="en-GB"/>
        </w:rPr>
        <w:lastRenderedPageBreak/>
        <w:t>and the general observation (general aspects of the class, the ambience, the organisation and any notable elements (location of the session, spatial arrangement, lighting, noise, presence of other classes).</w:t>
      </w:r>
    </w:p>
    <w:p w14:paraId="70B8BEE0" w14:textId="29DD9F95"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Secondly, throughout the PE lesson, the observer </w:t>
      </w:r>
      <w:r w:rsidR="00580556" w:rsidRPr="006217CB">
        <w:rPr>
          <w:rFonts w:ascii="Times New Roman" w:hAnsi="Times New Roman"/>
          <w:sz w:val="24"/>
          <w:szCs w:val="24"/>
          <w:lang w:val="en-GB"/>
        </w:rPr>
        <w:t>must</w:t>
      </w:r>
      <w:r w:rsidRPr="006217CB">
        <w:rPr>
          <w:rFonts w:ascii="Times New Roman" w:hAnsi="Times New Roman"/>
          <w:sz w:val="24"/>
          <w:szCs w:val="24"/>
          <w:lang w:val="en-GB"/>
        </w:rPr>
        <w:t xml:space="preserve"> pay attention to specific observations of the areas of engagement by trying to answer the following questions</w:t>
      </w:r>
      <w:r w:rsidR="00580556" w:rsidRPr="006217CB">
        <w:rPr>
          <w:rFonts w:ascii="Times New Roman" w:hAnsi="Times New Roman"/>
          <w:sz w:val="24"/>
          <w:szCs w:val="24"/>
          <w:lang w:val="en-GB"/>
        </w:rPr>
        <w:t xml:space="preserve">. </w:t>
      </w:r>
      <w:r w:rsidRPr="006217CB">
        <w:rPr>
          <w:rFonts w:ascii="Times New Roman" w:hAnsi="Times New Roman"/>
          <w:sz w:val="24"/>
          <w:szCs w:val="24"/>
          <w:lang w:val="en-GB"/>
        </w:rPr>
        <w:t xml:space="preserve">Who participates most actively? How do boys and girls participate? Which types of activities are more interesting for boys and girls? Are there differences in enthusiasm? How do pupils interact with each other during the session? (avoidance, separate or mixed groups, differentiated spaces, contact, laughter) Are there specific group dynamics based on gender? </w:t>
      </w:r>
    </w:p>
    <w:p w14:paraId="7A7F78EE" w14:textId="1F73DFB7"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Thirdly, the observers conduct a short interview with the teacher, asking the following </w:t>
      </w:r>
      <w:r w:rsidR="00786350" w:rsidRPr="006217CB">
        <w:rPr>
          <w:rFonts w:ascii="Times New Roman" w:hAnsi="Times New Roman"/>
          <w:sz w:val="24"/>
          <w:szCs w:val="24"/>
          <w:lang w:val="en-GB"/>
        </w:rPr>
        <w:t>questions: I</w:t>
      </w:r>
      <w:r w:rsidRPr="006217CB">
        <w:rPr>
          <w:rFonts w:ascii="Times New Roman" w:hAnsi="Times New Roman"/>
          <w:sz w:val="24"/>
          <w:szCs w:val="24"/>
          <w:lang w:val="en-GB"/>
        </w:rPr>
        <w:t xml:space="preserve">n general, do boys and girls participate equally in </w:t>
      </w:r>
      <w:r w:rsidR="007E5B49">
        <w:rPr>
          <w:rFonts w:ascii="Times New Roman" w:hAnsi="Times New Roman"/>
          <w:sz w:val="24"/>
          <w:szCs w:val="24"/>
          <w:lang w:val="en-GB"/>
        </w:rPr>
        <w:t>PE</w:t>
      </w:r>
      <w:r w:rsidRPr="006217CB">
        <w:rPr>
          <w:rFonts w:ascii="Times New Roman" w:hAnsi="Times New Roman"/>
          <w:sz w:val="24"/>
          <w:szCs w:val="24"/>
          <w:lang w:val="en-GB"/>
        </w:rPr>
        <w:t xml:space="preserve">? Was this the case in this lesson? Should different approaches be used to motivate boys and girls? If there is a difference, how do you deal with it? If there is a difference in engagement between boys and girls, what do you think is the reason? Does the school environment seem conducive to girls' participation? </w:t>
      </w:r>
    </w:p>
    <w:p w14:paraId="074F2F7C" w14:textId="71785BAF"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Finally, the observers should write down their personal reflections (personal impressions, emerging </w:t>
      </w:r>
      <w:r w:rsidR="00213668" w:rsidRPr="006217CB">
        <w:rPr>
          <w:rFonts w:ascii="Times New Roman" w:hAnsi="Times New Roman"/>
          <w:sz w:val="24"/>
          <w:szCs w:val="24"/>
          <w:lang w:val="en-GB"/>
        </w:rPr>
        <w:t>questions,</w:t>
      </w:r>
      <w:r w:rsidRPr="006217CB">
        <w:rPr>
          <w:rFonts w:ascii="Times New Roman" w:hAnsi="Times New Roman"/>
          <w:sz w:val="24"/>
          <w:szCs w:val="24"/>
          <w:lang w:val="en-GB"/>
        </w:rPr>
        <w:t xml:space="preserve"> and any preliminary ideas about what they have observed, details or anecdotes related to the session or the behaviour of boys and girls) and preliminary conclusions about what factors seem to explain the differences in engagement between boys and girls.</w:t>
      </w:r>
    </w:p>
    <w:p w14:paraId="03DD669E" w14:textId="254B4013" w:rsidR="00DB55F9" w:rsidRPr="006217CB" w:rsidRDefault="00DD0898" w:rsidP="00793B2F">
      <w:pPr>
        <w:spacing w:line="480" w:lineRule="auto"/>
        <w:rPr>
          <w:rFonts w:ascii="Times New Roman" w:hAnsi="Times New Roman"/>
          <w:b/>
          <w:bCs/>
          <w:i/>
          <w:iCs/>
          <w:sz w:val="24"/>
          <w:szCs w:val="24"/>
          <w:lang w:val="en-US"/>
        </w:rPr>
      </w:pPr>
      <w:r w:rsidRPr="006217CB">
        <w:rPr>
          <w:rFonts w:ascii="Times New Roman" w:hAnsi="Times New Roman"/>
          <w:b/>
          <w:bCs/>
          <w:i/>
          <w:iCs/>
          <w:sz w:val="24"/>
          <w:szCs w:val="24"/>
          <w:lang w:val="en-GB"/>
        </w:rPr>
        <w:t>Creative focus group</w:t>
      </w:r>
    </w:p>
    <w:p w14:paraId="5FB66236" w14:textId="69477556"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We are set to conduct a 30-minute creative focus group</w:t>
      </w:r>
      <w:r w:rsidR="00E937FF">
        <w:rPr>
          <w:rFonts w:ascii="Times New Roman" w:hAnsi="Times New Roman"/>
          <w:sz w:val="24"/>
          <w:szCs w:val="24"/>
          <w:lang w:val="en-GB"/>
        </w:rPr>
        <w:t xml:space="preserve"> </w:t>
      </w:r>
      <w:r w:rsidR="006217CB" w:rsidRPr="006217CB">
        <w:rPr>
          <w:rFonts w:ascii="Times New Roman" w:hAnsi="Times New Roman"/>
          <w:sz w:val="24"/>
          <w:szCs w:val="24"/>
          <w:lang w:val="en-GB"/>
        </w:rPr>
        <w:fldChar w:fldCharType="begin"/>
      </w:r>
      <w:r w:rsidR="00E82B35">
        <w:rPr>
          <w:rFonts w:ascii="Times New Roman" w:hAnsi="Times New Roman"/>
          <w:sz w:val="24"/>
          <w:szCs w:val="24"/>
          <w:lang w:val="en-GB"/>
        </w:rPr>
        <w:instrText xml:space="preserve"> ADDIN ZOTERO_ITEM CSL_CITATION {"citationID":"WgCVvjAu","properties":{"formattedCitation":"[14]","plainCitation":"[14]","noteIndex":0},"citationItems":[{"id":3900,"uris":["http://zotero.org/users/7342294/items/GZK5JTVL"],"itemData":{"id":3900,"type":"article-journal","abstract":"Interest in focus group discussions has grown recently, and so has the recognition of them as a valuable method for qualitative data collection. Despite increasing popularity, they are not an easy option, and moderators must find appropriate ways to approach participants to achieve good-quality data. A path to reach this aim is the inclusion in the focus group agenda of some “exercises” (or activity-oriented questions) that are enjoyable and productive supplements to questions. Exercises provide a different way of gathering information and are beneficial, for instance, for more reflective participants. They can help focus the group's attention on the core study topic and also make subsequent comparative analysis more straightforward. They can also be helpful with young people and to discuss sensitive topics. The author describes and provides suggestions for use and examples of several exercises, illustrating their application in a research project investigating the cultural meaning of youth suicide in university students in Italy, India, and Australia.","container-title":"Qualitative Health Research","DOI":"10.1177/1049732307308129","ISSN":"1049-7323","issue":"10","journalAbbreviation":"Qual Health Res","language":"en","note":"publisher: SAGE Publications Inc","page":"1422-1433","source":"SAGE Journals","title":"“Focus Groups Can Be Fun”: The Use of Activity-Oriented Questions in Focus Group Discussions","title-short":"“Focus Groups Can Be Fun”","volume":"17","author":[{"family":"Colucci","given":"Erminia"}],"issued":{"date-parts":[["2007",12,1]]}}}],"schema":"https://github.com/citation-style-language/schema/raw/master/csl-citation.json"} </w:instrText>
      </w:r>
      <w:r w:rsidR="006217CB" w:rsidRPr="006217CB">
        <w:rPr>
          <w:rFonts w:ascii="Times New Roman" w:hAnsi="Times New Roman"/>
          <w:sz w:val="24"/>
          <w:szCs w:val="24"/>
          <w:lang w:val="en-GB"/>
        </w:rPr>
        <w:fldChar w:fldCharType="separate"/>
      </w:r>
      <w:r w:rsidR="00E82B35" w:rsidRPr="00E82B35">
        <w:rPr>
          <w:rFonts w:ascii="Times New Roman" w:hAnsi="Times New Roman"/>
          <w:sz w:val="24"/>
          <w:lang w:val="en-US"/>
        </w:rPr>
        <w:t>[14]</w:t>
      </w:r>
      <w:r w:rsidR="006217CB" w:rsidRPr="006217CB">
        <w:rPr>
          <w:rFonts w:ascii="Times New Roman" w:hAnsi="Times New Roman"/>
          <w:sz w:val="24"/>
          <w:szCs w:val="24"/>
          <w:lang w:val="en-GB"/>
        </w:rPr>
        <w:fldChar w:fldCharType="end"/>
      </w:r>
      <w:r w:rsidR="00120A99">
        <w:rPr>
          <w:rFonts w:ascii="Times New Roman" w:hAnsi="Times New Roman"/>
          <w:sz w:val="24"/>
          <w:szCs w:val="24"/>
          <w:lang w:val="en-GB"/>
        </w:rPr>
        <w:t xml:space="preserve"> </w:t>
      </w:r>
      <w:r w:rsidRPr="006217CB">
        <w:rPr>
          <w:rFonts w:ascii="Times New Roman" w:hAnsi="Times New Roman"/>
          <w:sz w:val="24"/>
          <w:szCs w:val="24"/>
          <w:lang w:val="en-GB"/>
        </w:rPr>
        <w:t xml:space="preserve">with 6 to 8 female participants after the PE lesson (more than an hour, less than a week). The central aim is to explore their relationship with </w:t>
      </w:r>
      <w:r w:rsidR="00E937FF">
        <w:rPr>
          <w:rFonts w:ascii="Times New Roman" w:hAnsi="Times New Roman"/>
          <w:sz w:val="24"/>
          <w:szCs w:val="24"/>
          <w:lang w:val="en-GB"/>
        </w:rPr>
        <w:t>PA</w:t>
      </w:r>
      <w:r w:rsidRPr="006217CB">
        <w:rPr>
          <w:rFonts w:ascii="Times New Roman" w:hAnsi="Times New Roman"/>
          <w:sz w:val="24"/>
          <w:szCs w:val="24"/>
          <w:lang w:val="en-GB"/>
        </w:rPr>
        <w:t xml:space="preserve">, specifically focusing on their reasons for either participating in or abstaining from certain </w:t>
      </w:r>
      <w:r w:rsidR="007E5B49">
        <w:rPr>
          <w:rFonts w:ascii="Times New Roman" w:hAnsi="Times New Roman"/>
          <w:sz w:val="24"/>
          <w:szCs w:val="24"/>
          <w:lang w:val="en-GB"/>
        </w:rPr>
        <w:t>PE</w:t>
      </w:r>
      <w:r w:rsidRPr="006217CB">
        <w:rPr>
          <w:rFonts w:ascii="Times New Roman" w:hAnsi="Times New Roman"/>
          <w:sz w:val="24"/>
          <w:szCs w:val="24"/>
          <w:lang w:val="en-GB"/>
        </w:rPr>
        <w:t xml:space="preserve"> lessons. This qualitative inquiry is designed to identify both motivational and inhibitory factors affecting their involvement in </w:t>
      </w:r>
      <w:r w:rsidR="00E937FF">
        <w:rPr>
          <w:rFonts w:ascii="Times New Roman" w:hAnsi="Times New Roman"/>
          <w:sz w:val="24"/>
          <w:szCs w:val="24"/>
          <w:lang w:val="en-GB"/>
        </w:rPr>
        <w:t>PA</w:t>
      </w:r>
      <w:r w:rsidRPr="006217CB">
        <w:rPr>
          <w:rFonts w:ascii="Times New Roman" w:hAnsi="Times New Roman"/>
          <w:sz w:val="24"/>
          <w:szCs w:val="24"/>
          <w:lang w:val="en-GB"/>
        </w:rPr>
        <w:t xml:space="preserve">. An innovative aspect of our methodology involves a creative exercise where participants will express their thoughts artistically by drawing a flower, with each petal representing factors that either attract them to or deter them from physical activities. This exercise is intended to facilitate a deeper, more </w:t>
      </w:r>
      <w:r w:rsidRPr="006217CB">
        <w:rPr>
          <w:rFonts w:ascii="Times New Roman" w:hAnsi="Times New Roman"/>
          <w:sz w:val="24"/>
          <w:szCs w:val="24"/>
          <w:lang w:val="en-GB"/>
        </w:rPr>
        <w:lastRenderedPageBreak/>
        <w:t xml:space="preserve">expressive understanding of the participants' perspectives. The focus group will be facilitated by a researcher responsible for leading the discussions, ensuring a productive and engaging conversation. Meanwhile, another researcher will be tasked with accurately recording the interview and managing the time effectively. This dual approach in managing the focus group is designed to ensure a comprehensive capture of insights while maintaining the flow and structure of the session. Through this creative and participatory approach, our study aims to add valuable insights to the literature on female engagement in </w:t>
      </w:r>
      <w:r w:rsidR="007E5B49">
        <w:rPr>
          <w:rFonts w:ascii="Times New Roman" w:hAnsi="Times New Roman"/>
          <w:sz w:val="24"/>
          <w:szCs w:val="24"/>
          <w:lang w:val="en-GB"/>
        </w:rPr>
        <w:t xml:space="preserve">PE </w:t>
      </w:r>
      <w:r w:rsidRPr="006217CB">
        <w:rPr>
          <w:rFonts w:ascii="Times New Roman" w:hAnsi="Times New Roman"/>
          <w:sz w:val="24"/>
          <w:szCs w:val="24"/>
          <w:lang w:val="en-GB"/>
        </w:rPr>
        <w:t>and activities.</w:t>
      </w:r>
    </w:p>
    <w:p w14:paraId="72E28EE6" w14:textId="77777777" w:rsidR="00DB55F9"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We decided to use focus groups to gather more specific data on individual, interpersonal and environmental systems. The aim is to collect information on the following topics: relationship to the body, engagement in PE, representation of PA, relationship to effort and PA, relationship to teachers, interaction between girls and boys, and the pedagogical content of the lesson.</w:t>
      </w:r>
    </w:p>
    <w:p w14:paraId="78911339" w14:textId="6B578D6A" w:rsidR="00DB55F9" w:rsidRPr="006217CB" w:rsidRDefault="00DD0898" w:rsidP="00793B2F">
      <w:pPr>
        <w:spacing w:line="480" w:lineRule="auto"/>
        <w:rPr>
          <w:b/>
          <w:bCs/>
          <w:i/>
          <w:iCs/>
          <w:sz w:val="24"/>
          <w:szCs w:val="24"/>
          <w:lang w:val="en-US"/>
        </w:rPr>
      </w:pPr>
      <w:r w:rsidRPr="006217CB">
        <w:rPr>
          <w:rFonts w:ascii="Times New Roman" w:hAnsi="Times New Roman"/>
          <w:b/>
          <w:bCs/>
          <w:i/>
          <w:iCs/>
          <w:sz w:val="24"/>
          <w:szCs w:val="24"/>
          <w:lang w:val="en-GB"/>
        </w:rPr>
        <w:t>Data collection</w:t>
      </w:r>
    </w:p>
    <w:p w14:paraId="709B73B4" w14:textId="00ED62BA" w:rsidR="00DB55F9" w:rsidRPr="006217CB" w:rsidRDefault="00207E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Each</w:t>
      </w:r>
      <w:r w:rsidR="00DD0898" w:rsidRPr="006217CB">
        <w:rPr>
          <w:rFonts w:ascii="Times New Roman" w:hAnsi="Times New Roman"/>
          <w:sz w:val="24"/>
          <w:szCs w:val="24"/>
          <w:lang w:val="en-GB"/>
        </w:rPr>
        <w:t xml:space="preserve"> focus group lasts 30 minutes</w:t>
      </w:r>
      <w:r w:rsidRPr="006217CB">
        <w:rPr>
          <w:rFonts w:ascii="Times New Roman" w:hAnsi="Times New Roman"/>
          <w:sz w:val="24"/>
          <w:szCs w:val="24"/>
          <w:lang w:val="en-GB"/>
        </w:rPr>
        <w:t xml:space="preserve"> and involves 6-8 girls</w:t>
      </w:r>
      <w:r w:rsidR="00DD0898" w:rsidRPr="006217CB">
        <w:rPr>
          <w:rFonts w:ascii="Times New Roman" w:hAnsi="Times New Roman"/>
          <w:sz w:val="24"/>
          <w:szCs w:val="24"/>
          <w:lang w:val="en-GB"/>
        </w:rPr>
        <w:t xml:space="preserve">. After an introduction to the round table, the facilitator asks seven different questions, ranging from general to more specific topics. </w:t>
      </w:r>
    </w:p>
    <w:tbl>
      <w:tblPr>
        <w:tblW w:w="10490" w:type="dxa"/>
        <w:tblCellMar>
          <w:left w:w="10" w:type="dxa"/>
          <w:right w:w="10" w:type="dxa"/>
        </w:tblCellMar>
        <w:tblLook w:val="0000" w:firstRow="0" w:lastRow="0" w:firstColumn="0" w:lastColumn="0" w:noHBand="0" w:noVBand="0"/>
      </w:tblPr>
      <w:tblGrid>
        <w:gridCol w:w="562"/>
        <w:gridCol w:w="9928"/>
      </w:tblGrid>
      <w:tr w:rsidR="00DB55F9" w:rsidRPr="00C1508C" w14:paraId="06B04BC8" w14:textId="77777777">
        <w:tc>
          <w:tcPr>
            <w:tcW w:w="10490" w:type="dxa"/>
            <w:gridSpan w:val="2"/>
            <w:tcBorders>
              <w:bottom w:val="single" w:sz="4" w:space="0" w:color="000000"/>
            </w:tcBorders>
            <w:shd w:val="clear" w:color="auto" w:fill="auto"/>
            <w:tcMar>
              <w:top w:w="0" w:type="dxa"/>
              <w:left w:w="108" w:type="dxa"/>
              <w:bottom w:w="0" w:type="dxa"/>
              <w:right w:w="108" w:type="dxa"/>
            </w:tcMar>
          </w:tcPr>
          <w:p w14:paraId="03A6A7CD" w14:textId="77777777" w:rsidR="00793B2F" w:rsidRPr="00793B2F" w:rsidRDefault="00DD0898" w:rsidP="00793B2F">
            <w:pPr>
              <w:spacing w:after="0" w:line="480" w:lineRule="auto"/>
              <w:rPr>
                <w:rFonts w:ascii="Times New Roman" w:hAnsi="Times New Roman"/>
                <w:b/>
                <w:bCs/>
                <w:sz w:val="20"/>
                <w:szCs w:val="20"/>
                <w:lang w:val="en-GB"/>
              </w:rPr>
            </w:pPr>
            <w:r w:rsidRPr="00793B2F">
              <w:rPr>
                <w:rFonts w:ascii="Times New Roman" w:hAnsi="Times New Roman"/>
                <w:b/>
                <w:bCs/>
                <w:sz w:val="20"/>
                <w:szCs w:val="20"/>
                <w:lang w:val="en-GB"/>
              </w:rPr>
              <w:t xml:space="preserve">Table </w:t>
            </w:r>
            <w:r w:rsidR="00793B2F" w:rsidRPr="00793B2F">
              <w:rPr>
                <w:rFonts w:ascii="Times New Roman" w:hAnsi="Times New Roman"/>
                <w:b/>
                <w:bCs/>
                <w:sz w:val="20"/>
                <w:szCs w:val="20"/>
                <w:lang w:val="en-GB"/>
              </w:rPr>
              <w:t>1</w:t>
            </w:r>
          </w:p>
          <w:p w14:paraId="636DCF23" w14:textId="1988BD62" w:rsidR="00DB55F9" w:rsidRPr="00793B2F" w:rsidRDefault="00793B2F" w:rsidP="00793B2F">
            <w:pPr>
              <w:spacing w:after="0" w:line="480" w:lineRule="auto"/>
              <w:rPr>
                <w:rFonts w:ascii="Times New Roman" w:hAnsi="Times New Roman"/>
                <w:i/>
                <w:iCs/>
                <w:sz w:val="20"/>
                <w:szCs w:val="20"/>
                <w:lang w:val="en-GB"/>
              </w:rPr>
            </w:pPr>
            <w:r w:rsidRPr="00793B2F">
              <w:rPr>
                <w:rFonts w:ascii="Times New Roman" w:hAnsi="Times New Roman"/>
                <w:i/>
                <w:iCs/>
                <w:sz w:val="20"/>
                <w:szCs w:val="20"/>
                <w:lang w:val="en-GB"/>
              </w:rPr>
              <w:t>L</w:t>
            </w:r>
            <w:r w:rsidR="00DD0898" w:rsidRPr="00793B2F">
              <w:rPr>
                <w:rFonts w:ascii="Times New Roman" w:hAnsi="Times New Roman"/>
                <w:i/>
                <w:iCs/>
                <w:sz w:val="20"/>
                <w:szCs w:val="20"/>
                <w:lang w:val="en-GB"/>
              </w:rPr>
              <w:t>ist of the questions</w:t>
            </w:r>
          </w:p>
        </w:tc>
      </w:tr>
      <w:tr w:rsidR="00DB55F9" w:rsidRPr="00C1508C" w14:paraId="2A9495FC" w14:textId="77777777">
        <w:tc>
          <w:tcPr>
            <w:tcW w:w="562" w:type="dxa"/>
            <w:tcBorders>
              <w:top w:val="single" w:sz="4" w:space="0" w:color="000000"/>
            </w:tcBorders>
            <w:shd w:val="clear" w:color="auto" w:fill="E7E6E6"/>
            <w:tcMar>
              <w:top w:w="0" w:type="dxa"/>
              <w:left w:w="108" w:type="dxa"/>
              <w:bottom w:w="0" w:type="dxa"/>
              <w:right w:w="108" w:type="dxa"/>
            </w:tcMar>
          </w:tcPr>
          <w:p w14:paraId="3457F7DF"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Q1</w:t>
            </w:r>
          </w:p>
        </w:tc>
        <w:tc>
          <w:tcPr>
            <w:tcW w:w="9928" w:type="dxa"/>
            <w:tcBorders>
              <w:top w:val="single" w:sz="4" w:space="0" w:color="000000"/>
            </w:tcBorders>
            <w:shd w:val="clear" w:color="auto" w:fill="E7E6E6"/>
            <w:tcMar>
              <w:top w:w="0" w:type="dxa"/>
              <w:left w:w="108" w:type="dxa"/>
              <w:bottom w:w="0" w:type="dxa"/>
              <w:right w:w="108" w:type="dxa"/>
            </w:tcMar>
          </w:tcPr>
          <w:p w14:paraId="2DCCF30A"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Firstly, can you take turns introducing yourselves: first name, age, physical activity, or hobby outside PE and say who you do it with (family, friend, alone)?</w:t>
            </w:r>
          </w:p>
        </w:tc>
      </w:tr>
      <w:tr w:rsidR="00DB55F9" w:rsidRPr="00C1508C" w14:paraId="6A720993" w14:textId="77777777">
        <w:tc>
          <w:tcPr>
            <w:tcW w:w="562" w:type="dxa"/>
            <w:shd w:val="clear" w:color="auto" w:fill="auto"/>
            <w:tcMar>
              <w:top w:w="0" w:type="dxa"/>
              <w:left w:w="108" w:type="dxa"/>
              <w:bottom w:w="0" w:type="dxa"/>
              <w:right w:w="108" w:type="dxa"/>
            </w:tcMar>
          </w:tcPr>
          <w:p w14:paraId="214AA5BD"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Q2</w:t>
            </w:r>
          </w:p>
        </w:tc>
        <w:tc>
          <w:tcPr>
            <w:tcW w:w="9928" w:type="dxa"/>
            <w:shd w:val="clear" w:color="auto" w:fill="auto"/>
            <w:tcMar>
              <w:top w:w="0" w:type="dxa"/>
              <w:left w:w="108" w:type="dxa"/>
              <w:bottom w:w="0" w:type="dxa"/>
              <w:right w:w="108" w:type="dxa"/>
            </w:tcMar>
          </w:tcPr>
          <w:p w14:paraId="47C4F82F"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What does commitment to PE mean to you in three words?</w:t>
            </w:r>
          </w:p>
        </w:tc>
      </w:tr>
      <w:tr w:rsidR="00DB55F9" w:rsidRPr="00C1508C" w14:paraId="123CEE71" w14:textId="77777777">
        <w:tc>
          <w:tcPr>
            <w:tcW w:w="562" w:type="dxa"/>
            <w:shd w:val="clear" w:color="auto" w:fill="E7E6E6"/>
            <w:tcMar>
              <w:top w:w="0" w:type="dxa"/>
              <w:left w:w="108" w:type="dxa"/>
              <w:bottom w:w="0" w:type="dxa"/>
              <w:right w:w="108" w:type="dxa"/>
            </w:tcMar>
          </w:tcPr>
          <w:p w14:paraId="33E638D3"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Q3</w:t>
            </w:r>
          </w:p>
        </w:tc>
        <w:tc>
          <w:tcPr>
            <w:tcW w:w="9928" w:type="dxa"/>
            <w:shd w:val="clear" w:color="auto" w:fill="E7E6E6"/>
            <w:tcMar>
              <w:top w:w="0" w:type="dxa"/>
              <w:left w:w="108" w:type="dxa"/>
              <w:bottom w:w="0" w:type="dxa"/>
              <w:right w:w="108" w:type="dxa"/>
            </w:tcMar>
          </w:tcPr>
          <w:p w14:paraId="221ECA20" w14:textId="2741B3D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Does your level of commitment vary depending on the activity? Can you see a PA example under the different levels of commitment?</w:t>
            </w:r>
          </w:p>
        </w:tc>
      </w:tr>
      <w:tr w:rsidR="00DB55F9" w:rsidRPr="00C1508C" w14:paraId="4CB7B533" w14:textId="77777777">
        <w:tc>
          <w:tcPr>
            <w:tcW w:w="562" w:type="dxa"/>
            <w:shd w:val="clear" w:color="auto" w:fill="auto"/>
            <w:tcMar>
              <w:top w:w="0" w:type="dxa"/>
              <w:left w:w="108" w:type="dxa"/>
              <w:bottom w:w="0" w:type="dxa"/>
              <w:right w:w="108" w:type="dxa"/>
            </w:tcMar>
          </w:tcPr>
          <w:p w14:paraId="46941D19"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Q4</w:t>
            </w:r>
          </w:p>
        </w:tc>
        <w:tc>
          <w:tcPr>
            <w:tcW w:w="9928" w:type="dxa"/>
            <w:shd w:val="clear" w:color="auto" w:fill="auto"/>
            <w:tcMar>
              <w:top w:w="0" w:type="dxa"/>
              <w:left w:w="108" w:type="dxa"/>
              <w:bottom w:w="0" w:type="dxa"/>
              <w:right w:w="108" w:type="dxa"/>
            </w:tcMar>
          </w:tcPr>
          <w:p w14:paraId="3B2D1CD4"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Had you already done activity X outside PE? If so, did it enable you to be more involved in PE?</w:t>
            </w:r>
          </w:p>
        </w:tc>
      </w:tr>
      <w:tr w:rsidR="00DB55F9" w:rsidRPr="00C1508C" w14:paraId="2999BF48" w14:textId="77777777">
        <w:tc>
          <w:tcPr>
            <w:tcW w:w="562" w:type="dxa"/>
            <w:shd w:val="clear" w:color="auto" w:fill="E7E6E6"/>
            <w:tcMar>
              <w:top w:w="0" w:type="dxa"/>
              <w:left w:w="108" w:type="dxa"/>
              <w:bottom w:w="0" w:type="dxa"/>
              <w:right w:w="108" w:type="dxa"/>
            </w:tcMar>
          </w:tcPr>
          <w:p w14:paraId="3EAF4A9B"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Q5</w:t>
            </w:r>
          </w:p>
        </w:tc>
        <w:tc>
          <w:tcPr>
            <w:tcW w:w="9928" w:type="dxa"/>
            <w:shd w:val="clear" w:color="auto" w:fill="E7E6E6"/>
            <w:tcMar>
              <w:top w:w="0" w:type="dxa"/>
              <w:left w:w="108" w:type="dxa"/>
              <w:bottom w:w="0" w:type="dxa"/>
              <w:right w:w="108" w:type="dxa"/>
            </w:tcMar>
          </w:tcPr>
          <w:p w14:paraId="65CDF76B" w14:textId="77777777" w:rsidR="00DB55F9" w:rsidRPr="00793B2F" w:rsidRDefault="00DD0898" w:rsidP="00793B2F">
            <w:pPr>
              <w:spacing w:after="0" w:line="480" w:lineRule="auto"/>
              <w:rPr>
                <w:rFonts w:ascii="Times New Roman" w:hAnsi="Times New Roman"/>
                <w:sz w:val="20"/>
                <w:szCs w:val="20"/>
                <w:lang w:val="en-US"/>
              </w:rPr>
            </w:pPr>
            <w:r w:rsidRPr="00793B2F">
              <w:rPr>
                <w:rFonts w:ascii="Times New Roman" w:hAnsi="Times New Roman"/>
                <w:sz w:val="20"/>
                <w:szCs w:val="20"/>
                <w:lang w:val="en-US"/>
              </w:rPr>
              <w:t>What exercises did you enjoy and what motivated you to take part in the "X" lesson?</w:t>
            </w:r>
          </w:p>
        </w:tc>
      </w:tr>
      <w:tr w:rsidR="00DB55F9" w:rsidRPr="00C1508C" w14:paraId="73F1DAFE" w14:textId="77777777">
        <w:tc>
          <w:tcPr>
            <w:tcW w:w="562" w:type="dxa"/>
            <w:shd w:val="clear" w:color="auto" w:fill="auto"/>
            <w:tcMar>
              <w:top w:w="0" w:type="dxa"/>
              <w:left w:w="108" w:type="dxa"/>
              <w:bottom w:w="0" w:type="dxa"/>
              <w:right w:w="108" w:type="dxa"/>
            </w:tcMar>
          </w:tcPr>
          <w:p w14:paraId="0A4BE6DB"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Q6</w:t>
            </w:r>
          </w:p>
        </w:tc>
        <w:tc>
          <w:tcPr>
            <w:tcW w:w="9928" w:type="dxa"/>
            <w:shd w:val="clear" w:color="auto" w:fill="auto"/>
            <w:tcMar>
              <w:top w:w="0" w:type="dxa"/>
              <w:left w:w="108" w:type="dxa"/>
              <w:bottom w:w="0" w:type="dxa"/>
              <w:right w:w="108" w:type="dxa"/>
            </w:tcMar>
          </w:tcPr>
          <w:p w14:paraId="1CE40DCB"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Do the relationships you have with each other in the class influence your level of commitment to this "X activity" course?</w:t>
            </w:r>
          </w:p>
        </w:tc>
      </w:tr>
      <w:tr w:rsidR="00207E98" w:rsidRPr="00C1508C" w14:paraId="67D87416" w14:textId="77777777">
        <w:tc>
          <w:tcPr>
            <w:tcW w:w="562" w:type="dxa"/>
            <w:shd w:val="clear" w:color="auto" w:fill="E7E6E6"/>
            <w:tcMar>
              <w:top w:w="0" w:type="dxa"/>
              <w:left w:w="108" w:type="dxa"/>
              <w:bottom w:w="0" w:type="dxa"/>
              <w:right w:w="108" w:type="dxa"/>
            </w:tcMar>
          </w:tcPr>
          <w:p w14:paraId="206B2F99"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Q7</w:t>
            </w:r>
          </w:p>
        </w:tc>
        <w:tc>
          <w:tcPr>
            <w:tcW w:w="9928" w:type="dxa"/>
            <w:shd w:val="clear" w:color="auto" w:fill="E7E6E6"/>
            <w:tcMar>
              <w:top w:w="0" w:type="dxa"/>
              <w:left w:w="108" w:type="dxa"/>
              <w:bottom w:w="0" w:type="dxa"/>
              <w:right w:w="108" w:type="dxa"/>
            </w:tcMar>
          </w:tcPr>
          <w:p w14:paraId="4B0DB4A8"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Do other people's opinions affect your involvement in this activity, and in what way?</w:t>
            </w:r>
          </w:p>
        </w:tc>
      </w:tr>
      <w:tr w:rsidR="00207E98" w:rsidRPr="00C1508C" w14:paraId="105D12E6" w14:textId="77777777" w:rsidTr="00793B2F">
        <w:trPr>
          <w:trHeight w:val="552"/>
        </w:trPr>
        <w:tc>
          <w:tcPr>
            <w:tcW w:w="562" w:type="dxa"/>
            <w:vMerge w:val="restart"/>
            <w:shd w:val="clear" w:color="auto" w:fill="auto"/>
            <w:tcMar>
              <w:top w:w="0" w:type="dxa"/>
              <w:left w:w="108" w:type="dxa"/>
              <w:bottom w:w="0" w:type="dxa"/>
              <w:right w:w="108" w:type="dxa"/>
            </w:tcMar>
          </w:tcPr>
          <w:p w14:paraId="75EA4EC6" w14:textId="77777777" w:rsidR="00DB55F9" w:rsidRPr="00793B2F" w:rsidRDefault="00DD0898" w:rsidP="00793B2F">
            <w:pPr>
              <w:spacing w:after="0" w:line="480" w:lineRule="auto"/>
              <w:rPr>
                <w:rFonts w:ascii="Times New Roman" w:hAnsi="Times New Roman"/>
                <w:sz w:val="20"/>
                <w:szCs w:val="20"/>
                <w:lang w:val="en-GB"/>
              </w:rPr>
            </w:pPr>
            <w:r w:rsidRPr="00793B2F">
              <w:rPr>
                <w:rFonts w:ascii="Times New Roman" w:hAnsi="Times New Roman"/>
                <w:sz w:val="20"/>
                <w:szCs w:val="20"/>
                <w:lang w:val="en-GB"/>
              </w:rPr>
              <w:t xml:space="preserve">Q8 </w:t>
            </w:r>
          </w:p>
        </w:tc>
        <w:tc>
          <w:tcPr>
            <w:tcW w:w="9928" w:type="dxa"/>
            <w:vMerge w:val="restart"/>
            <w:shd w:val="clear" w:color="auto" w:fill="auto"/>
            <w:tcMar>
              <w:top w:w="0" w:type="dxa"/>
              <w:left w:w="108" w:type="dxa"/>
              <w:bottom w:w="0" w:type="dxa"/>
              <w:right w:w="108" w:type="dxa"/>
            </w:tcMar>
          </w:tcPr>
          <w:p w14:paraId="38DCF984" w14:textId="77777777" w:rsidR="00DB55F9" w:rsidRPr="00793B2F" w:rsidRDefault="00DD0898" w:rsidP="00793B2F">
            <w:pPr>
              <w:spacing w:line="480" w:lineRule="auto"/>
              <w:rPr>
                <w:rFonts w:ascii="Times New Roman" w:hAnsi="Times New Roman"/>
                <w:sz w:val="20"/>
                <w:szCs w:val="20"/>
                <w:lang w:val="en-US"/>
              </w:rPr>
            </w:pPr>
            <w:r w:rsidRPr="00793B2F">
              <w:rPr>
                <w:rFonts w:ascii="Times New Roman" w:hAnsi="Times New Roman"/>
                <w:sz w:val="20"/>
                <w:szCs w:val="20"/>
                <w:lang w:val="en-US"/>
              </w:rPr>
              <w:t>Free questions, specific to the class, after the observation in relation to a theme that emerges in the ethnographic notebook.</w:t>
            </w:r>
          </w:p>
        </w:tc>
      </w:tr>
    </w:tbl>
    <w:p w14:paraId="7AE6CEF1" w14:textId="77777777"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sz w:val="24"/>
          <w:szCs w:val="24"/>
          <w:lang w:val="en-US"/>
        </w:rPr>
      </w:pPr>
      <w:r w:rsidRPr="006217CB">
        <w:rPr>
          <w:rFonts w:ascii="Times New Roman" w:eastAsia="Times New Roman" w:hAnsi="Times New Roman"/>
          <w:sz w:val="24"/>
          <w:szCs w:val="24"/>
          <w:lang w:val="en-US"/>
        </w:rPr>
        <w:lastRenderedPageBreak/>
        <w:t xml:space="preserve">The focus group session will be comprehensively audio-recorded, while the second researcher diligently documents key aspects. This includes noting down the names of the participants as they speak, observing and recording their non-verbal interactions, and capturing the general ambiance of the group. </w:t>
      </w:r>
    </w:p>
    <w:p w14:paraId="70FB9F27" w14:textId="1543705D" w:rsidR="00C102EC" w:rsidRPr="006217CB" w:rsidRDefault="00DD0898" w:rsidP="00793B2F">
      <w:pPr>
        <w:spacing w:line="480" w:lineRule="auto"/>
        <w:ind w:firstLine="708"/>
        <w:rPr>
          <w:rFonts w:ascii="Times New Roman" w:hAnsi="Times New Roman"/>
          <w:sz w:val="24"/>
          <w:szCs w:val="24"/>
          <w:lang w:val="en-GB"/>
        </w:rPr>
      </w:pPr>
      <w:r w:rsidRPr="006217CB">
        <w:rPr>
          <w:rFonts w:ascii="Times New Roman" w:hAnsi="Times New Roman"/>
          <w:sz w:val="24"/>
          <w:szCs w:val="24"/>
          <w:lang w:val="en-GB"/>
        </w:rPr>
        <w:t xml:space="preserve">The verbatim of the focus group is done in two phases, a first transcription with a computer program and a second phase to complete and add details manually. The verbatim is a raw transcription of the girl's interaction, </w:t>
      </w:r>
      <w:r w:rsidR="00793B2F" w:rsidRPr="006217CB">
        <w:rPr>
          <w:rFonts w:ascii="Times New Roman" w:hAnsi="Times New Roman"/>
          <w:sz w:val="24"/>
          <w:szCs w:val="24"/>
          <w:lang w:val="en-GB"/>
        </w:rPr>
        <w:t>considering</w:t>
      </w:r>
      <w:r w:rsidRPr="006217CB">
        <w:rPr>
          <w:rFonts w:ascii="Times New Roman" w:hAnsi="Times New Roman"/>
          <w:sz w:val="24"/>
          <w:szCs w:val="24"/>
          <w:lang w:val="en-GB"/>
        </w:rPr>
        <w:t xml:space="preserve"> the silences, </w:t>
      </w:r>
      <w:r w:rsidR="00793B2F" w:rsidRPr="006217CB">
        <w:rPr>
          <w:rFonts w:ascii="Times New Roman" w:hAnsi="Times New Roman"/>
          <w:sz w:val="24"/>
          <w:szCs w:val="24"/>
          <w:lang w:val="en-GB"/>
        </w:rPr>
        <w:t>repetitions,</w:t>
      </w:r>
      <w:r w:rsidRPr="006217CB">
        <w:rPr>
          <w:rFonts w:ascii="Times New Roman" w:hAnsi="Times New Roman"/>
          <w:sz w:val="24"/>
          <w:szCs w:val="24"/>
          <w:lang w:val="en-GB"/>
        </w:rPr>
        <w:t xml:space="preserve"> or hesitations during the verbal exchange.</w:t>
      </w:r>
    </w:p>
    <w:p w14:paraId="5EB3D83D" w14:textId="7E9B335C" w:rsidR="00DB55F9" w:rsidRPr="006217CB" w:rsidRDefault="00DD0898" w:rsidP="00793B2F">
      <w:pPr>
        <w:spacing w:line="480" w:lineRule="auto"/>
        <w:rPr>
          <w:b/>
          <w:bCs/>
          <w:i/>
          <w:iCs/>
          <w:sz w:val="24"/>
          <w:szCs w:val="24"/>
          <w:lang w:val="en-US"/>
        </w:rPr>
      </w:pPr>
      <w:r w:rsidRPr="006217CB">
        <w:rPr>
          <w:rFonts w:ascii="Times New Roman" w:hAnsi="Times New Roman"/>
          <w:b/>
          <w:bCs/>
          <w:i/>
          <w:iCs/>
          <w:sz w:val="24"/>
          <w:szCs w:val="24"/>
          <w:lang w:val="en-GB"/>
        </w:rPr>
        <w:t>Data analysis</w:t>
      </w:r>
    </w:p>
    <w:p w14:paraId="347B8BCE" w14:textId="77777777" w:rsidR="00DB55F9" w:rsidRPr="006217CB" w:rsidRDefault="00DD0898" w:rsidP="00793B2F">
      <w:pPr>
        <w:pBdr>
          <w:top w:val="none" w:sz="4" w:space="0" w:color="000000"/>
          <w:left w:val="none" w:sz="4" w:space="0" w:color="000000"/>
          <w:bottom w:val="none" w:sz="4" w:space="0" w:color="000000"/>
          <w:right w:val="none" w:sz="4" w:space="0" w:color="000000"/>
        </w:pBdr>
        <w:spacing w:before="240" w:after="240" w:line="480" w:lineRule="auto"/>
        <w:ind w:firstLine="708"/>
        <w:rPr>
          <w:sz w:val="24"/>
          <w:szCs w:val="24"/>
          <w:lang w:val="en-US"/>
        </w:rPr>
      </w:pPr>
      <w:r w:rsidRPr="006217CB">
        <w:rPr>
          <w:rFonts w:ascii="Times New Roman" w:eastAsia="Times New Roman" w:hAnsi="Times New Roman"/>
          <w:color w:val="000000"/>
          <w:sz w:val="24"/>
          <w:szCs w:val="24"/>
          <w:lang w:val="en-US"/>
        </w:rPr>
        <w:t>Subsequently, the findings from both the ethnographic observations and the focus group will be juxtaposed for a comparative analysis. This process aims to scrutinize and understand the correlation between the observer's interpretations and the perspectives shared by the pupils, thereby ensuring a holistic understanding of the dynamics at play.</w:t>
      </w:r>
    </w:p>
    <w:p w14:paraId="3CBC6982" w14:textId="77777777" w:rsidR="00207E98" w:rsidRPr="006217CB" w:rsidRDefault="00207E98" w:rsidP="00793B2F">
      <w:pPr>
        <w:pStyle w:val="NormalWeb"/>
        <w:spacing w:line="480" w:lineRule="auto"/>
        <w:ind w:firstLine="708"/>
        <w:rPr>
          <w:rFonts w:eastAsia="Calibri"/>
          <w:lang w:val="en-US" w:eastAsia="en-US"/>
        </w:rPr>
      </w:pPr>
      <w:r w:rsidRPr="006217CB">
        <w:rPr>
          <w:rFonts w:eastAsia="Calibri"/>
          <w:lang w:val="en-US" w:eastAsia="en-US"/>
        </w:rPr>
        <w:t>The focus group analyses will be conducted using a semi-open coding method, drawing on the reflexive exploration of coding techniques outlined by Blair (2015) [12]. The data analysis will proceed in three steps: open coding, categorization, and the creation of an analysis grid.</w:t>
      </w:r>
    </w:p>
    <w:p w14:paraId="23287114" w14:textId="77777777" w:rsidR="00207E98" w:rsidRPr="006217CB" w:rsidRDefault="00207E98" w:rsidP="00793B2F">
      <w:pPr>
        <w:pStyle w:val="NormalWeb"/>
        <w:spacing w:line="480" w:lineRule="auto"/>
        <w:ind w:firstLine="708"/>
        <w:rPr>
          <w:rFonts w:eastAsia="Calibri"/>
          <w:lang w:val="en-US" w:eastAsia="en-US"/>
        </w:rPr>
      </w:pPr>
      <w:r w:rsidRPr="006217CB">
        <w:rPr>
          <w:rFonts w:eastAsia="Calibri"/>
          <w:lang w:val="en-US" w:eastAsia="en-US"/>
        </w:rPr>
        <w:t>In the open coding phase, we will employ the initial stage of the grounded theory methodology as described by Strauss and Corbin (1998, as cited by Blair), utilizing emergent codes from the verbatim [12]. Our approach is to code concepts rather than individual words or lines, allowing for a broader spectrum of interpretation. All elements of the verbatim will be coded, excluding interactions related to the organization of the creative activity. If it enhances our understanding of the participants' perspectives, a concept may be assigned to two different codes.</w:t>
      </w:r>
    </w:p>
    <w:p w14:paraId="6186BF5D" w14:textId="78E09169" w:rsidR="00207E98" w:rsidRPr="006217CB" w:rsidRDefault="00207E98" w:rsidP="00793B2F">
      <w:pPr>
        <w:pStyle w:val="NormalWeb"/>
        <w:spacing w:line="480" w:lineRule="auto"/>
        <w:ind w:firstLine="708"/>
        <w:rPr>
          <w:rFonts w:eastAsia="Calibri"/>
          <w:lang w:val="en-US" w:eastAsia="en-US"/>
        </w:rPr>
      </w:pPr>
      <w:r w:rsidRPr="006217CB">
        <w:rPr>
          <w:rFonts w:eastAsia="Calibri"/>
          <w:lang w:val="en-US" w:eastAsia="en-US"/>
        </w:rPr>
        <w:t xml:space="preserve">For categorization, we will use a template coding methodology, defining </w:t>
      </w:r>
      <w:r w:rsidRPr="00E937FF">
        <w:rPr>
          <w:rFonts w:eastAsia="Calibri"/>
          <w:i/>
          <w:iCs/>
          <w:lang w:val="en-US" w:eastAsia="en-US"/>
        </w:rPr>
        <w:t>a priori</w:t>
      </w:r>
      <w:r w:rsidR="00E937FF">
        <w:rPr>
          <w:rFonts w:eastAsia="Calibri"/>
          <w:i/>
          <w:iCs/>
          <w:lang w:val="en-US" w:eastAsia="en-US"/>
        </w:rPr>
        <w:t xml:space="preserve"> </w:t>
      </w:r>
      <w:r w:rsidRPr="006217CB">
        <w:rPr>
          <w:rFonts w:eastAsia="Calibri"/>
          <w:lang w:val="en-US" w:eastAsia="en-US"/>
        </w:rPr>
        <w:t xml:space="preserve">eight categories: relationship with the body, engagement in PE, representation of sporting activities, relationship with effort, relationship with PA, relationship with the teacher, interactions between girls and boys, and teaching content. These categories aim to capture all necessary information to address our research question and </w:t>
      </w:r>
      <w:r w:rsidRPr="006217CB">
        <w:rPr>
          <w:rFonts w:eastAsia="Calibri"/>
          <w:lang w:val="en-US" w:eastAsia="en-US"/>
        </w:rPr>
        <w:lastRenderedPageBreak/>
        <w:t>hypotheses. They are informed by Bauman's ecological model, which serves as our theoretical framework [11]. The objective here is to assign each code to a specific category, with each code being assignable to only one category.</w:t>
      </w:r>
    </w:p>
    <w:p w14:paraId="09684E58" w14:textId="2CF63264" w:rsidR="00207E98" w:rsidRPr="006217CB" w:rsidRDefault="00207E98" w:rsidP="00793B2F">
      <w:pPr>
        <w:pStyle w:val="NormalWeb"/>
        <w:spacing w:line="480" w:lineRule="auto"/>
        <w:ind w:firstLine="708"/>
        <w:rPr>
          <w:rFonts w:eastAsia="Calibri"/>
          <w:lang w:val="en-US" w:eastAsia="en-US"/>
        </w:rPr>
      </w:pPr>
      <w:r w:rsidRPr="006217CB">
        <w:rPr>
          <w:rFonts w:eastAsia="Calibri"/>
          <w:lang w:val="en-US" w:eastAsia="en-US"/>
        </w:rPr>
        <w:t>Finally, to develop our analysis grid, each category will be aligned with one of Bauman's five systems, offering a comprehensive view of the verbatim in the context of our theoretical framework. This step aims to provide a holistic understanding of the girls' perspectives. Information from the ethnographic notebook will also be incorporated into the final analysis grid. The grid is designed to identify which systems most significantly influence girls' engagement or disengagement in PE.</w:t>
      </w:r>
    </w:p>
    <w:bookmarkEnd w:id="0"/>
    <w:p w14:paraId="66416A5F" w14:textId="77777777" w:rsidR="00580556" w:rsidRDefault="00580556" w:rsidP="00793B2F">
      <w:pPr>
        <w:spacing w:line="480" w:lineRule="auto"/>
        <w:ind w:firstLine="360"/>
        <w:rPr>
          <w:rFonts w:ascii="Times New Roman" w:hAnsi="Times New Roman"/>
          <w:sz w:val="24"/>
          <w:szCs w:val="24"/>
          <w:lang w:val="en-US"/>
        </w:rPr>
      </w:pPr>
    </w:p>
    <w:p w14:paraId="0A8F7976" w14:textId="77777777" w:rsidR="006217CB" w:rsidRDefault="006217CB" w:rsidP="00793B2F">
      <w:pPr>
        <w:spacing w:line="480" w:lineRule="auto"/>
        <w:ind w:firstLine="360"/>
        <w:rPr>
          <w:rFonts w:ascii="Times New Roman" w:hAnsi="Times New Roman"/>
          <w:sz w:val="24"/>
          <w:szCs w:val="24"/>
          <w:lang w:val="en-US"/>
        </w:rPr>
      </w:pPr>
    </w:p>
    <w:p w14:paraId="775F88FB" w14:textId="77777777" w:rsidR="006217CB" w:rsidRDefault="006217CB" w:rsidP="00793B2F">
      <w:pPr>
        <w:spacing w:line="480" w:lineRule="auto"/>
        <w:ind w:firstLine="360"/>
        <w:rPr>
          <w:rFonts w:ascii="Times New Roman" w:hAnsi="Times New Roman"/>
          <w:sz w:val="24"/>
          <w:szCs w:val="24"/>
          <w:lang w:val="en-US"/>
        </w:rPr>
      </w:pPr>
    </w:p>
    <w:p w14:paraId="37424F37" w14:textId="77777777" w:rsidR="006217CB" w:rsidRDefault="006217CB" w:rsidP="00793B2F">
      <w:pPr>
        <w:spacing w:line="480" w:lineRule="auto"/>
        <w:ind w:firstLine="360"/>
        <w:rPr>
          <w:rFonts w:ascii="Times New Roman" w:hAnsi="Times New Roman"/>
          <w:sz w:val="24"/>
          <w:szCs w:val="24"/>
          <w:lang w:val="en-US"/>
        </w:rPr>
      </w:pPr>
    </w:p>
    <w:p w14:paraId="5AD69524" w14:textId="77777777" w:rsidR="006217CB" w:rsidRDefault="006217CB" w:rsidP="00793B2F">
      <w:pPr>
        <w:spacing w:line="480" w:lineRule="auto"/>
        <w:ind w:firstLine="360"/>
        <w:rPr>
          <w:rFonts w:ascii="Times New Roman" w:hAnsi="Times New Roman"/>
          <w:sz w:val="24"/>
          <w:szCs w:val="24"/>
          <w:lang w:val="en-US"/>
        </w:rPr>
      </w:pPr>
    </w:p>
    <w:p w14:paraId="2C6D42EF" w14:textId="77777777" w:rsidR="006217CB" w:rsidRDefault="006217CB" w:rsidP="00793B2F">
      <w:pPr>
        <w:spacing w:line="480" w:lineRule="auto"/>
        <w:ind w:firstLine="360"/>
        <w:rPr>
          <w:rFonts w:ascii="Times New Roman" w:hAnsi="Times New Roman"/>
          <w:sz w:val="24"/>
          <w:szCs w:val="24"/>
          <w:lang w:val="en-US"/>
        </w:rPr>
      </w:pPr>
    </w:p>
    <w:p w14:paraId="0ED4CD16" w14:textId="77777777" w:rsidR="00793B2F" w:rsidRDefault="00793B2F" w:rsidP="00793B2F">
      <w:pPr>
        <w:spacing w:line="480" w:lineRule="auto"/>
        <w:ind w:firstLine="360"/>
        <w:rPr>
          <w:rFonts w:ascii="Times New Roman" w:hAnsi="Times New Roman"/>
          <w:sz w:val="24"/>
          <w:szCs w:val="24"/>
          <w:lang w:val="en-US"/>
        </w:rPr>
      </w:pPr>
    </w:p>
    <w:p w14:paraId="7C54104B" w14:textId="77777777" w:rsidR="006217CB" w:rsidRDefault="006217CB" w:rsidP="00793B2F">
      <w:pPr>
        <w:spacing w:line="480" w:lineRule="auto"/>
        <w:ind w:firstLine="360"/>
        <w:rPr>
          <w:rFonts w:ascii="Times New Roman" w:hAnsi="Times New Roman"/>
          <w:sz w:val="24"/>
          <w:szCs w:val="24"/>
          <w:lang w:val="en-US"/>
        </w:rPr>
      </w:pPr>
    </w:p>
    <w:p w14:paraId="2B3CE486" w14:textId="77777777" w:rsidR="00166695" w:rsidRDefault="00166695" w:rsidP="00793B2F">
      <w:pPr>
        <w:spacing w:line="480" w:lineRule="auto"/>
        <w:ind w:firstLine="360"/>
        <w:rPr>
          <w:rFonts w:ascii="Times New Roman" w:hAnsi="Times New Roman"/>
          <w:sz w:val="24"/>
          <w:szCs w:val="24"/>
          <w:lang w:val="en-US"/>
        </w:rPr>
      </w:pPr>
    </w:p>
    <w:p w14:paraId="75E2C2A2" w14:textId="77777777" w:rsidR="00166695" w:rsidRDefault="00166695" w:rsidP="00793B2F">
      <w:pPr>
        <w:spacing w:line="480" w:lineRule="auto"/>
        <w:ind w:firstLine="360"/>
        <w:rPr>
          <w:rFonts w:ascii="Times New Roman" w:hAnsi="Times New Roman"/>
          <w:sz w:val="24"/>
          <w:szCs w:val="24"/>
          <w:lang w:val="en-US"/>
        </w:rPr>
      </w:pPr>
    </w:p>
    <w:p w14:paraId="70BB6AAD" w14:textId="77777777" w:rsidR="005F5959" w:rsidRDefault="005F5959" w:rsidP="00793B2F">
      <w:pPr>
        <w:spacing w:line="480" w:lineRule="auto"/>
        <w:ind w:firstLine="360"/>
        <w:rPr>
          <w:rFonts w:ascii="Times New Roman" w:hAnsi="Times New Roman"/>
          <w:sz w:val="24"/>
          <w:szCs w:val="24"/>
          <w:lang w:val="en-US"/>
        </w:rPr>
      </w:pPr>
    </w:p>
    <w:p w14:paraId="58016069" w14:textId="77777777" w:rsidR="005F5959" w:rsidRDefault="005F5959" w:rsidP="00793B2F">
      <w:pPr>
        <w:spacing w:line="480" w:lineRule="auto"/>
        <w:ind w:firstLine="360"/>
        <w:rPr>
          <w:rFonts w:ascii="Times New Roman" w:hAnsi="Times New Roman"/>
          <w:sz w:val="24"/>
          <w:szCs w:val="24"/>
          <w:lang w:val="en-US"/>
        </w:rPr>
      </w:pPr>
    </w:p>
    <w:p w14:paraId="39DFA76D" w14:textId="77777777" w:rsidR="005F5959" w:rsidRDefault="005F5959" w:rsidP="00793B2F">
      <w:pPr>
        <w:spacing w:line="480" w:lineRule="auto"/>
        <w:ind w:firstLine="360"/>
        <w:rPr>
          <w:rFonts w:ascii="Times New Roman" w:hAnsi="Times New Roman"/>
          <w:sz w:val="24"/>
          <w:szCs w:val="24"/>
          <w:lang w:val="en-US"/>
        </w:rPr>
      </w:pPr>
    </w:p>
    <w:p w14:paraId="6350851F" w14:textId="77777777" w:rsidR="00B54473" w:rsidRDefault="00B54473" w:rsidP="00793B2F">
      <w:pPr>
        <w:spacing w:line="480" w:lineRule="auto"/>
        <w:ind w:firstLine="360"/>
        <w:rPr>
          <w:rFonts w:ascii="Times New Roman" w:hAnsi="Times New Roman"/>
          <w:sz w:val="24"/>
          <w:szCs w:val="24"/>
          <w:lang w:val="en-US"/>
        </w:rPr>
      </w:pPr>
    </w:p>
    <w:p w14:paraId="5F246ACF" w14:textId="7ED99A36" w:rsidR="00A42277" w:rsidRPr="00B54473" w:rsidRDefault="00A42277" w:rsidP="00A42277">
      <w:pPr>
        <w:spacing w:line="480" w:lineRule="auto"/>
        <w:rPr>
          <w:rFonts w:ascii="Times New Roman" w:hAnsi="Times New Roman"/>
          <w:b/>
          <w:bCs/>
          <w:sz w:val="24"/>
          <w:szCs w:val="24"/>
          <w:lang w:val="en-GB"/>
        </w:rPr>
      </w:pPr>
      <w:r>
        <w:rPr>
          <w:rFonts w:ascii="Times New Roman" w:hAnsi="Times New Roman"/>
          <w:b/>
          <w:bCs/>
          <w:sz w:val="24"/>
          <w:szCs w:val="24"/>
          <w:lang w:val="en-GB"/>
        </w:rPr>
        <w:lastRenderedPageBreak/>
        <w:t>Declaration</w:t>
      </w:r>
      <w:r w:rsidRPr="00B54473">
        <w:rPr>
          <w:rFonts w:ascii="Times New Roman" w:hAnsi="Times New Roman"/>
          <w:b/>
          <w:bCs/>
          <w:sz w:val="24"/>
          <w:szCs w:val="24"/>
          <w:lang w:val="en-GB"/>
        </w:rPr>
        <w:t xml:space="preserve"> of interest</w:t>
      </w:r>
    </w:p>
    <w:p w14:paraId="13227559" w14:textId="77777777" w:rsidR="00A42277" w:rsidRPr="006217CB" w:rsidRDefault="00A42277" w:rsidP="00A42277">
      <w:pPr>
        <w:spacing w:line="480" w:lineRule="auto"/>
        <w:rPr>
          <w:rFonts w:ascii="Times New Roman" w:hAnsi="Times New Roman"/>
          <w:sz w:val="24"/>
          <w:szCs w:val="24"/>
          <w:lang w:val="en-GB"/>
        </w:rPr>
      </w:pPr>
      <w:r>
        <w:rPr>
          <w:rFonts w:ascii="Times New Roman" w:hAnsi="Times New Roman"/>
          <w:sz w:val="24"/>
          <w:szCs w:val="24"/>
          <w:lang w:val="en-GB"/>
        </w:rPr>
        <w:t>The authors report no conflict of interest.</w:t>
      </w:r>
    </w:p>
    <w:p w14:paraId="44604163" w14:textId="77777777" w:rsidR="005F5959" w:rsidRPr="006217CB" w:rsidRDefault="005F5959" w:rsidP="00A42277">
      <w:pPr>
        <w:spacing w:line="480" w:lineRule="auto"/>
        <w:rPr>
          <w:rFonts w:ascii="Times New Roman" w:hAnsi="Times New Roman"/>
          <w:sz w:val="24"/>
          <w:szCs w:val="24"/>
          <w:lang w:val="en-US"/>
        </w:rPr>
      </w:pPr>
    </w:p>
    <w:p w14:paraId="46A12A8C" w14:textId="40021697" w:rsidR="00DB55F9" w:rsidRPr="006217CB" w:rsidRDefault="00DD0898" w:rsidP="005A3EAD">
      <w:pPr>
        <w:spacing w:line="480" w:lineRule="auto"/>
        <w:jc w:val="center"/>
        <w:rPr>
          <w:rFonts w:ascii="Times New Roman" w:hAnsi="Times New Roman"/>
          <w:b/>
          <w:bCs/>
          <w:sz w:val="24"/>
          <w:szCs w:val="24"/>
        </w:rPr>
      </w:pPr>
      <w:r w:rsidRPr="006217CB">
        <w:rPr>
          <w:rFonts w:ascii="Times New Roman" w:hAnsi="Times New Roman"/>
          <w:b/>
          <w:bCs/>
          <w:sz w:val="24"/>
          <w:szCs w:val="24"/>
        </w:rPr>
        <w:t>Reference</w:t>
      </w:r>
    </w:p>
    <w:p w14:paraId="06B31D91" w14:textId="286C833F" w:rsidR="00E82B35" w:rsidRPr="00E82B35" w:rsidRDefault="00DD0898" w:rsidP="00793B2F">
      <w:pPr>
        <w:pStyle w:val="Bibliographie"/>
        <w:rPr>
          <w:rFonts w:ascii="Times New Roman" w:hAnsi="Times New Roman"/>
          <w:sz w:val="24"/>
        </w:rPr>
      </w:pPr>
      <w:r w:rsidRPr="006217CB">
        <w:rPr>
          <w:sz w:val="24"/>
          <w:szCs w:val="24"/>
          <w:lang w:val="en-GB"/>
        </w:rPr>
        <w:fldChar w:fldCharType="begin"/>
      </w:r>
      <w:r w:rsidRPr="006217CB">
        <w:rPr>
          <w:sz w:val="24"/>
          <w:szCs w:val="24"/>
        </w:rPr>
        <w:instrText xml:space="preserve"> ADDIN ZOTERO_BIBL {"uncited":[],"omitted":[],"custom":[]} CSL_BIBLIOGRAPHY </w:instrText>
      </w:r>
      <w:r w:rsidRPr="006217CB">
        <w:rPr>
          <w:sz w:val="24"/>
          <w:szCs w:val="24"/>
          <w:lang w:val="en-GB"/>
        </w:rPr>
        <w:fldChar w:fldCharType="separate"/>
      </w:r>
      <w:r w:rsidR="00E82B35" w:rsidRPr="00E82B35">
        <w:rPr>
          <w:rFonts w:ascii="Times New Roman" w:hAnsi="Times New Roman"/>
          <w:sz w:val="24"/>
        </w:rPr>
        <w:t xml:space="preserve">1. </w:t>
      </w:r>
      <w:r w:rsidR="00E82B35" w:rsidRPr="00E82B35">
        <w:rPr>
          <w:rFonts w:ascii="Times New Roman" w:hAnsi="Times New Roman"/>
          <w:sz w:val="24"/>
        </w:rPr>
        <w:tab/>
        <w:t xml:space="preserve">Organisation mondiale de la Santé. Lignes directrices de l’OMS sur l’activité physique et la sédentarité [Internet]. Genève: Organisation mondiale de la Santé; 2021. </w:t>
      </w:r>
      <w:hyperlink r:id="rId8" w:history="1">
        <w:r w:rsidR="00E82B35" w:rsidRPr="005A3EAD">
          <w:rPr>
            <w:rStyle w:val="Lienhypertexte"/>
            <w:rFonts w:ascii="Times New Roman" w:hAnsi="Times New Roman"/>
            <w:sz w:val="24"/>
          </w:rPr>
          <w:t>https://apps.who.int/iris/handle/10665/349728</w:t>
        </w:r>
      </w:hyperlink>
    </w:p>
    <w:p w14:paraId="2081FAC0" w14:textId="6699B51D" w:rsidR="00E82B35" w:rsidRPr="00C02316" w:rsidRDefault="00E82B35" w:rsidP="00793B2F">
      <w:pPr>
        <w:pStyle w:val="Bibliographie"/>
        <w:rPr>
          <w:rFonts w:ascii="Times New Roman" w:hAnsi="Times New Roman"/>
          <w:sz w:val="24"/>
        </w:rPr>
      </w:pPr>
      <w:r w:rsidRPr="00C02316">
        <w:rPr>
          <w:rFonts w:ascii="Times New Roman" w:hAnsi="Times New Roman"/>
          <w:sz w:val="24"/>
        </w:rPr>
        <w:t xml:space="preserve">2. </w:t>
      </w:r>
      <w:r w:rsidRPr="00C02316">
        <w:rPr>
          <w:rFonts w:ascii="Times New Roman" w:hAnsi="Times New Roman"/>
          <w:sz w:val="24"/>
        </w:rPr>
        <w:tab/>
        <w:t xml:space="preserve">Ekelund U, Tarp J, Steene-Johannessen J, Hansen BH, Jefferis B, Fagerland MW, et al. </w:t>
      </w:r>
      <w:r w:rsidRPr="00E82B35">
        <w:rPr>
          <w:rFonts w:ascii="Times New Roman" w:hAnsi="Times New Roman"/>
          <w:sz w:val="24"/>
          <w:lang w:val="en-US"/>
        </w:rPr>
        <w:t xml:space="preserve">Dose-response associations between accelerometry measured physical activity and sedentary time and all cause mortality: systematic review and harmonised meta-analysis. </w:t>
      </w:r>
      <w:r w:rsidRPr="00C02316">
        <w:rPr>
          <w:rFonts w:ascii="Times New Roman" w:hAnsi="Times New Roman"/>
          <w:sz w:val="24"/>
        </w:rPr>
        <w:t xml:space="preserve">BMJ. </w:t>
      </w:r>
      <w:hyperlink r:id="rId9" w:history="1">
        <w:r w:rsidR="005A3EAD" w:rsidRPr="00C02316">
          <w:rPr>
            <w:rStyle w:val="Lienhypertexte"/>
            <w:rFonts w:ascii="Times New Roman" w:hAnsi="Times New Roman"/>
            <w:sz w:val="24"/>
          </w:rPr>
          <w:t>https://doi.org/10.1136/bmj.l4570</w:t>
        </w:r>
      </w:hyperlink>
    </w:p>
    <w:p w14:paraId="357D5EA2" w14:textId="6ACDA16E" w:rsidR="00E82B35" w:rsidRPr="00E82B35" w:rsidRDefault="00E82B35" w:rsidP="00793B2F">
      <w:pPr>
        <w:pStyle w:val="Bibliographie"/>
        <w:rPr>
          <w:rFonts w:ascii="Times New Roman" w:hAnsi="Times New Roman"/>
          <w:sz w:val="24"/>
          <w:lang w:val="en-US"/>
        </w:rPr>
      </w:pPr>
      <w:r w:rsidRPr="00C02316">
        <w:rPr>
          <w:rFonts w:ascii="Times New Roman" w:hAnsi="Times New Roman"/>
          <w:sz w:val="24"/>
        </w:rPr>
        <w:t xml:space="preserve">3. </w:t>
      </w:r>
      <w:r w:rsidRPr="00C02316">
        <w:rPr>
          <w:rFonts w:ascii="Times New Roman" w:hAnsi="Times New Roman"/>
          <w:sz w:val="24"/>
        </w:rPr>
        <w:tab/>
        <w:t xml:space="preserve">Varma VR, Dey D, Leroux A, Di J, Urbanek J, Xiao L, et al. </w:t>
      </w:r>
      <w:r w:rsidRPr="00E82B35">
        <w:rPr>
          <w:rFonts w:ascii="Times New Roman" w:hAnsi="Times New Roman"/>
          <w:sz w:val="24"/>
          <w:lang w:val="en-US"/>
        </w:rPr>
        <w:t>Re-evaluating the effect of age on physical activity over the lifespan. Preventive Medicine.</w:t>
      </w:r>
      <w:hyperlink r:id="rId10" w:history="1">
        <w:r w:rsidRPr="005A3EAD">
          <w:rPr>
            <w:rStyle w:val="Lienhypertexte"/>
            <w:rFonts w:ascii="Times New Roman" w:hAnsi="Times New Roman"/>
            <w:sz w:val="24"/>
            <w:lang w:val="en-US"/>
          </w:rPr>
          <w:t xml:space="preserve"> </w:t>
        </w:r>
        <w:r w:rsidR="005A3EAD" w:rsidRPr="005A3EAD">
          <w:rPr>
            <w:rStyle w:val="Lienhypertexte"/>
            <w:rFonts w:ascii="Times New Roman" w:hAnsi="Times New Roman"/>
            <w:sz w:val="24"/>
            <w:lang w:val="en-US"/>
          </w:rPr>
          <w:t>https://doi.org/10.1016/j.ypmed.2017.05.030</w:t>
        </w:r>
      </w:hyperlink>
      <w:r w:rsidR="005A3EAD">
        <w:rPr>
          <w:rFonts w:ascii="Times New Roman" w:hAnsi="Times New Roman"/>
          <w:sz w:val="24"/>
          <w:lang w:val="en-US"/>
        </w:rPr>
        <w:t xml:space="preserve"> </w:t>
      </w:r>
    </w:p>
    <w:p w14:paraId="25A44040" w14:textId="2432F41F"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t xml:space="preserve">4. </w:t>
      </w:r>
      <w:r w:rsidRPr="00E82B35">
        <w:rPr>
          <w:rFonts w:ascii="Times New Roman" w:hAnsi="Times New Roman"/>
          <w:sz w:val="24"/>
          <w:lang w:val="en-US"/>
        </w:rPr>
        <w:tab/>
        <w:t>Kalman M, Inchley J, Sigmundova D, Iannotti RJ, Tynjälä JA, Hamrik Z, et al. Secular trends in moderate-to-vigorous physical activity in 32 countries from 2002 to 2010: a cross-national perspective. European Journal of Public Health.</w:t>
      </w:r>
      <w:r w:rsidR="005A3EAD">
        <w:rPr>
          <w:rFonts w:ascii="Times New Roman" w:hAnsi="Times New Roman"/>
          <w:sz w:val="24"/>
          <w:lang w:val="en-US"/>
        </w:rPr>
        <w:t xml:space="preserve"> </w:t>
      </w:r>
      <w:hyperlink r:id="rId11" w:history="1">
        <w:r w:rsidR="005A3EAD" w:rsidRPr="005A3EAD">
          <w:rPr>
            <w:rStyle w:val="Lienhypertexte"/>
            <w:rFonts w:ascii="Times New Roman" w:hAnsi="Times New Roman"/>
            <w:sz w:val="24"/>
            <w:lang w:val="en-US"/>
          </w:rPr>
          <w:t>https://doi.org/10.1093/eurpub/ckv024</w:t>
        </w:r>
      </w:hyperlink>
      <w:r w:rsidR="005A3EAD">
        <w:rPr>
          <w:rFonts w:ascii="Times New Roman" w:hAnsi="Times New Roman"/>
          <w:sz w:val="24"/>
          <w:lang w:val="en-US"/>
        </w:rPr>
        <w:t xml:space="preserve"> </w:t>
      </w:r>
    </w:p>
    <w:p w14:paraId="29419119" w14:textId="79FC62CB"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t xml:space="preserve">5. </w:t>
      </w:r>
      <w:r w:rsidRPr="00E82B35">
        <w:rPr>
          <w:rFonts w:ascii="Times New Roman" w:hAnsi="Times New Roman"/>
          <w:sz w:val="24"/>
          <w:lang w:val="en-US"/>
        </w:rPr>
        <w:tab/>
        <w:t xml:space="preserve">Guthold R, Stevens GA, Riley LM, Bull FC. Global trends in insufficient physical activity among adolescents: a pooled analysis of 298 population-based surveys with 1·6 million participants. The Lancet Child &amp; Adolescent Health. </w:t>
      </w:r>
      <w:hyperlink r:id="rId12" w:history="1">
        <w:r w:rsidR="005A3EAD" w:rsidRPr="005A3EAD">
          <w:rPr>
            <w:rStyle w:val="Lienhypertexte"/>
            <w:rFonts w:ascii="Times New Roman" w:hAnsi="Times New Roman"/>
            <w:sz w:val="24"/>
            <w:lang w:val="en-US"/>
          </w:rPr>
          <w:t>https://doi.org/10.1016/s2352-4642(19)30323-2</w:t>
        </w:r>
      </w:hyperlink>
      <w:r w:rsidR="005A3EAD">
        <w:rPr>
          <w:rFonts w:ascii="Times New Roman" w:hAnsi="Times New Roman"/>
          <w:sz w:val="24"/>
          <w:lang w:val="en-US"/>
        </w:rPr>
        <w:t xml:space="preserve"> </w:t>
      </w:r>
    </w:p>
    <w:p w14:paraId="53682840" w14:textId="77352C0B" w:rsidR="00E82B35" w:rsidRPr="00E82B35" w:rsidRDefault="00E82B35" w:rsidP="00793B2F">
      <w:pPr>
        <w:pStyle w:val="Bibliographie"/>
        <w:rPr>
          <w:rFonts w:ascii="Times New Roman" w:hAnsi="Times New Roman"/>
          <w:sz w:val="24"/>
        </w:rPr>
      </w:pPr>
      <w:r w:rsidRPr="00E82B35">
        <w:rPr>
          <w:rFonts w:ascii="Times New Roman" w:hAnsi="Times New Roman"/>
          <w:sz w:val="24"/>
          <w:lang w:val="en-US"/>
        </w:rPr>
        <w:t xml:space="preserve">6. </w:t>
      </w:r>
      <w:r w:rsidRPr="00E82B35">
        <w:rPr>
          <w:rFonts w:ascii="Times New Roman" w:hAnsi="Times New Roman"/>
          <w:sz w:val="24"/>
          <w:lang w:val="en-US"/>
        </w:rPr>
        <w:tab/>
        <w:t xml:space="preserve">Apété GK, Zitouni D, Hubert H, Guinhouya BC. Compliance of children in northern France with physical activity recommendations. </w:t>
      </w:r>
      <w:r w:rsidRPr="00E82B35">
        <w:rPr>
          <w:rFonts w:ascii="Times New Roman" w:hAnsi="Times New Roman"/>
          <w:sz w:val="24"/>
        </w:rPr>
        <w:t>Perspect Public Health.</w:t>
      </w:r>
      <w:r w:rsidR="005A3EAD">
        <w:rPr>
          <w:rFonts w:ascii="Times New Roman" w:hAnsi="Times New Roman"/>
          <w:sz w:val="24"/>
        </w:rPr>
        <w:t xml:space="preserve"> </w:t>
      </w:r>
      <w:hyperlink r:id="rId13" w:history="1">
        <w:r w:rsidR="005A3EAD" w:rsidRPr="005A3EAD">
          <w:rPr>
            <w:rStyle w:val="Lienhypertexte"/>
            <w:rFonts w:ascii="Times New Roman" w:hAnsi="Times New Roman"/>
            <w:sz w:val="24"/>
          </w:rPr>
          <w:t>https://doi.org/10.1177/1757913911419896</w:t>
        </w:r>
      </w:hyperlink>
    </w:p>
    <w:p w14:paraId="5DDCF39E" w14:textId="32D6B62F" w:rsidR="00E82B35" w:rsidRPr="00E82B35" w:rsidRDefault="00E82B35" w:rsidP="00793B2F">
      <w:pPr>
        <w:pStyle w:val="Bibliographie"/>
        <w:rPr>
          <w:rFonts w:ascii="Times New Roman" w:hAnsi="Times New Roman"/>
          <w:sz w:val="24"/>
        </w:rPr>
      </w:pPr>
      <w:r w:rsidRPr="00E82B35">
        <w:rPr>
          <w:rFonts w:ascii="Times New Roman" w:hAnsi="Times New Roman"/>
          <w:sz w:val="24"/>
        </w:rPr>
        <w:t xml:space="preserve">7. </w:t>
      </w:r>
      <w:r w:rsidRPr="00E82B35">
        <w:rPr>
          <w:rFonts w:ascii="Times New Roman" w:hAnsi="Times New Roman"/>
          <w:sz w:val="24"/>
        </w:rPr>
        <w:tab/>
        <w:t>Lentillon-Kaestner V, Cogérino G. Les inégalités entre les sexes dans l’évaluation en EPS : sentiment d’injustice chez les collégiens. Staps</w:t>
      </w:r>
      <w:r w:rsidR="005A3EAD">
        <w:rPr>
          <w:rFonts w:ascii="Times New Roman" w:hAnsi="Times New Roman"/>
          <w:sz w:val="24"/>
        </w:rPr>
        <w:t>,</w:t>
      </w:r>
      <w:r w:rsidRPr="00E82B35">
        <w:rPr>
          <w:rFonts w:ascii="Times New Roman" w:hAnsi="Times New Roman"/>
          <w:sz w:val="24"/>
        </w:rPr>
        <w:t>2005</w:t>
      </w:r>
      <w:r w:rsidR="005A3EAD">
        <w:rPr>
          <w:rFonts w:ascii="Times New Roman" w:hAnsi="Times New Roman"/>
          <w:sz w:val="24"/>
        </w:rPr>
        <w:t>.</w:t>
      </w:r>
      <w:hyperlink r:id="rId14" w:history="1">
        <w:r w:rsidRPr="005A3EAD">
          <w:rPr>
            <w:rStyle w:val="Lienhypertexte"/>
            <w:rFonts w:ascii="Times New Roman" w:hAnsi="Times New Roman"/>
            <w:sz w:val="24"/>
          </w:rPr>
          <w:t xml:space="preserve"> </w:t>
        </w:r>
        <w:r w:rsidR="005A3EAD" w:rsidRPr="005A3EAD">
          <w:rPr>
            <w:rStyle w:val="Lienhypertexte"/>
            <w:rFonts w:ascii="Times New Roman" w:hAnsi="Times New Roman"/>
            <w:sz w:val="24"/>
          </w:rPr>
          <w:t>https://doi.org/10.3917/sta.068.0077</w:t>
        </w:r>
      </w:hyperlink>
      <w:r w:rsidR="005A3EAD">
        <w:rPr>
          <w:rFonts w:ascii="Times New Roman" w:hAnsi="Times New Roman"/>
          <w:sz w:val="24"/>
        </w:rPr>
        <w:t xml:space="preserve"> </w:t>
      </w:r>
    </w:p>
    <w:p w14:paraId="007AE279" w14:textId="637EF684" w:rsidR="00E82B35" w:rsidRPr="00C02316" w:rsidRDefault="00E82B35" w:rsidP="00793B2F">
      <w:pPr>
        <w:pStyle w:val="Bibliographie"/>
        <w:rPr>
          <w:rFonts w:ascii="Times New Roman" w:hAnsi="Times New Roman"/>
          <w:sz w:val="24"/>
          <w:lang w:val="en-US"/>
        </w:rPr>
      </w:pPr>
      <w:r w:rsidRPr="00E82B35">
        <w:rPr>
          <w:rFonts w:ascii="Times New Roman" w:hAnsi="Times New Roman"/>
          <w:sz w:val="24"/>
        </w:rPr>
        <w:t xml:space="preserve">8. </w:t>
      </w:r>
      <w:r w:rsidRPr="00E82B35">
        <w:rPr>
          <w:rFonts w:ascii="Times New Roman" w:hAnsi="Times New Roman"/>
          <w:sz w:val="24"/>
        </w:rPr>
        <w:tab/>
        <w:t xml:space="preserve">Vigneron C. Les inégalités de réussite en EPS entre filles et garçons : déterminisme biologique ou fabrication scolaire ? </w:t>
      </w:r>
      <w:r w:rsidRPr="00C02316">
        <w:rPr>
          <w:rFonts w:ascii="Times New Roman" w:hAnsi="Times New Roman"/>
          <w:sz w:val="24"/>
          <w:lang w:val="en-US"/>
        </w:rPr>
        <w:t>Revue française de pédagogie Recherches en éducati</w:t>
      </w:r>
      <w:r w:rsidR="00120A99" w:rsidRPr="00C02316">
        <w:rPr>
          <w:rFonts w:ascii="Times New Roman" w:hAnsi="Times New Roman"/>
          <w:sz w:val="24"/>
          <w:lang w:val="en-US"/>
        </w:rPr>
        <w:t xml:space="preserve">on, </w:t>
      </w:r>
      <w:r w:rsidRPr="00C02316">
        <w:rPr>
          <w:rFonts w:ascii="Times New Roman" w:hAnsi="Times New Roman"/>
          <w:sz w:val="24"/>
          <w:lang w:val="en-US"/>
        </w:rPr>
        <w:t>2006</w:t>
      </w:r>
      <w:r w:rsidR="005A3EAD" w:rsidRPr="00C02316">
        <w:rPr>
          <w:rFonts w:ascii="Times New Roman" w:hAnsi="Times New Roman"/>
          <w:sz w:val="24"/>
          <w:lang w:val="en-US"/>
        </w:rPr>
        <w:t>.</w:t>
      </w:r>
      <w:r w:rsidRPr="00C02316">
        <w:rPr>
          <w:rFonts w:ascii="Times New Roman" w:hAnsi="Times New Roman"/>
          <w:sz w:val="24"/>
          <w:lang w:val="en-US"/>
        </w:rPr>
        <w:t xml:space="preserve"> </w:t>
      </w:r>
      <w:hyperlink r:id="rId15" w:history="1">
        <w:r w:rsidR="005A3EAD" w:rsidRPr="00C02316">
          <w:rPr>
            <w:rStyle w:val="Lienhypertexte"/>
            <w:rFonts w:ascii="Times New Roman" w:hAnsi="Times New Roman"/>
            <w:sz w:val="24"/>
            <w:lang w:val="en-US"/>
          </w:rPr>
          <w:t>https://doi.org/10.4000/rfp.146</w:t>
        </w:r>
      </w:hyperlink>
    </w:p>
    <w:p w14:paraId="054EE8EB" w14:textId="6A231051" w:rsidR="00E82B35" w:rsidRPr="00E82B35" w:rsidRDefault="00E82B35" w:rsidP="00793B2F">
      <w:pPr>
        <w:pStyle w:val="Bibliographie"/>
        <w:rPr>
          <w:rFonts w:ascii="Times New Roman" w:hAnsi="Times New Roman"/>
          <w:sz w:val="24"/>
          <w:lang w:val="en-US"/>
        </w:rPr>
      </w:pPr>
      <w:r w:rsidRPr="00C02316">
        <w:rPr>
          <w:rFonts w:ascii="Times New Roman" w:hAnsi="Times New Roman"/>
          <w:sz w:val="24"/>
          <w:lang w:val="en-US"/>
        </w:rPr>
        <w:t xml:space="preserve">9. </w:t>
      </w:r>
      <w:r w:rsidRPr="00C02316">
        <w:rPr>
          <w:rFonts w:ascii="Times New Roman" w:hAnsi="Times New Roman"/>
          <w:sz w:val="24"/>
          <w:lang w:val="en-US"/>
        </w:rPr>
        <w:tab/>
        <w:t xml:space="preserve">Fisette JL. </w:t>
      </w:r>
      <w:r w:rsidRPr="00E82B35">
        <w:rPr>
          <w:rFonts w:ascii="Times New Roman" w:hAnsi="Times New Roman"/>
          <w:sz w:val="24"/>
          <w:lang w:val="en-US"/>
        </w:rPr>
        <w:t>« Are You Listening? »: Adolescent Girls Voice How They Negotiate Self-Identified Barriers to Their Success and Survival in Physical Education. Physical Education and Sport Pedagogy</w:t>
      </w:r>
      <w:r w:rsidR="00120A99">
        <w:rPr>
          <w:rFonts w:ascii="Times New Roman" w:hAnsi="Times New Roman"/>
          <w:sz w:val="24"/>
          <w:lang w:val="en-US"/>
        </w:rPr>
        <w:t xml:space="preserve">, </w:t>
      </w:r>
      <w:r w:rsidRPr="00E82B35">
        <w:rPr>
          <w:rFonts w:ascii="Times New Roman" w:hAnsi="Times New Roman"/>
          <w:sz w:val="24"/>
          <w:lang w:val="en-US"/>
        </w:rPr>
        <w:t xml:space="preserve">2013. </w:t>
      </w:r>
      <w:hyperlink r:id="rId16" w:history="1">
        <w:r w:rsidR="005A3EAD" w:rsidRPr="005A3EAD">
          <w:rPr>
            <w:rStyle w:val="Lienhypertexte"/>
            <w:rFonts w:ascii="Times New Roman" w:hAnsi="Times New Roman"/>
            <w:sz w:val="24"/>
            <w:lang w:val="en-US"/>
          </w:rPr>
          <w:t>https://psycnet.apa.org/doi/10.1080/17408989.2011.649724</w:t>
        </w:r>
      </w:hyperlink>
    </w:p>
    <w:p w14:paraId="3F4A3240" w14:textId="05970C57"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t xml:space="preserve">10. </w:t>
      </w:r>
      <w:r w:rsidRPr="00E82B35">
        <w:rPr>
          <w:rFonts w:ascii="Times New Roman" w:hAnsi="Times New Roman"/>
          <w:sz w:val="24"/>
          <w:lang w:val="en-US"/>
        </w:rPr>
        <w:tab/>
        <w:t>Portela-Pino I, López-Castedo A, Martínez-Patiño MJ, Valverde-Esteve T, Domínguez-Alonso J. Gender Differences in Motivation and Barriers for The Practice of Physical Exercise in Adolescence. International Journal of Environmental Research and Public Health</w:t>
      </w:r>
      <w:r w:rsidR="00120A99">
        <w:rPr>
          <w:rFonts w:ascii="Times New Roman" w:hAnsi="Times New Roman"/>
          <w:sz w:val="24"/>
          <w:lang w:val="en-US"/>
        </w:rPr>
        <w:t xml:space="preserve">, </w:t>
      </w:r>
      <w:r w:rsidRPr="00E82B35">
        <w:rPr>
          <w:rFonts w:ascii="Times New Roman" w:hAnsi="Times New Roman"/>
          <w:sz w:val="24"/>
          <w:lang w:val="en-US"/>
        </w:rPr>
        <w:t>2020</w:t>
      </w:r>
      <w:r w:rsidR="005A3EAD">
        <w:rPr>
          <w:rFonts w:ascii="Times New Roman" w:hAnsi="Times New Roman"/>
          <w:sz w:val="24"/>
          <w:lang w:val="en-US"/>
        </w:rPr>
        <w:t xml:space="preserve"> </w:t>
      </w:r>
      <w:hyperlink r:id="rId17" w:history="1">
        <w:r w:rsidR="005A3EAD" w:rsidRPr="005A3EAD">
          <w:rPr>
            <w:rStyle w:val="Lienhypertexte"/>
            <w:rFonts w:ascii="Times New Roman" w:hAnsi="Times New Roman"/>
            <w:sz w:val="24"/>
            <w:lang w:val="en-US"/>
          </w:rPr>
          <w:t>https://doi.org/10.3390%2Fijerph17010168</w:t>
        </w:r>
      </w:hyperlink>
    </w:p>
    <w:p w14:paraId="1C768D0A" w14:textId="064C7114"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t xml:space="preserve">11. </w:t>
      </w:r>
      <w:r w:rsidRPr="00E82B35">
        <w:rPr>
          <w:rFonts w:ascii="Times New Roman" w:hAnsi="Times New Roman"/>
          <w:sz w:val="24"/>
          <w:lang w:val="en-US"/>
        </w:rPr>
        <w:tab/>
        <w:t>Metcalfe S. Adolescent constructions of gendered identities: the role of sport and (physical) education. Sport, Education and Society</w:t>
      </w:r>
      <w:r w:rsidR="00120A99">
        <w:rPr>
          <w:rFonts w:ascii="Times New Roman" w:hAnsi="Times New Roman"/>
          <w:sz w:val="24"/>
          <w:lang w:val="en-US"/>
        </w:rPr>
        <w:t xml:space="preserve">, </w:t>
      </w:r>
      <w:r w:rsidRPr="00E82B35">
        <w:rPr>
          <w:rFonts w:ascii="Times New Roman" w:hAnsi="Times New Roman"/>
          <w:sz w:val="24"/>
          <w:lang w:val="en-US"/>
        </w:rPr>
        <w:t xml:space="preserve">2018. </w:t>
      </w:r>
      <w:hyperlink r:id="rId18" w:history="1">
        <w:r w:rsidR="005A3EAD" w:rsidRPr="005A3EAD">
          <w:rPr>
            <w:rStyle w:val="Lienhypertexte"/>
            <w:rFonts w:ascii="Times New Roman" w:hAnsi="Times New Roman"/>
            <w:sz w:val="24"/>
            <w:lang w:val="en-US"/>
          </w:rPr>
          <w:t>https://doi.org/10.1080/13573322.2018.1493574</w:t>
        </w:r>
      </w:hyperlink>
      <w:r w:rsidR="005A3EAD">
        <w:rPr>
          <w:rFonts w:ascii="Times New Roman" w:hAnsi="Times New Roman"/>
          <w:sz w:val="24"/>
          <w:lang w:val="en-US"/>
        </w:rPr>
        <w:t xml:space="preserve"> </w:t>
      </w:r>
    </w:p>
    <w:p w14:paraId="0B0D6D50" w14:textId="103B478E"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t xml:space="preserve">12. </w:t>
      </w:r>
      <w:r w:rsidRPr="00E82B35">
        <w:rPr>
          <w:rFonts w:ascii="Times New Roman" w:hAnsi="Times New Roman"/>
          <w:sz w:val="24"/>
          <w:lang w:val="en-US"/>
        </w:rPr>
        <w:tab/>
        <w:t>Bauman AE, Reis RS, Sallis JF, Wells JC, Loos RJ, Martin BW. Correlates of physical activity: why are some people physically active and others not? The Lancet</w:t>
      </w:r>
      <w:r w:rsidR="00120A99">
        <w:rPr>
          <w:rFonts w:ascii="Times New Roman" w:hAnsi="Times New Roman"/>
          <w:sz w:val="24"/>
          <w:lang w:val="en-US"/>
        </w:rPr>
        <w:t xml:space="preserve">, </w:t>
      </w:r>
      <w:r w:rsidRPr="00E82B35">
        <w:rPr>
          <w:rFonts w:ascii="Times New Roman" w:hAnsi="Times New Roman"/>
          <w:sz w:val="24"/>
          <w:lang w:val="en-US"/>
        </w:rPr>
        <w:t xml:space="preserve">2012. </w:t>
      </w:r>
      <w:hyperlink r:id="rId19" w:history="1">
        <w:r w:rsidR="005A3EAD" w:rsidRPr="005A3EAD">
          <w:rPr>
            <w:rStyle w:val="Lienhypertexte"/>
            <w:rFonts w:ascii="Times New Roman" w:hAnsi="Times New Roman"/>
            <w:sz w:val="24"/>
            <w:lang w:val="en-US"/>
          </w:rPr>
          <w:t>https://doi.org/10.1016/s0140-6736(12)60735-1</w:t>
        </w:r>
      </w:hyperlink>
    </w:p>
    <w:p w14:paraId="1D273DC7" w14:textId="2C5A5760" w:rsidR="00E82B35" w:rsidRPr="00E82B35" w:rsidRDefault="00E82B35" w:rsidP="00793B2F">
      <w:pPr>
        <w:pStyle w:val="Bibliographie"/>
        <w:rPr>
          <w:rFonts w:ascii="Times New Roman" w:hAnsi="Times New Roman"/>
          <w:sz w:val="24"/>
          <w:lang w:val="en-US"/>
        </w:rPr>
      </w:pPr>
      <w:r w:rsidRPr="00E82B35">
        <w:rPr>
          <w:rFonts w:ascii="Times New Roman" w:hAnsi="Times New Roman"/>
          <w:sz w:val="24"/>
          <w:lang w:val="en-US"/>
        </w:rPr>
        <w:lastRenderedPageBreak/>
        <w:t xml:space="preserve">13. </w:t>
      </w:r>
      <w:r w:rsidRPr="00E82B35">
        <w:rPr>
          <w:rFonts w:ascii="Times New Roman" w:hAnsi="Times New Roman"/>
          <w:sz w:val="24"/>
          <w:lang w:val="en-US"/>
        </w:rPr>
        <w:tab/>
        <w:t>Creswell JW. Editorial: Mapping the Field of Mixed Methods Research. Journal of Mixed Methods Research</w:t>
      </w:r>
      <w:r w:rsidR="00120A99">
        <w:rPr>
          <w:rFonts w:ascii="Times New Roman" w:hAnsi="Times New Roman"/>
          <w:sz w:val="24"/>
          <w:lang w:val="en-US"/>
        </w:rPr>
        <w:t xml:space="preserve">, </w:t>
      </w:r>
      <w:r w:rsidRPr="00E82B35">
        <w:rPr>
          <w:rFonts w:ascii="Times New Roman" w:hAnsi="Times New Roman"/>
          <w:sz w:val="24"/>
          <w:lang w:val="en-US"/>
        </w:rPr>
        <w:t xml:space="preserve">2009 </w:t>
      </w:r>
      <w:hyperlink r:id="rId20" w:history="1">
        <w:r w:rsidR="005A3EAD" w:rsidRPr="005A3EAD">
          <w:rPr>
            <w:rStyle w:val="Lienhypertexte"/>
            <w:rFonts w:ascii="Times New Roman" w:hAnsi="Times New Roman"/>
            <w:sz w:val="24"/>
            <w:lang w:val="en-US"/>
          </w:rPr>
          <w:t>h</w:t>
        </w:r>
        <w:r w:rsidR="005A3EAD">
          <w:rPr>
            <w:rStyle w:val="Lienhypertexte"/>
            <w:rFonts w:ascii="Times New Roman" w:hAnsi="Times New Roman"/>
            <w:sz w:val="24"/>
            <w:lang w:val="en-US"/>
          </w:rPr>
          <w:t>.</w:t>
        </w:r>
        <w:r w:rsidR="005A3EAD" w:rsidRPr="005A3EAD">
          <w:rPr>
            <w:rStyle w:val="Lienhypertexte"/>
            <w:rFonts w:ascii="Times New Roman" w:hAnsi="Times New Roman"/>
            <w:sz w:val="24"/>
            <w:lang w:val="en-US"/>
          </w:rPr>
          <w:t>ttp://dx.doi.org/10.1177/1558689808330883</w:t>
        </w:r>
      </w:hyperlink>
      <w:r w:rsidR="005A3EAD">
        <w:rPr>
          <w:rFonts w:ascii="Times New Roman" w:hAnsi="Times New Roman"/>
          <w:sz w:val="24"/>
          <w:lang w:val="en-US"/>
        </w:rPr>
        <w:t xml:space="preserve"> </w:t>
      </w:r>
    </w:p>
    <w:p w14:paraId="0579B91D" w14:textId="2FE84EE1" w:rsidR="00E82B35" w:rsidRPr="00E82B35" w:rsidRDefault="00E82B35" w:rsidP="00793B2F">
      <w:pPr>
        <w:pStyle w:val="Bibliographie"/>
        <w:rPr>
          <w:rFonts w:ascii="Times New Roman" w:hAnsi="Times New Roman"/>
          <w:sz w:val="24"/>
        </w:rPr>
      </w:pPr>
      <w:r w:rsidRPr="00E82B35">
        <w:rPr>
          <w:rFonts w:ascii="Times New Roman" w:hAnsi="Times New Roman"/>
          <w:sz w:val="24"/>
          <w:lang w:val="en-US"/>
        </w:rPr>
        <w:t xml:space="preserve">14. </w:t>
      </w:r>
      <w:r w:rsidRPr="00E82B35">
        <w:rPr>
          <w:rFonts w:ascii="Times New Roman" w:hAnsi="Times New Roman"/>
          <w:sz w:val="24"/>
          <w:lang w:val="en-US"/>
        </w:rPr>
        <w:tab/>
        <w:t xml:space="preserve">Colucci E. “Focus Groups Can Be Fun”: The Use of Activity-Oriented Questions in Focus Group Discussions. </w:t>
      </w:r>
      <w:r w:rsidRPr="00E82B35">
        <w:rPr>
          <w:rFonts w:ascii="Times New Roman" w:hAnsi="Times New Roman"/>
          <w:sz w:val="24"/>
        </w:rPr>
        <w:t>Qual Health Res</w:t>
      </w:r>
      <w:r w:rsidR="00120A99">
        <w:rPr>
          <w:rFonts w:ascii="Times New Roman" w:hAnsi="Times New Roman"/>
          <w:sz w:val="24"/>
        </w:rPr>
        <w:t xml:space="preserve">, </w:t>
      </w:r>
      <w:r w:rsidRPr="00E82B35">
        <w:rPr>
          <w:rFonts w:ascii="Times New Roman" w:hAnsi="Times New Roman"/>
          <w:sz w:val="24"/>
        </w:rPr>
        <w:t>2007.</w:t>
      </w:r>
      <w:hyperlink r:id="rId21" w:history="1">
        <w:r w:rsidRPr="005A3EAD">
          <w:rPr>
            <w:rStyle w:val="Lienhypertexte"/>
            <w:rFonts w:ascii="Times New Roman" w:hAnsi="Times New Roman"/>
            <w:sz w:val="24"/>
          </w:rPr>
          <w:t xml:space="preserve"> </w:t>
        </w:r>
        <w:r w:rsidR="005A3EAD" w:rsidRPr="005A3EAD">
          <w:rPr>
            <w:rStyle w:val="Lienhypertexte"/>
            <w:rFonts w:ascii="Times New Roman" w:hAnsi="Times New Roman"/>
            <w:sz w:val="24"/>
          </w:rPr>
          <w:t>https://doi.org/10.1177/1049732307308129</w:t>
        </w:r>
      </w:hyperlink>
      <w:r w:rsidR="005A3EAD">
        <w:rPr>
          <w:rFonts w:ascii="Times New Roman" w:hAnsi="Times New Roman"/>
          <w:sz w:val="24"/>
        </w:rPr>
        <w:t xml:space="preserve"> </w:t>
      </w:r>
    </w:p>
    <w:p w14:paraId="6B3CE903" w14:textId="7A4977FC" w:rsidR="00B54473" w:rsidRPr="00B54473" w:rsidRDefault="00DD0898" w:rsidP="00A42277">
      <w:pPr>
        <w:spacing w:line="480" w:lineRule="auto"/>
        <w:rPr>
          <w:rFonts w:ascii="Times New Roman" w:hAnsi="Times New Roman"/>
          <w:b/>
          <w:bCs/>
          <w:sz w:val="24"/>
          <w:szCs w:val="24"/>
          <w:lang w:val="en-GB"/>
        </w:rPr>
      </w:pPr>
      <w:r w:rsidRPr="006217CB">
        <w:rPr>
          <w:rFonts w:ascii="Times New Roman" w:hAnsi="Times New Roman"/>
          <w:sz w:val="24"/>
          <w:szCs w:val="24"/>
          <w:lang w:val="en-GB"/>
        </w:rPr>
        <w:fldChar w:fldCharType="end"/>
      </w:r>
    </w:p>
    <w:sectPr w:rsidR="00B54473" w:rsidRPr="00B54473" w:rsidSect="004D6BB3">
      <w:headerReference w:type="default" r:id="rId22"/>
      <w:pgSz w:w="11906" w:h="16838" w:code="9"/>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4B62" w14:textId="77777777" w:rsidR="004D6BB3" w:rsidRDefault="004D6BB3">
      <w:pPr>
        <w:spacing w:after="0"/>
      </w:pPr>
      <w:r>
        <w:separator/>
      </w:r>
    </w:p>
  </w:endnote>
  <w:endnote w:type="continuationSeparator" w:id="0">
    <w:p w14:paraId="09367610" w14:textId="77777777" w:rsidR="004D6BB3" w:rsidRDefault="004D6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8F82" w14:textId="77777777" w:rsidR="004D6BB3" w:rsidRDefault="004D6BB3">
      <w:pPr>
        <w:spacing w:after="0"/>
      </w:pPr>
      <w:r>
        <w:rPr>
          <w:color w:val="000000"/>
        </w:rPr>
        <w:separator/>
      </w:r>
    </w:p>
  </w:footnote>
  <w:footnote w:type="continuationSeparator" w:id="0">
    <w:p w14:paraId="06EA17D8" w14:textId="77777777" w:rsidR="004D6BB3" w:rsidRDefault="004D6B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763403"/>
      <w:docPartObj>
        <w:docPartGallery w:val="Page Numbers (Top of Page)"/>
        <w:docPartUnique/>
      </w:docPartObj>
    </w:sdtPr>
    <w:sdtContent>
      <w:p w14:paraId="2278A986" w14:textId="6F646C0E" w:rsidR="00822F27" w:rsidRDefault="00822F27">
        <w:pPr>
          <w:pStyle w:val="En-tte"/>
          <w:jc w:val="right"/>
        </w:pPr>
        <w:r>
          <w:fldChar w:fldCharType="begin"/>
        </w:r>
        <w:r>
          <w:instrText>PAGE   \* MERGEFORMAT</w:instrText>
        </w:r>
        <w:r>
          <w:fldChar w:fldCharType="separate"/>
        </w:r>
        <w:r>
          <w:t>2</w:t>
        </w:r>
        <w:r>
          <w:fldChar w:fldCharType="end"/>
        </w:r>
      </w:p>
    </w:sdtContent>
  </w:sdt>
  <w:p w14:paraId="250412D2" w14:textId="77777777" w:rsidR="00822F27" w:rsidRDefault="00822F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0E3E"/>
    <w:multiLevelType w:val="hybridMultilevel"/>
    <w:tmpl w:val="267E3AD0"/>
    <w:lvl w:ilvl="0" w:tplc="BA46AF44">
      <w:start w:val="1"/>
      <w:numFmt w:val="decimal"/>
      <w:lvlText w:val="%1."/>
      <w:lvlJc w:val="left"/>
      <w:pPr>
        <w:ind w:left="720" w:hanging="360"/>
      </w:pPr>
    </w:lvl>
    <w:lvl w:ilvl="1" w:tplc="54FCCF6E">
      <w:start w:val="1"/>
      <w:numFmt w:val="lowerLetter"/>
      <w:lvlText w:val="%2."/>
      <w:lvlJc w:val="left"/>
      <w:pPr>
        <w:ind w:left="1440" w:hanging="360"/>
      </w:pPr>
    </w:lvl>
    <w:lvl w:ilvl="2" w:tplc="2C8A394C">
      <w:start w:val="1"/>
      <w:numFmt w:val="lowerRoman"/>
      <w:lvlText w:val="%3."/>
      <w:lvlJc w:val="right"/>
      <w:pPr>
        <w:ind w:left="2160" w:hanging="180"/>
      </w:pPr>
    </w:lvl>
    <w:lvl w:ilvl="3" w:tplc="73644B36">
      <w:start w:val="1"/>
      <w:numFmt w:val="decimal"/>
      <w:lvlText w:val="%4."/>
      <w:lvlJc w:val="left"/>
      <w:pPr>
        <w:ind w:left="2880" w:hanging="360"/>
      </w:pPr>
    </w:lvl>
    <w:lvl w:ilvl="4" w:tplc="D78492BE">
      <w:start w:val="1"/>
      <w:numFmt w:val="lowerLetter"/>
      <w:lvlText w:val="%5."/>
      <w:lvlJc w:val="left"/>
      <w:pPr>
        <w:ind w:left="3600" w:hanging="360"/>
      </w:pPr>
    </w:lvl>
    <w:lvl w:ilvl="5" w:tplc="EE887B82">
      <w:start w:val="1"/>
      <w:numFmt w:val="lowerRoman"/>
      <w:lvlText w:val="%6."/>
      <w:lvlJc w:val="right"/>
      <w:pPr>
        <w:ind w:left="4320" w:hanging="180"/>
      </w:pPr>
    </w:lvl>
    <w:lvl w:ilvl="6" w:tplc="BF048680">
      <w:start w:val="1"/>
      <w:numFmt w:val="decimal"/>
      <w:lvlText w:val="%7."/>
      <w:lvlJc w:val="left"/>
      <w:pPr>
        <w:ind w:left="5040" w:hanging="360"/>
      </w:pPr>
    </w:lvl>
    <w:lvl w:ilvl="7" w:tplc="6BAE6E74">
      <w:start w:val="1"/>
      <w:numFmt w:val="lowerLetter"/>
      <w:lvlText w:val="%8."/>
      <w:lvlJc w:val="left"/>
      <w:pPr>
        <w:ind w:left="5760" w:hanging="360"/>
      </w:pPr>
    </w:lvl>
    <w:lvl w:ilvl="8" w:tplc="B38CB782">
      <w:start w:val="1"/>
      <w:numFmt w:val="lowerRoman"/>
      <w:lvlText w:val="%9."/>
      <w:lvlJc w:val="right"/>
      <w:pPr>
        <w:ind w:left="6480" w:hanging="180"/>
      </w:pPr>
    </w:lvl>
  </w:abstractNum>
  <w:abstractNum w:abstractNumId="1" w15:restartNumberingAfterBreak="0">
    <w:nsid w:val="1FDE3505"/>
    <w:multiLevelType w:val="hybridMultilevel"/>
    <w:tmpl w:val="8F309724"/>
    <w:lvl w:ilvl="0" w:tplc="BAE0997E">
      <w:start w:val="1"/>
      <w:numFmt w:val="lowerLetter"/>
      <w:lvlText w:val="%1)"/>
      <w:lvlJc w:val="left"/>
      <w:pPr>
        <w:ind w:left="720" w:hanging="360"/>
      </w:pPr>
    </w:lvl>
    <w:lvl w:ilvl="1" w:tplc="DC82E8F0">
      <w:start w:val="1"/>
      <w:numFmt w:val="lowerLetter"/>
      <w:lvlText w:val="%2."/>
      <w:lvlJc w:val="left"/>
      <w:pPr>
        <w:ind w:left="1440" w:hanging="360"/>
      </w:pPr>
    </w:lvl>
    <w:lvl w:ilvl="2" w:tplc="E030163A">
      <w:start w:val="1"/>
      <w:numFmt w:val="lowerRoman"/>
      <w:lvlText w:val="%3."/>
      <w:lvlJc w:val="right"/>
      <w:pPr>
        <w:ind w:left="2160" w:hanging="180"/>
      </w:pPr>
    </w:lvl>
    <w:lvl w:ilvl="3" w:tplc="0F4C2E84">
      <w:start w:val="1"/>
      <w:numFmt w:val="decimal"/>
      <w:lvlText w:val="%4."/>
      <w:lvlJc w:val="left"/>
      <w:pPr>
        <w:ind w:left="2880" w:hanging="360"/>
      </w:pPr>
    </w:lvl>
    <w:lvl w:ilvl="4" w:tplc="F052FCA0">
      <w:start w:val="1"/>
      <w:numFmt w:val="lowerLetter"/>
      <w:lvlText w:val="%5."/>
      <w:lvlJc w:val="left"/>
      <w:pPr>
        <w:ind w:left="3600" w:hanging="360"/>
      </w:pPr>
    </w:lvl>
    <w:lvl w:ilvl="5" w:tplc="46FC98C6">
      <w:start w:val="1"/>
      <w:numFmt w:val="lowerRoman"/>
      <w:lvlText w:val="%6."/>
      <w:lvlJc w:val="right"/>
      <w:pPr>
        <w:ind w:left="4320" w:hanging="180"/>
      </w:pPr>
    </w:lvl>
    <w:lvl w:ilvl="6" w:tplc="6ED0AFA8">
      <w:start w:val="1"/>
      <w:numFmt w:val="decimal"/>
      <w:lvlText w:val="%7."/>
      <w:lvlJc w:val="left"/>
      <w:pPr>
        <w:ind w:left="5040" w:hanging="360"/>
      </w:pPr>
    </w:lvl>
    <w:lvl w:ilvl="7" w:tplc="5694DFD8">
      <w:start w:val="1"/>
      <w:numFmt w:val="lowerLetter"/>
      <w:lvlText w:val="%8."/>
      <w:lvlJc w:val="left"/>
      <w:pPr>
        <w:ind w:left="5760" w:hanging="360"/>
      </w:pPr>
    </w:lvl>
    <w:lvl w:ilvl="8" w:tplc="1890A05A">
      <w:start w:val="1"/>
      <w:numFmt w:val="lowerRoman"/>
      <w:lvlText w:val="%9."/>
      <w:lvlJc w:val="right"/>
      <w:pPr>
        <w:ind w:left="6480" w:hanging="180"/>
      </w:pPr>
    </w:lvl>
  </w:abstractNum>
  <w:abstractNum w:abstractNumId="2" w15:restartNumberingAfterBreak="0">
    <w:nsid w:val="24145ADB"/>
    <w:multiLevelType w:val="hybridMultilevel"/>
    <w:tmpl w:val="88744CB6"/>
    <w:lvl w:ilvl="0" w:tplc="4300EBB4">
      <w:start w:val="1"/>
      <w:numFmt w:val="bullet"/>
      <w:lvlText w:val="·"/>
      <w:lvlJc w:val="left"/>
      <w:pPr>
        <w:ind w:left="709" w:hanging="360"/>
      </w:pPr>
      <w:rPr>
        <w:rFonts w:ascii="Symbol" w:eastAsia="Symbol" w:hAnsi="Symbol" w:cs="Symbol" w:hint="default"/>
      </w:rPr>
    </w:lvl>
    <w:lvl w:ilvl="1" w:tplc="0FB4EF80">
      <w:start w:val="1"/>
      <w:numFmt w:val="bullet"/>
      <w:lvlText w:val="·"/>
      <w:lvlJc w:val="left"/>
      <w:pPr>
        <w:ind w:left="1429" w:hanging="360"/>
      </w:pPr>
      <w:rPr>
        <w:rFonts w:ascii="Symbol" w:eastAsia="Symbol" w:hAnsi="Symbol" w:cs="Symbol" w:hint="default"/>
      </w:rPr>
    </w:lvl>
    <w:lvl w:ilvl="2" w:tplc="8F60FF3C">
      <w:start w:val="1"/>
      <w:numFmt w:val="bullet"/>
      <w:lvlText w:val="·"/>
      <w:lvlJc w:val="left"/>
      <w:pPr>
        <w:ind w:left="2149" w:hanging="360"/>
      </w:pPr>
      <w:rPr>
        <w:rFonts w:ascii="Symbol" w:eastAsia="Symbol" w:hAnsi="Symbol" w:cs="Symbol" w:hint="default"/>
      </w:rPr>
    </w:lvl>
    <w:lvl w:ilvl="3" w:tplc="2A6257B8">
      <w:start w:val="1"/>
      <w:numFmt w:val="bullet"/>
      <w:lvlText w:val="·"/>
      <w:lvlJc w:val="left"/>
      <w:pPr>
        <w:ind w:left="2869" w:hanging="360"/>
      </w:pPr>
      <w:rPr>
        <w:rFonts w:ascii="Symbol" w:eastAsia="Symbol" w:hAnsi="Symbol" w:cs="Symbol" w:hint="default"/>
      </w:rPr>
    </w:lvl>
    <w:lvl w:ilvl="4" w:tplc="97844B04">
      <w:start w:val="1"/>
      <w:numFmt w:val="bullet"/>
      <w:lvlText w:val="·"/>
      <w:lvlJc w:val="left"/>
      <w:pPr>
        <w:ind w:left="3589" w:hanging="360"/>
      </w:pPr>
      <w:rPr>
        <w:rFonts w:ascii="Symbol" w:eastAsia="Symbol" w:hAnsi="Symbol" w:cs="Symbol" w:hint="default"/>
      </w:rPr>
    </w:lvl>
    <w:lvl w:ilvl="5" w:tplc="2BA497D8">
      <w:start w:val="1"/>
      <w:numFmt w:val="bullet"/>
      <w:lvlText w:val="·"/>
      <w:lvlJc w:val="left"/>
      <w:pPr>
        <w:ind w:left="4309" w:hanging="360"/>
      </w:pPr>
      <w:rPr>
        <w:rFonts w:ascii="Symbol" w:eastAsia="Symbol" w:hAnsi="Symbol" w:cs="Symbol" w:hint="default"/>
      </w:rPr>
    </w:lvl>
    <w:lvl w:ilvl="6" w:tplc="BFD4CF2A">
      <w:start w:val="1"/>
      <w:numFmt w:val="bullet"/>
      <w:lvlText w:val="·"/>
      <w:lvlJc w:val="left"/>
      <w:pPr>
        <w:ind w:left="5029" w:hanging="360"/>
      </w:pPr>
      <w:rPr>
        <w:rFonts w:ascii="Symbol" w:eastAsia="Symbol" w:hAnsi="Symbol" w:cs="Symbol" w:hint="default"/>
      </w:rPr>
    </w:lvl>
    <w:lvl w:ilvl="7" w:tplc="0484B7AA">
      <w:start w:val="1"/>
      <w:numFmt w:val="bullet"/>
      <w:lvlText w:val="·"/>
      <w:lvlJc w:val="left"/>
      <w:pPr>
        <w:ind w:left="5749" w:hanging="360"/>
      </w:pPr>
      <w:rPr>
        <w:rFonts w:ascii="Symbol" w:eastAsia="Symbol" w:hAnsi="Symbol" w:cs="Symbol" w:hint="default"/>
      </w:rPr>
    </w:lvl>
    <w:lvl w:ilvl="8" w:tplc="87AE99DA">
      <w:start w:val="1"/>
      <w:numFmt w:val="bullet"/>
      <w:lvlText w:val="·"/>
      <w:lvlJc w:val="left"/>
      <w:pPr>
        <w:ind w:left="6469" w:hanging="360"/>
      </w:pPr>
      <w:rPr>
        <w:rFonts w:ascii="Symbol" w:eastAsia="Symbol" w:hAnsi="Symbol" w:cs="Symbol" w:hint="default"/>
      </w:rPr>
    </w:lvl>
  </w:abstractNum>
  <w:abstractNum w:abstractNumId="3" w15:restartNumberingAfterBreak="0">
    <w:nsid w:val="33C95E8C"/>
    <w:multiLevelType w:val="hybridMultilevel"/>
    <w:tmpl w:val="CC88F472"/>
    <w:lvl w:ilvl="0" w:tplc="53FEC404">
      <w:start w:val="1"/>
      <w:numFmt w:val="bullet"/>
      <w:lvlText w:val="·"/>
      <w:lvlJc w:val="left"/>
      <w:pPr>
        <w:ind w:left="709" w:hanging="360"/>
      </w:pPr>
      <w:rPr>
        <w:rFonts w:ascii="Symbol" w:eastAsia="Symbol" w:hAnsi="Symbol" w:cs="Symbol" w:hint="default"/>
      </w:rPr>
    </w:lvl>
    <w:lvl w:ilvl="1" w:tplc="77A0A1FA">
      <w:start w:val="1"/>
      <w:numFmt w:val="bullet"/>
      <w:lvlText w:val="·"/>
      <w:lvlJc w:val="left"/>
      <w:pPr>
        <w:ind w:left="1429" w:hanging="360"/>
      </w:pPr>
      <w:rPr>
        <w:rFonts w:ascii="Symbol" w:eastAsia="Symbol" w:hAnsi="Symbol" w:cs="Symbol" w:hint="default"/>
      </w:rPr>
    </w:lvl>
    <w:lvl w:ilvl="2" w:tplc="6E7C1156">
      <w:start w:val="1"/>
      <w:numFmt w:val="bullet"/>
      <w:lvlText w:val="·"/>
      <w:lvlJc w:val="left"/>
      <w:pPr>
        <w:ind w:left="2149" w:hanging="360"/>
      </w:pPr>
      <w:rPr>
        <w:rFonts w:ascii="Symbol" w:eastAsia="Symbol" w:hAnsi="Symbol" w:cs="Symbol" w:hint="default"/>
      </w:rPr>
    </w:lvl>
    <w:lvl w:ilvl="3" w:tplc="877AD890">
      <w:start w:val="1"/>
      <w:numFmt w:val="bullet"/>
      <w:lvlText w:val="·"/>
      <w:lvlJc w:val="left"/>
      <w:pPr>
        <w:ind w:left="2869" w:hanging="360"/>
      </w:pPr>
      <w:rPr>
        <w:rFonts w:ascii="Symbol" w:eastAsia="Symbol" w:hAnsi="Symbol" w:cs="Symbol" w:hint="default"/>
      </w:rPr>
    </w:lvl>
    <w:lvl w:ilvl="4" w:tplc="A8CAE1A2">
      <w:start w:val="1"/>
      <w:numFmt w:val="bullet"/>
      <w:lvlText w:val="·"/>
      <w:lvlJc w:val="left"/>
      <w:pPr>
        <w:ind w:left="3589" w:hanging="360"/>
      </w:pPr>
      <w:rPr>
        <w:rFonts w:ascii="Symbol" w:eastAsia="Symbol" w:hAnsi="Symbol" w:cs="Symbol" w:hint="default"/>
      </w:rPr>
    </w:lvl>
    <w:lvl w:ilvl="5" w:tplc="8116AF1C">
      <w:start w:val="1"/>
      <w:numFmt w:val="bullet"/>
      <w:lvlText w:val="·"/>
      <w:lvlJc w:val="left"/>
      <w:pPr>
        <w:ind w:left="4309" w:hanging="360"/>
      </w:pPr>
      <w:rPr>
        <w:rFonts w:ascii="Symbol" w:eastAsia="Symbol" w:hAnsi="Symbol" w:cs="Symbol" w:hint="default"/>
      </w:rPr>
    </w:lvl>
    <w:lvl w:ilvl="6" w:tplc="5B3EF41C">
      <w:start w:val="1"/>
      <w:numFmt w:val="bullet"/>
      <w:lvlText w:val="·"/>
      <w:lvlJc w:val="left"/>
      <w:pPr>
        <w:ind w:left="5029" w:hanging="360"/>
      </w:pPr>
      <w:rPr>
        <w:rFonts w:ascii="Symbol" w:eastAsia="Symbol" w:hAnsi="Symbol" w:cs="Symbol" w:hint="default"/>
      </w:rPr>
    </w:lvl>
    <w:lvl w:ilvl="7" w:tplc="73E8FD32">
      <w:start w:val="1"/>
      <w:numFmt w:val="bullet"/>
      <w:lvlText w:val="·"/>
      <w:lvlJc w:val="left"/>
      <w:pPr>
        <w:ind w:left="5749" w:hanging="360"/>
      </w:pPr>
      <w:rPr>
        <w:rFonts w:ascii="Symbol" w:eastAsia="Symbol" w:hAnsi="Symbol" w:cs="Symbol" w:hint="default"/>
      </w:rPr>
    </w:lvl>
    <w:lvl w:ilvl="8" w:tplc="28768106">
      <w:start w:val="1"/>
      <w:numFmt w:val="bullet"/>
      <w:lvlText w:val="·"/>
      <w:lvlJc w:val="left"/>
      <w:pPr>
        <w:ind w:left="6469" w:hanging="360"/>
      </w:pPr>
      <w:rPr>
        <w:rFonts w:ascii="Symbol" w:eastAsia="Symbol" w:hAnsi="Symbol" w:cs="Symbol" w:hint="default"/>
      </w:rPr>
    </w:lvl>
  </w:abstractNum>
  <w:abstractNum w:abstractNumId="4" w15:restartNumberingAfterBreak="0">
    <w:nsid w:val="39860289"/>
    <w:multiLevelType w:val="hybridMultilevel"/>
    <w:tmpl w:val="FEB02FAE"/>
    <w:lvl w:ilvl="0" w:tplc="A02E77D4">
      <w:start w:val="1"/>
      <w:numFmt w:val="lowerLetter"/>
      <w:lvlText w:val="%1)"/>
      <w:lvlJc w:val="left"/>
      <w:pPr>
        <w:ind w:left="720" w:hanging="360"/>
      </w:pPr>
      <w:rPr>
        <w:rFonts w:hint="default"/>
      </w:rPr>
    </w:lvl>
    <w:lvl w:ilvl="1" w:tplc="9776FB62">
      <w:start w:val="1"/>
      <w:numFmt w:val="lowerLetter"/>
      <w:lvlText w:val="%2."/>
      <w:lvlJc w:val="left"/>
      <w:pPr>
        <w:ind w:left="1440" w:hanging="360"/>
      </w:pPr>
    </w:lvl>
    <w:lvl w:ilvl="2" w:tplc="A482A9B4">
      <w:start w:val="1"/>
      <w:numFmt w:val="lowerRoman"/>
      <w:lvlText w:val="%3."/>
      <w:lvlJc w:val="right"/>
      <w:pPr>
        <w:ind w:left="2160" w:hanging="180"/>
      </w:pPr>
    </w:lvl>
    <w:lvl w:ilvl="3" w:tplc="F1422896">
      <w:start w:val="1"/>
      <w:numFmt w:val="decimal"/>
      <w:lvlText w:val="%4."/>
      <w:lvlJc w:val="left"/>
      <w:pPr>
        <w:ind w:left="2880" w:hanging="360"/>
      </w:pPr>
    </w:lvl>
    <w:lvl w:ilvl="4" w:tplc="67164C70">
      <w:start w:val="1"/>
      <w:numFmt w:val="lowerLetter"/>
      <w:lvlText w:val="%5."/>
      <w:lvlJc w:val="left"/>
      <w:pPr>
        <w:ind w:left="3600" w:hanging="360"/>
      </w:pPr>
    </w:lvl>
    <w:lvl w:ilvl="5" w:tplc="ECDC5130">
      <w:start w:val="1"/>
      <w:numFmt w:val="lowerRoman"/>
      <w:lvlText w:val="%6."/>
      <w:lvlJc w:val="right"/>
      <w:pPr>
        <w:ind w:left="4320" w:hanging="180"/>
      </w:pPr>
    </w:lvl>
    <w:lvl w:ilvl="6" w:tplc="F7ECBC0C">
      <w:start w:val="1"/>
      <w:numFmt w:val="decimal"/>
      <w:lvlText w:val="%7."/>
      <w:lvlJc w:val="left"/>
      <w:pPr>
        <w:ind w:left="5040" w:hanging="360"/>
      </w:pPr>
    </w:lvl>
    <w:lvl w:ilvl="7" w:tplc="CAFCBB70">
      <w:start w:val="1"/>
      <w:numFmt w:val="lowerLetter"/>
      <w:lvlText w:val="%8."/>
      <w:lvlJc w:val="left"/>
      <w:pPr>
        <w:ind w:left="5760" w:hanging="360"/>
      </w:pPr>
    </w:lvl>
    <w:lvl w:ilvl="8" w:tplc="2C9817BC">
      <w:start w:val="1"/>
      <w:numFmt w:val="lowerRoman"/>
      <w:lvlText w:val="%9."/>
      <w:lvlJc w:val="right"/>
      <w:pPr>
        <w:ind w:left="6480" w:hanging="180"/>
      </w:pPr>
    </w:lvl>
  </w:abstractNum>
  <w:abstractNum w:abstractNumId="5" w15:restartNumberingAfterBreak="0">
    <w:nsid w:val="406B77A3"/>
    <w:multiLevelType w:val="hybridMultilevel"/>
    <w:tmpl w:val="10AC1BC0"/>
    <w:lvl w:ilvl="0" w:tplc="F3BE6402">
      <w:start w:val="1"/>
      <w:numFmt w:val="decimal"/>
      <w:lvlText w:val="%1."/>
      <w:lvlJc w:val="left"/>
      <w:pPr>
        <w:ind w:left="720" w:hanging="360"/>
      </w:pPr>
      <w:rPr>
        <w:b/>
        <w:bCs/>
        <w:u w:val="none"/>
      </w:rPr>
    </w:lvl>
    <w:lvl w:ilvl="1" w:tplc="2F8C69CC">
      <w:start w:val="1"/>
      <w:numFmt w:val="lowerLetter"/>
      <w:lvlText w:val="%2."/>
      <w:lvlJc w:val="left"/>
      <w:pPr>
        <w:ind w:left="1440" w:hanging="360"/>
      </w:pPr>
    </w:lvl>
    <w:lvl w:ilvl="2" w:tplc="2F1A4284">
      <w:start w:val="1"/>
      <w:numFmt w:val="lowerRoman"/>
      <w:lvlText w:val="%3."/>
      <w:lvlJc w:val="right"/>
      <w:pPr>
        <w:ind w:left="2160" w:hanging="180"/>
      </w:pPr>
    </w:lvl>
    <w:lvl w:ilvl="3" w:tplc="1460ECD4">
      <w:start w:val="1"/>
      <w:numFmt w:val="decimal"/>
      <w:lvlText w:val="%4."/>
      <w:lvlJc w:val="left"/>
      <w:pPr>
        <w:ind w:left="2880" w:hanging="360"/>
      </w:pPr>
    </w:lvl>
    <w:lvl w:ilvl="4" w:tplc="2BF82A84">
      <w:start w:val="1"/>
      <w:numFmt w:val="lowerLetter"/>
      <w:lvlText w:val="%5."/>
      <w:lvlJc w:val="left"/>
      <w:pPr>
        <w:ind w:left="3600" w:hanging="360"/>
      </w:pPr>
    </w:lvl>
    <w:lvl w:ilvl="5" w:tplc="73F62B1A">
      <w:start w:val="1"/>
      <w:numFmt w:val="lowerRoman"/>
      <w:lvlText w:val="%6."/>
      <w:lvlJc w:val="right"/>
      <w:pPr>
        <w:ind w:left="4320" w:hanging="180"/>
      </w:pPr>
    </w:lvl>
    <w:lvl w:ilvl="6" w:tplc="139EF968">
      <w:start w:val="1"/>
      <w:numFmt w:val="decimal"/>
      <w:lvlText w:val="%7."/>
      <w:lvlJc w:val="left"/>
      <w:pPr>
        <w:ind w:left="5040" w:hanging="360"/>
      </w:pPr>
    </w:lvl>
    <w:lvl w:ilvl="7" w:tplc="96085F90">
      <w:start w:val="1"/>
      <w:numFmt w:val="lowerLetter"/>
      <w:lvlText w:val="%8."/>
      <w:lvlJc w:val="left"/>
      <w:pPr>
        <w:ind w:left="5760" w:hanging="360"/>
      </w:pPr>
    </w:lvl>
    <w:lvl w:ilvl="8" w:tplc="7F80E000">
      <w:start w:val="1"/>
      <w:numFmt w:val="lowerRoman"/>
      <w:lvlText w:val="%9."/>
      <w:lvlJc w:val="right"/>
      <w:pPr>
        <w:ind w:left="6480" w:hanging="180"/>
      </w:pPr>
    </w:lvl>
  </w:abstractNum>
  <w:abstractNum w:abstractNumId="6" w15:restartNumberingAfterBreak="0">
    <w:nsid w:val="52635D44"/>
    <w:multiLevelType w:val="hybridMultilevel"/>
    <w:tmpl w:val="7A2A04F4"/>
    <w:lvl w:ilvl="0" w:tplc="79C4C024">
      <w:start w:val="1"/>
      <w:numFmt w:val="bullet"/>
      <w:lvlText w:val="-"/>
      <w:lvlJc w:val="left"/>
      <w:pPr>
        <w:ind w:left="720" w:hanging="360"/>
      </w:pPr>
      <w:rPr>
        <w:rFonts w:ascii="Times New Roman" w:eastAsia="Calibri" w:hAnsi="Times New Roman" w:cs="Times New Roman"/>
      </w:rPr>
    </w:lvl>
    <w:lvl w:ilvl="1" w:tplc="AB8A4B0E">
      <w:start w:val="1"/>
      <w:numFmt w:val="bullet"/>
      <w:lvlText w:val="o"/>
      <w:lvlJc w:val="left"/>
      <w:pPr>
        <w:ind w:left="1440" w:hanging="360"/>
      </w:pPr>
      <w:rPr>
        <w:rFonts w:ascii="Courier New" w:hAnsi="Courier New" w:cs="Courier New"/>
      </w:rPr>
    </w:lvl>
    <w:lvl w:ilvl="2" w:tplc="DD8853CE">
      <w:start w:val="1"/>
      <w:numFmt w:val="bullet"/>
      <w:lvlText w:val=""/>
      <w:lvlJc w:val="left"/>
      <w:pPr>
        <w:ind w:left="2160" w:hanging="360"/>
      </w:pPr>
      <w:rPr>
        <w:rFonts w:ascii="Wingdings" w:hAnsi="Wingdings"/>
      </w:rPr>
    </w:lvl>
    <w:lvl w:ilvl="3" w:tplc="96E66B2E">
      <w:start w:val="1"/>
      <w:numFmt w:val="bullet"/>
      <w:lvlText w:val=""/>
      <w:lvlJc w:val="left"/>
      <w:pPr>
        <w:ind w:left="2880" w:hanging="360"/>
      </w:pPr>
      <w:rPr>
        <w:rFonts w:ascii="Symbol" w:hAnsi="Symbol"/>
      </w:rPr>
    </w:lvl>
    <w:lvl w:ilvl="4" w:tplc="1A103002">
      <w:start w:val="1"/>
      <w:numFmt w:val="bullet"/>
      <w:lvlText w:val="o"/>
      <w:lvlJc w:val="left"/>
      <w:pPr>
        <w:ind w:left="3600" w:hanging="360"/>
      </w:pPr>
      <w:rPr>
        <w:rFonts w:ascii="Courier New" w:hAnsi="Courier New" w:cs="Courier New"/>
      </w:rPr>
    </w:lvl>
    <w:lvl w:ilvl="5" w:tplc="278C86CA">
      <w:start w:val="1"/>
      <w:numFmt w:val="bullet"/>
      <w:lvlText w:val=""/>
      <w:lvlJc w:val="left"/>
      <w:pPr>
        <w:ind w:left="4320" w:hanging="360"/>
      </w:pPr>
      <w:rPr>
        <w:rFonts w:ascii="Wingdings" w:hAnsi="Wingdings"/>
      </w:rPr>
    </w:lvl>
    <w:lvl w:ilvl="6" w:tplc="80664262">
      <w:start w:val="1"/>
      <w:numFmt w:val="bullet"/>
      <w:lvlText w:val=""/>
      <w:lvlJc w:val="left"/>
      <w:pPr>
        <w:ind w:left="5040" w:hanging="360"/>
      </w:pPr>
      <w:rPr>
        <w:rFonts w:ascii="Symbol" w:hAnsi="Symbol"/>
      </w:rPr>
    </w:lvl>
    <w:lvl w:ilvl="7" w:tplc="11C61C36">
      <w:start w:val="1"/>
      <w:numFmt w:val="bullet"/>
      <w:lvlText w:val="o"/>
      <w:lvlJc w:val="left"/>
      <w:pPr>
        <w:ind w:left="5760" w:hanging="360"/>
      </w:pPr>
      <w:rPr>
        <w:rFonts w:ascii="Courier New" w:hAnsi="Courier New" w:cs="Courier New"/>
      </w:rPr>
    </w:lvl>
    <w:lvl w:ilvl="8" w:tplc="995A8306">
      <w:start w:val="1"/>
      <w:numFmt w:val="bullet"/>
      <w:lvlText w:val=""/>
      <w:lvlJc w:val="left"/>
      <w:pPr>
        <w:ind w:left="6480" w:hanging="360"/>
      </w:pPr>
      <w:rPr>
        <w:rFonts w:ascii="Wingdings" w:hAnsi="Wingdings"/>
      </w:rPr>
    </w:lvl>
  </w:abstractNum>
  <w:abstractNum w:abstractNumId="7" w15:restartNumberingAfterBreak="0">
    <w:nsid w:val="5F9D4D95"/>
    <w:multiLevelType w:val="hybridMultilevel"/>
    <w:tmpl w:val="2764B49E"/>
    <w:lvl w:ilvl="0" w:tplc="9918C722">
      <w:start w:val="1"/>
      <w:numFmt w:val="bullet"/>
      <w:lvlText w:val="·"/>
      <w:lvlJc w:val="left"/>
      <w:pPr>
        <w:ind w:left="709" w:hanging="360"/>
      </w:pPr>
      <w:rPr>
        <w:rFonts w:ascii="Symbol" w:eastAsia="Symbol" w:hAnsi="Symbol" w:cs="Symbol" w:hint="default"/>
      </w:rPr>
    </w:lvl>
    <w:lvl w:ilvl="1" w:tplc="D966D654">
      <w:start w:val="1"/>
      <w:numFmt w:val="bullet"/>
      <w:lvlText w:val="·"/>
      <w:lvlJc w:val="left"/>
      <w:pPr>
        <w:ind w:left="1429" w:hanging="360"/>
      </w:pPr>
      <w:rPr>
        <w:rFonts w:ascii="Symbol" w:eastAsia="Symbol" w:hAnsi="Symbol" w:cs="Symbol" w:hint="default"/>
      </w:rPr>
    </w:lvl>
    <w:lvl w:ilvl="2" w:tplc="D0A4D6A8">
      <w:start w:val="1"/>
      <w:numFmt w:val="bullet"/>
      <w:lvlText w:val="·"/>
      <w:lvlJc w:val="left"/>
      <w:pPr>
        <w:ind w:left="2149" w:hanging="360"/>
      </w:pPr>
      <w:rPr>
        <w:rFonts w:ascii="Symbol" w:eastAsia="Symbol" w:hAnsi="Symbol" w:cs="Symbol" w:hint="default"/>
      </w:rPr>
    </w:lvl>
    <w:lvl w:ilvl="3" w:tplc="A3FA5108">
      <w:start w:val="1"/>
      <w:numFmt w:val="bullet"/>
      <w:lvlText w:val="·"/>
      <w:lvlJc w:val="left"/>
      <w:pPr>
        <w:ind w:left="2869" w:hanging="360"/>
      </w:pPr>
      <w:rPr>
        <w:rFonts w:ascii="Symbol" w:eastAsia="Symbol" w:hAnsi="Symbol" w:cs="Symbol" w:hint="default"/>
      </w:rPr>
    </w:lvl>
    <w:lvl w:ilvl="4" w:tplc="3AD6ADC4">
      <w:start w:val="1"/>
      <w:numFmt w:val="bullet"/>
      <w:lvlText w:val="·"/>
      <w:lvlJc w:val="left"/>
      <w:pPr>
        <w:ind w:left="3589" w:hanging="360"/>
      </w:pPr>
      <w:rPr>
        <w:rFonts w:ascii="Symbol" w:eastAsia="Symbol" w:hAnsi="Symbol" w:cs="Symbol" w:hint="default"/>
      </w:rPr>
    </w:lvl>
    <w:lvl w:ilvl="5" w:tplc="ED36F5E2">
      <w:start w:val="1"/>
      <w:numFmt w:val="bullet"/>
      <w:lvlText w:val="·"/>
      <w:lvlJc w:val="left"/>
      <w:pPr>
        <w:ind w:left="4309" w:hanging="360"/>
      </w:pPr>
      <w:rPr>
        <w:rFonts w:ascii="Symbol" w:eastAsia="Symbol" w:hAnsi="Symbol" w:cs="Symbol" w:hint="default"/>
      </w:rPr>
    </w:lvl>
    <w:lvl w:ilvl="6" w:tplc="97900A68">
      <w:start w:val="1"/>
      <w:numFmt w:val="bullet"/>
      <w:lvlText w:val="·"/>
      <w:lvlJc w:val="left"/>
      <w:pPr>
        <w:ind w:left="5029" w:hanging="360"/>
      </w:pPr>
      <w:rPr>
        <w:rFonts w:ascii="Symbol" w:eastAsia="Symbol" w:hAnsi="Symbol" w:cs="Symbol" w:hint="default"/>
      </w:rPr>
    </w:lvl>
    <w:lvl w:ilvl="7" w:tplc="8B4A3FD0">
      <w:start w:val="1"/>
      <w:numFmt w:val="bullet"/>
      <w:lvlText w:val="·"/>
      <w:lvlJc w:val="left"/>
      <w:pPr>
        <w:ind w:left="5749" w:hanging="360"/>
      </w:pPr>
      <w:rPr>
        <w:rFonts w:ascii="Symbol" w:eastAsia="Symbol" w:hAnsi="Symbol" w:cs="Symbol" w:hint="default"/>
      </w:rPr>
    </w:lvl>
    <w:lvl w:ilvl="8" w:tplc="69F07256">
      <w:start w:val="1"/>
      <w:numFmt w:val="bullet"/>
      <w:lvlText w:val="·"/>
      <w:lvlJc w:val="left"/>
      <w:pPr>
        <w:ind w:left="6469" w:hanging="360"/>
      </w:pPr>
      <w:rPr>
        <w:rFonts w:ascii="Symbol" w:eastAsia="Symbol" w:hAnsi="Symbol" w:cs="Symbol" w:hint="default"/>
      </w:rPr>
    </w:lvl>
  </w:abstractNum>
  <w:abstractNum w:abstractNumId="8" w15:restartNumberingAfterBreak="0">
    <w:nsid w:val="648C2CC3"/>
    <w:multiLevelType w:val="hybridMultilevel"/>
    <w:tmpl w:val="DCAEACE8"/>
    <w:lvl w:ilvl="0" w:tplc="E2DA65AE">
      <w:start w:val="1"/>
      <w:numFmt w:val="bullet"/>
      <w:lvlText w:val="·"/>
      <w:lvlJc w:val="left"/>
      <w:pPr>
        <w:ind w:left="709" w:hanging="360"/>
      </w:pPr>
      <w:rPr>
        <w:rFonts w:ascii="Symbol" w:eastAsia="Symbol" w:hAnsi="Symbol" w:cs="Symbol" w:hint="default"/>
      </w:rPr>
    </w:lvl>
    <w:lvl w:ilvl="1" w:tplc="33E89978">
      <w:start w:val="1"/>
      <w:numFmt w:val="bullet"/>
      <w:lvlText w:val="·"/>
      <w:lvlJc w:val="left"/>
      <w:pPr>
        <w:ind w:left="1429" w:hanging="360"/>
      </w:pPr>
      <w:rPr>
        <w:rFonts w:ascii="Symbol" w:eastAsia="Symbol" w:hAnsi="Symbol" w:cs="Symbol" w:hint="default"/>
      </w:rPr>
    </w:lvl>
    <w:lvl w:ilvl="2" w:tplc="15FCAACE">
      <w:start w:val="1"/>
      <w:numFmt w:val="bullet"/>
      <w:lvlText w:val="·"/>
      <w:lvlJc w:val="left"/>
      <w:pPr>
        <w:ind w:left="2149" w:hanging="360"/>
      </w:pPr>
      <w:rPr>
        <w:rFonts w:ascii="Symbol" w:eastAsia="Symbol" w:hAnsi="Symbol" w:cs="Symbol" w:hint="default"/>
      </w:rPr>
    </w:lvl>
    <w:lvl w:ilvl="3" w:tplc="19E818D2">
      <w:start w:val="1"/>
      <w:numFmt w:val="bullet"/>
      <w:lvlText w:val="·"/>
      <w:lvlJc w:val="left"/>
      <w:pPr>
        <w:ind w:left="2869" w:hanging="360"/>
      </w:pPr>
      <w:rPr>
        <w:rFonts w:ascii="Symbol" w:eastAsia="Symbol" w:hAnsi="Symbol" w:cs="Symbol" w:hint="default"/>
      </w:rPr>
    </w:lvl>
    <w:lvl w:ilvl="4" w:tplc="99AE57A6">
      <w:start w:val="1"/>
      <w:numFmt w:val="bullet"/>
      <w:lvlText w:val="·"/>
      <w:lvlJc w:val="left"/>
      <w:pPr>
        <w:ind w:left="3589" w:hanging="360"/>
      </w:pPr>
      <w:rPr>
        <w:rFonts w:ascii="Symbol" w:eastAsia="Symbol" w:hAnsi="Symbol" w:cs="Symbol" w:hint="default"/>
      </w:rPr>
    </w:lvl>
    <w:lvl w:ilvl="5" w:tplc="FC20F71A">
      <w:start w:val="1"/>
      <w:numFmt w:val="bullet"/>
      <w:lvlText w:val="·"/>
      <w:lvlJc w:val="left"/>
      <w:pPr>
        <w:ind w:left="4309" w:hanging="360"/>
      </w:pPr>
      <w:rPr>
        <w:rFonts w:ascii="Symbol" w:eastAsia="Symbol" w:hAnsi="Symbol" w:cs="Symbol" w:hint="default"/>
      </w:rPr>
    </w:lvl>
    <w:lvl w:ilvl="6" w:tplc="6268A86C">
      <w:start w:val="1"/>
      <w:numFmt w:val="bullet"/>
      <w:lvlText w:val="·"/>
      <w:lvlJc w:val="left"/>
      <w:pPr>
        <w:ind w:left="5029" w:hanging="360"/>
      </w:pPr>
      <w:rPr>
        <w:rFonts w:ascii="Symbol" w:eastAsia="Symbol" w:hAnsi="Symbol" w:cs="Symbol" w:hint="default"/>
      </w:rPr>
    </w:lvl>
    <w:lvl w:ilvl="7" w:tplc="AE66F622">
      <w:start w:val="1"/>
      <w:numFmt w:val="bullet"/>
      <w:lvlText w:val="·"/>
      <w:lvlJc w:val="left"/>
      <w:pPr>
        <w:ind w:left="5749" w:hanging="360"/>
      </w:pPr>
      <w:rPr>
        <w:rFonts w:ascii="Symbol" w:eastAsia="Symbol" w:hAnsi="Symbol" w:cs="Symbol" w:hint="default"/>
      </w:rPr>
    </w:lvl>
    <w:lvl w:ilvl="8" w:tplc="2DE287EA">
      <w:start w:val="1"/>
      <w:numFmt w:val="bullet"/>
      <w:lvlText w:val="·"/>
      <w:lvlJc w:val="left"/>
      <w:pPr>
        <w:ind w:left="6469" w:hanging="360"/>
      </w:pPr>
      <w:rPr>
        <w:rFonts w:ascii="Symbol" w:eastAsia="Symbol" w:hAnsi="Symbol" w:cs="Symbol" w:hint="default"/>
      </w:rPr>
    </w:lvl>
  </w:abstractNum>
  <w:abstractNum w:abstractNumId="9" w15:restartNumberingAfterBreak="0">
    <w:nsid w:val="76F57373"/>
    <w:multiLevelType w:val="hybridMultilevel"/>
    <w:tmpl w:val="9EE8A614"/>
    <w:lvl w:ilvl="0" w:tplc="D0226722">
      <w:start w:val="1"/>
      <w:numFmt w:val="lowerLetter"/>
      <w:lvlText w:val="%1)"/>
      <w:lvlJc w:val="left"/>
      <w:pPr>
        <w:ind w:left="720" w:hanging="360"/>
      </w:pPr>
    </w:lvl>
    <w:lvl w:ilvl="1" w:tplc="08B6A0F6">
      <w:start w:val="1"/>
      <w:numFmt w:val="lowerLetter"/>
      <w:lvlText w:val="%2."/>
      <w:lvlJc w:val="left"/>
      <w:pPr>
        <w:ind w:left="1440" w:hanging="360"/>
      </w:pPr>
    </w:lvl>
    <w:lvl w:ilvl="2" w:tplc="786C6C6C">
      <w:start w:val="1"/>
      <w:numFmt w:val="lowerRoman"/>
      <w:lvlText w:val="%3."/>
      <w:lvlJc w:val="right"/>
      <w:pPr>
        <w:ind w:left="2160" w:hanging="180"/>
      </w:pPr>
    </w:lvl>
    <w:lvl w:ilvl="3" w:tplc="F60A891A">
      <w:start w:val="1"/>
      <w:numFmt w:val="decimal"/>
      <w:lvlText w:val="%4."/>
      <w:lvlJc w:val="left"/>
      <w:pPr>
        <w:ind w:left="2880" w:hanging="360"/>
      </w:pPr>
    </w:lvl>
    <w:lvl w:ilvl="4" w:tplc="356CD288">
      <w:start w:val="1"/>
      <w:numFmt w:val="lowerLetter"/>
      <w:lvlText w:val="%5."/>
      <w:lvlJc w:val="left"/>
      <w:pPr>
        <w:ind w:left="3600" w:hanging="360"/>
      </w:pPr>
    </w:lvl>
    <w:lvl w:ilvl="5" w:tplc="4D54075A">
      <w:start w:val="1"/>
      <w:numFmt w:val="lowerRoman"/>
      <w:lvlText w:val="%6."/>
      <w:lvlJc w:val="right"/>
      <w:pPr>
        <w:ind w:left="4320" w:hanging="180"/>
      </w:pPr>
    </w:lvl>
    <w:lvl w:ilvl="6" w:tplc="5E3A4574">
      <w:start w:val="1"/>
      <w:numFmt w:val="decimal"/>
      <w:lvlText w:val="%7."/>
      <w:lvlJc w:val="left"/>
      <w:pPr>
        <w:ind w:left="5040" w:hanging="360"/>
      </w:pPr>
    </w:lvl>
    <w:lvl w:ilvl="7" w:tplc="0862F626">
      <w:start w:val="1"/>
      <w:numFmt w:val="lowerLetter"/>
      <w:lvlText w:val="%8."/>
      <w:lvlJc w:val="left"/>
      <w:pPr>
        <w:ind w:left="5760" w:hanging="360"/>
      </w:pPr>
    </w:lvl>
    <w:lvl w:ilvl="8" w:tplc="CE9CB47C">
      <w:start w:val="1"/>
      <w:numFmt w:val="lowerRoman"/>
      <w:lvlText w:val="%9."/>
      <w:lvlJc w:val="right"/>
      <w:pPr>
        <w:ind w:left="6480" w:hanging="180"/>
      </w:pPr>
    </w:lvl>
  </w:abstractNum>
  <w:abstractNum w:abstractNumId="10" w15:restartNumberingAfterBreak="0">
    <w:nsid w:val="7B304513"/>
    <w:multiLevelType w:val="hybridMultilevel"/>
    <w:tmpl w:val="776E2E3C"/>
    <w:lvl w:ilvl="0" w:tplc="305A67D6">
      <w:start w:val="1"/>
      <w:numFmt w:val="decimal"/>
      <w:lvlText w:val="%1."/>
      <w:lvlJc w:val="left"/>
      <w:pPr>
        <w:ind w:left="720" w:hanging="360"/>
      </w:pPr>
      <w:rPr>
        <w:b/>
        <w:bCs/>
      </w:rPr>
    </w:lvl>
    <w:lvl w:ilvl="1" w:tplc="1558390A">
      <w:start w:val="1"/>
      <w:numFmt w:val="lowerLetter"/>
      <w:lvlText w:val="%2."/>
      <w:lvlJc w:val="left"/>
      <w:pPr>
        <w:ind w:left="1440" w:hanging="360"/>
      </w:pPr>
    </w:lvl>
    <w:lvl w:ilvl="2" w:tplc="C22C85D4">
      <w:start w:val="1"/>
      <w:numFmt w:val="lowerRoman"/>
      <w:lvlText w:val="%3."/>
      <w:lvlJc w:val="right"/>
      <w:pPr>
        <w:ind w:left="2160" w:hanging="180"/>
      </w:pPr>
    </w:lvl>
    <w:lvl w:ilvl="3" w:tplc="7CC655C4">
      <w:start w:val="1"/>
      <w:numFmt w:val="decimal"/>
      <w:lvlText w:val="%4."/>
      <w:lvlJc w:val="left"/>
      <w:pPr>
        <w:ind w:left="2880" w:hanging="360"/>
      </w:pPr>
    </w:lvl>
    <w:lvl w:ilvl="4" w:tplc="D88649FE">
      <w:start w:val="1"/>
      <w:numFmt w:val="lowerLetter"/>
      <w:lvlText w:val="%5."/>
      <w:lvlJc w:val="left"/>
      <w:pPr>
        <w:ind w:left="3600" w:hanging="360"/>
      </w:pPr>
    </w:lvl>
    <w:lvl w:ilvl="5" w:tplc="FA041F30">
      <w:start w:val="1"/>
      <w:numFmt w:val="lowerRoman"/>
      <w:lvlText w:val="%6."/>
      <w:lvlJc w:val="right"/>
      <w:pPr>
        <w:ind w:left="4320" w:hanging="180"/>
      </w:pPr>
    </w:lvl>
    <w:lvl w:ilvl="6" w:tplc="D826D192">
      <w:start w:val="1"/>
      <w:numFmt w:val="decimal"/>
      <w:lvlText w:val="%7."/>
      <w:lvlJc w:val="left"/>
      <w:pPr>
        <w:ind w:left="5040" w:hanging="360"/>
      </w:pPr>
    </w:lvl>
    <w:lvl w:ilvl="7" w:tplc="5FD4D7DE">
      <w:start w:val="1"/>
      <w:numFmt w:val="lowerLetter"/>
      <w:lvlText w:val="%8."/>
      <w:lvlJc w:val="left"/>
      <w:pPr>
        <w:ind w:left="5760" w:hanging="360"/>
      </w:pPr>
    </w:lvl>
    <w:lvl w:ilvl="8" w:tplc="FA74EF96">
      <w:start w:val="1"/>
      <w:numFmt w:val="lowerRoman"/>
      <w:lvlText w:val="%9."/>
      <w:lvlJc w:val="right"/>
      <w:pPr>
        <w:ind w:left="6480" w:hanging="180"/>
      </w:pPr>
    </w:lvl>
  </w:abstractNum>
  <w:num w:numId="1" w16cid:durableId="1017465381">
    <w:abstractNumId w:val="6"/>
  </w:num>
  <w:num w:numId="2" w16cid:durableId="104234646">
    <w:abstractNumId w:val="5"/>
  </w:num>
  <w:num w:numId="3" w16cid:durableId="848639925">
    <w:abstractNumId w:val="9"/>
  </w:num>
  <w:num w:numId="4" w16cid:durableId="177235684">
    <w:abstractNumId w:val="1"/>
  </w:num>
  <w:num w:numId="5" w16cid:durableId="1670016217">
    <w:abstractNumId w:val="10"/>
  </w:num>
  <w:num w:numId="6" w16cid:durableId="19750086">
    <w:abstractNumId w:val="0"/>
  </w:num>
  <w:num w:numId="7" w16cid:durableId="1781072901">
    <w:abstractNumId w:val="4"/>
  </w:num>
  <w:num w:numId="8" w16cid:durableId="302082135">
    <w:abstractNumId w:val="2"/>
  </w:num>
  <w:num w:numId="9" w16cid:durableId="2089304254">
    <w:abstractNumId w:val="7"/>
  </w:num>
  <w:num w:numId="10" w16cid:durableId="1042634195">
    <w:abstractNumId w:val="3"/>
  </w:num>
  <w:num w:numId="11" w16cid:durableId="810487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5F9"/>
    <w:rsid w:val="00017217"/>
    <w:rsid w:val="000419BB"/>
    <w:rsid w:val="00065E90"/>
    <w:rsid w:val="00120A99"/>
    <w:rsid w:val="00166695"/>
    <w:rsid w:val="001D36E7"/>
    <w:rsid w:val="00207E98"/>
    <w:rsid w:val="00213668"/>
    <w:rsid w:val="00284151"/>
    <w:rsid w:val="002B1F78"/>
    <w:rsid w:val="00341F10"/>
    <w:rsid w:val="0040240F"/>
    <w:rsid w:val="004D61B0"/>
    <w:rsid w:val="004D6BB3"/>
    <w:rsid w:val="00556F5A"/>
    <w:rsid w:val="00580556"/>
    <w:rsid w:val="005A3EAD"/>
    <w:rsid w:val="005F5959"/>
    <w:rsid w:val="0061354B"/>
    <w:rsid w:val="006217CB"/>
    <w:rsid w:val="00684EFA"/>
    <w:rsid w:val="00725BD1"/>
    <w:rsid w:val="0075625B"/>
    <w:rsid w:val="00786350"/>
    <w:rsid w:val="00793B2F"/>
    <w:rsid w:val="007E5B49"/>
    <w:rsid w:val="0081694C"/>
    <w:rsid w:val="00822F27"/>
    <w:rsid w:val="00824080"/>
    <w:rsid w:val="00987800"/>
    <w:rsid w:val="009E358C"/>
    <w:rsid w:val="00A156ED"/>
    <w:rsid w:val="00A42277"/>
    <w:rsid w:val="00AF7A8D"/>
    <w:rsid w:val="00B54473"/>
    <w:rsid w:val="00C02316"/>
    <w:rsid w:val="00C102EC"/>
    <w:rsid w:val="00C13303"/>
    <w:rsid w:val="00C1508C"/>
    <w:rsid w:val="00C236CA"/>
    <w:rsid w:val="00C55955"/>
    <w:rsid w:val="00CC4DF3"/>
    <w:rsid w:val="00D06815"/>
    <w:rsid w:val="00D46B7A"/>
    <w:rsid w:val="00D81525"/>
    <w:rsid w:val="00DA3D6D"/>
    <w:rsid w:val="00DB55F9"/>
    <w:rsid w:val="00DD0898"/>
    <w:rsid w:val="00E013A0"/>
    <w:rsid w:val="00E346AB"/>
    <w:rsid w:val="00E61199"/>
    <w:rsid w:val="00E82B35"/>
    <w:rsid w:val="00E937FF"/>
    <w:rsid w:val="00EE1FFF"/>
    <w:rsid w:val="00F84FB9"/>
    <w:rsid w:val="00FD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F113"/>
  <w15:docId w15:val="{58C8DE0E-D9DF-4E9A-B51D-2097E1E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Paragraphedeliste">
    <w:name w:val="List Paragraph"/>
    <w:basedOn w:val="Normal"/>
    <w:pPr>
      <w:ind w:left="720"/>
      <w:contextualSpacing/>
    </w:pPr>
  </w:style>
  <w:style w:type="paragraph" w:styleId="Bibliographie">
    <w:name w:val="Bibliography"/>
    <w:basedOn w:val="Normal"/>
    <w:next w:val="Normal"/>
    <w:pPr>
      <w:tabs>
        <w:tab w:val="left" w:pos="384"/>
      </w:tabs>
      <w:spacing w:after="240"/>
      <w:ind w:left="384" w:hanging="384"/>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D46B7A"/>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6B7A"/>
    <w:rPr>
      <w:rFonts w:ascii="Segoe UI" w:hAnsi="Segoe UI" w:cs="Segoe UI"/>
      <w:sz w:val="18"/>
      <w:szCs w:val="18"/>
    </w:rPr>
  </w:style>
  <w:style w:type="paragraph" w:styleId="NormalWeb">
    <w:name w:val="Normal (Web)"/>
    <w:basedOn w:val="Normal"/>
    <w:uiPriority w:val="99"/>
    <w:unhideWhenUsed/>
    <w:rsid w:val="00D46B7A"/>
    <w:pPr>
      <w:spacing w:before="100" w:beforeAutospacing="1" w:after="100" w:afterAutospacing="1"/>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207E98"/>
    <w:rPr>
      <w:b/>
      <w:bCs/>
    </w:rPr>
  </w:style>
  <w:style w:type="character" w:customStyle="1" w:styleId="ObjetducommentaireCar">
    <w:name w:val="Objet du commentaire Car"/>
    <w:basedOn w:val="CommentaireCar"/>
    <w:link w:val="Objetducommentaire"/>
    <w:uiPriority w:val="99"/>
    <w:semiHidden/>
    <w:rsid w:val="00207E98"/>
    <w:rPr>
      <w:b/>
      <w:bCs/>
      <w:sz w:val="20"/>
      <w:szCs w:val="20"/>
    </w:rPr>
  </w:style>
  <w:style w:type="paragraph" w:styleId="Rvision">
    <w:name w:val="Revision"/>
    <w:hidden/>
    <w:uiPriority w:val="99"/>
    <w:semiHidden/>
    <w:rsid w:val="00AF7A8D"/>
    <w:pPr>
      <w:spacing w:after="0"/>
    </w:pPr>
  </w:style>
  <w:style w:type="character" w:styleId="Numrodeligne">
    <w:name w:val="line number"/>
    <w:basedOn w:val="Policepardfaut"/>
    <w:uiPriority w:val="99"/>
    <w:semiHidden/>
    <w:unhideWhenUsed/>
    <w:rsid w:val="007E5B49"/>
  </w:style>
  <w:style w:type="character" w:styleId="Mentionnonrsolue">
    <w:name w:val="Unresolved Mention"/>
    <w:basedOn w:val="Policepardfaut"/>
    <w:uiPriority w:val="99"/>
    <w:semiHidden/>
    <w:unhideWhenUsed/>
    <w:rsid w:val="005A3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5951">
      <w:bodyDiv w:val="1"/>
      <w:marLeft w:val="0"/>
      <w:marRight w:val="0"/>
      <w:marTop w:val="0"/>
      <w:marBottom w:val="0"/>
      <w:divBdr>
        <w:top w:val="none" w:sz="0" w:space="0" w:color="auto"/>
        <w:left w:val="none" w:sz="0" w:space="0" w:color="auto"/>
        <w:bottom w:val="none" w:sz="0" w:space="0" w:color="auto"/>
        <w:right w:val="none" w:sz="0" w:space="0" w:color="auto"/>
      </w:divBdr>
      <w:divsChild>
        <w:div w:id="450562563">
          <w:marLeft w:val="0"/>
          <w:marRight w:val="0"/>
          <w:marTop w:val="0"/>
          <w:marBottom w:val="0"/>
          <w:divBdr>
            <w:top w:val="none" w:sz="0" w:space="0" w:color="auto"/>
            <w:left w:val="none" w:sz="0" w:space="0" w:color="auto"/>
            <w:bottom w:val="none" w:sz="0" w:space="0" w:color="auto"/>
            <w:right w:val="none" w:sz="0" w:space="0" w:color="auto"/>
          </w:divBdr>
          <w:divsChild>
            <w:div w:id="1611471981">
              <w:marLeft w:val="0"/>
              <w:marRight w:val="0"/>
              <w:marTop w:val="0"/>
              <w:marBottom w:val="0"/>
              <w:divBdr>
                <w:top w:val="none" w:sz="0" w:space="0" w:color="auto"/>
                <w:left w:val="none" w:sz="0" w:space="0" w:color="auto"/>
                <w:bottom w:val="none" w:sz="0" w:space="0" w:color="auto"/>
                <w:right w:val="none" w:sz="0" w:space="0" w:color="auto"/>
              </w:divBdr>
              <w:divsChild>
                <w:div w:id="1653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who.int/iris/handle/10665/349728" TargetMode="External"/><Relationship Id="rId13" Type="http://schemas.openxmlformats.org/officeDocument/2006/relationships/hyperlink" Target="https://doi.org/10.1177/1757913911419896" TargetMode="External"/><Relationship Id="rId18" Type="http://schemas.openxmlformats.org/officeDocument/2006/relationships/hyperlink" Target="https://doi.org/10.1080/13573322.2018.1493574%20" TargetMode="External"/><Relationship Id="rId3" Type="http://schemas.openxmlformats.org/officeDocument/2006/relationships/styles" Target="styles.xml"/><Relationship Id="rId21" Type="http://schemas.openxmlformats.org/officeDocument/2006/relationships/hyperlink" Target="%20https:/doi.org/10.1177/1049732307308129" TargetMode="External"/><Relationship Id="rId7" Type="http://schemas.openxmlformats.org/officeDocument/2006/relationships/endnotes" Target="endnotes.xml"/><Relationship Id="rId12" Type="http://schemas.openxmlformats.org/officeDocument/2006/relationships/hyperlink" Target="https://doi.org/10.1016/s2352-4642(19)30323-2" TargetMode="External"/><Relationship Id="rId17" Type="http://schemas.openxmlformats.org/officeDocument/2006/relationships/hyperlink" Target="https://doi.org/10.3390%2Fijerph17010168" TargetMode="External"/><Relationship Id="rId2" Type="http://schemas.openxmlformats.org/officeDocument/2006/relationships/numbering" Target="numbering.xml"/><Relationship Id="rId16" Type="http://schemas.openxmlformats.org/officeDocument/2006/relationships/hyperlink" Target="https://psycnet.apa.org/doi/10.1080/17408989.2011.649724" TargetMode="External"/><Relationship Id="rId20" Type="http://schemas.openxmlformats.org/officeDocument/2006/relationships/hyperlink" Target="http://dx.doi.org/10.1177/155868980833088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eurpub/ckv024%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000/rfp.146" TargetMode="External"/><Relationship Id="rId23" Type="http://schemas.openxmlformats.org/officeDocument/2006/relationships/fontTable" Target="fontTable.xml"/><Relationship Id="rId10" Type="http://schemas.openxmlformats.org/officeDocument/2006/relationships/hyperlink" Target="%20https:/doi.org/10.1016/j.ypmed.2017.05.030%20" TargetMode="External"/><Relationship Id="rId19" Type="http://schemas.openxmlformats.org/officeDocument/2006/relationships/hyperlink" Target="https://doi.org/10.1016/s0140-6736(12)60735-1" TargetMode="External"/><Relationship Id="rId4" Type="http://schemas.openxmlformats.org/officeDocument/2006/relationships/settings" Target="settings.xml"/><Relationship Id="rId9" Type="http://schemas.openxmlformats.org/officeDocument/2006/relationships/hyperlink" Target="https://doi.org/10.1136/bmj.l4570" TargetMode="External"/><Relationship Id="rId14" Type="http://schemas.openxmlformats.org/officeDocument/2006/relationships/hyperlink" Target="%20https:/doi.org/10.3917/sta.068.0077%20"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AED2-7F17-4743-89C2-380E4CC2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8695</Words>
  <Characters>47826</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Ornella  Goldstein</dc:creator>
  <dc:description/>
  <cp:lastModifiedBy>Ornella  Goldstein</cp:lastModifiedBy>
  <cp:revision>4</cp:revision>
  <dcterms:created xsi:type="dcterms:W3CDTF">2024-03-12T14:45:00Z</dcterms:created>
  <dcterms:modified xsi:type="dcterms:W3CDTF">2024-03-15T15:59:00Z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id="zk0LO9w9"/&gt;&lt;style id="http://www.zotero.org/styles/vancouver-brackets" locale="fr-FR" hasBibliography="1" bibliographyStyleHasBeenSet="1"/&gt;&lt;prefs&gt;&lt;pref name="fieldType" value="Field"/&gt;&lt;/prefs&gt;&lt;/d</vt:lpwstr>
  </property>
  <property fmtid="{D5CDD505-2E9C-101B-9397-08002B2CF9AE}" pid="3" name="ZOTERO_PREF_2">
    <vt:lpwstr>ata&gt;</vt:lpwstr>
  </property>
</Properties>
</file>