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BD5B23" w14:textId="77777777" w:rsidR="00587AFF" w:rsidRPr="0035792B" w:rsidRDefault="00587AFF" w:rsidP="00587AFF">
      <w:pPr>
        <w:spacing w:line="360" w:lineRule="auto"/>
        <w:rPr>
          <w:rFonts w:ascii="Calibri" w:hAnsi="Calibri" w:cs="Calibri"/>
          <w:b/>
          <w:bCs/>
          <w:color w:val="156082" w:themeColor="accent1"/>
          <w:sz w:val="28"/>
          <w:szCs w:val="28"/>
        </w:rPr>
      </w:pPr>
    </w:p>
    <w:p w14:paraId="011F2011" w14:textId="21CB89C8" w:rsidR="00587AFF" w:rsidRPr="0035792B" w:rsidRDefault="00587AFF" w:rsidP="00587AFF">
      <w:pPr>
        <w:spacing w:line="360" w:lineRule="auto"/>
        <w:jc w:val="center"/>
        <w:rPr>
          <w:rFonts w:ascii="Calibri" w:hAnsi="Calibri" w:cs="Calibri"/>
          <w:b/>
          <w:bCs/>
          <w:color w:val="156082" w:themeColor="accent1"/>
        </w:rPr>
      </w:pPr>
      <w:r w:rsidRPr="0035792B">
        <w:rPr>
          <w:rFonts w:ascii="Calibri" w:hAnsi="Calibri" w:cs="Calibri"/>
          <w:b/>
          <w:bCs/>
          <w:color w:val="156082" w:themeColor="accent1"/>
        </w:rPr>
        <w:t xml:space="preserve">Etude : Comprendre les différences d’engagement physique entre les filles et les garçons en EPS au collège. </w:t>
      </w:r>
    </w:p>
    <w:p w14:paraId="6F0E74CE" w14:textId="77777777" w:rsidR="00587AFF" w:rsidRDefault="00587AFF" w:rsidP="00587AFF">
      <w:pPr>
        <w:spacing w:line="360" w:lineRule="auto"/>
        <w:rPr>
          <w:rFonts w:ascii="Calibri" w:hAnsi="Calibri" w:cs="Calibri"/>
          <w:b/>
          <w:bCs/>
          <w:sz w:val="22"/>
          <w:szCs w:val="22"/>
        </w:rPr>
      </w:pPr>
    </w:p>
    <w:p w14:paraId="758E5590" w14:textId="6E5286E8" w:rsidR="00587AFF" w:rsidRDefault="00587AFF" w:rsidP="00587AFF">
      <w:pPr>
        <w:spacing w:line="360" w:lineRule="auto"/>
        <w:rPr>
          <w:rFonts w:ascii="Calibri" w:hAnsi="Calibri" w:cs="Calibri"/>
          <w:b/>
          <w:bCs/>
          <w:sz w:val="22"/>
          <w:szCs w:val="22"/>
        </w:rPr>
      </w:pPr>
      <w:r>
        <w:rPr>
          <w:rFonts w:ascii="Calibri" w:hAnsi="Calibri" w:cs="Calibri"/>
          <w:b/>
          <w:bCs/>
          <w:sz w:val="22"/>
          <w:szCs w:val="22"/>
        </w:rPr>
        <w:t xml:space="preserve">Lexique : </w:t>
      </w:r>
    </w:p>
    <w:p w14:paraId="16F24323" w14:textId="608E4DFC" w:rsidR="00587AFF" w:rsidRPr="00587AFF" w:rsidRDefault="00587AFF" w:rsidP="00587AFF">
      <w:pPr>
        <w:spacing w:line="240" w:lineRule="auto"/>
        <w:rPr>
          <w:rFonts w:ascii="Calibri" w:hAnsi="Calibri" w:cs="Calibri"/>
          <w:sz w:val="22"/>
          <w:szCs w:val="22"/>
        </w:rPr>
      </w:pPr>
      <w:r w:rsidRPr="00587AFF">
        <w:rPr>
          <w:rFonts w:ascii="Calibri" w:hAnsi="Calibri" w:cs="Calibri"/>
          <w:b/>
          <w:bCs/>
          <w:sz w:val="22"/>
          <w:szCs w:val="22"/>
        </w:rPr>
        <w:t>EPS</w:t>
      </w:r>
      <w:r w:rsidRPr="00587AFF">
        <w:rPr>
          <w:rFonts w:ascii="Calibri" w:hAnsi="Calibri" w:cs="Calibri"/>
          <w:sz w:val="22"/>
          <w:szCs w:val="22"/>
        </w:rPr>
        <w:t xml:space="preserve"> : Education physique et sportive </w:t>
      </w:r>
    </w:p>
    <w:p w14:paraId="56622BF5" w14:textId="79581368" w:rsidR="00587AFF" w:rsidRPr="00AF2923" w:rsidRDefault="00587AFF" w:rsidP="00587AFF">
      <w:pPr>
        <w:spacing w:line="240" w:lineRule="auto"/>
        <w:rPr>
          <w:rFonts w:ascii="Calibri" w:hAnsi="Calibri" w:cs="Calibri"/>
          <w:sz w:val="22"/>
          <w:szCs w:val="22"/>
          <w:lang w:val="en-US"/>
        </w:rPr>
      </w:pPr>
      <w:r w:rsidRPr="00AF2923">
        <w:rPr>
          <w:rFonts w:ascii="Calibri" w:hAnsi="Calibri" w:cs="Calibri"/>
          <w:b/>
          <w:bCs/>
          <w:sz w:val="22"/>
          <w:szCs w:val="22"/>
          <w:lang w:val="en-US"/>
        </w:rPr>
        <w:t>AP</w:t>
      </w:r>
      <w:r w:rsidRPr="00AF2923">
        <w:rPr>
          <w:rFonts w:ascii="Calibri" w:hAnsi="Calibri" w:cs="Calibri"/>
          <w:sz w:val="22"/>
          <w:szCs w:val="22"/>
          <w:lang w:val="en-US"/>
        </w:rPr>
        <w:t xml:space="preserve"> : Activité physique </w:t>
      </w:r>
    </w:p>
    <w:p w14:paraId="2BF4C077" w14:textId="6B071AD7" w:rsidR="00587AFF" w:rsidRDefault="00587AFF" w:rsidP="00587AFF">
      <w:pPr>
        <w:spacing w:line="240" w:lineRule="auto"/>
        <w:rPr>
          <w:rFonts w:ascii="Calibri" w:hAnsi="Calibri" w:cs="Calibri"/>
          <w:sz w:val="22"/>
          <w:szCs w:val="22"/>
          <w:lang w:val="en-US"/>
        </w:rPr>
      </w:pPr>
      <w:r w:rsidRPr="00587AFF">
        <w:rPr>
          <w:rFonts w:ascii="Calibri" w:hAnsi="Calibri" w:cs="Calibri"/>
          <w:b/>
          <w:bCs/>
          <w:sz w:val="22"/>
          <w:szCs w:val="22"/>
          <w:lang w:val="en-US"/>
        </w:rPr>
        <w:t>MVPA</w:t>
      </w:r>
      <w:r w:rsidRPr="00587AFF">
        <w:rPr>
          <w:rFonts w:ascii="Calibri" w:hAnsi="Calibri" w:cs="Calibri"/>
          <w:sz w:val="22"/>
          <w:szCs w:val="22"/>
          <w:lang w:val="en-US"/>
        </w:rPr>
        <w:t>: moderate to vigorous physical activity</w:t>
      </w:r>
    </w:p>
    <w:p w14:paraId="12569252" w14:textId="590333F8" w:rsidR="0035792B" w:rsidRDefault="0035792B" w:rsidP="00587AFF">
      <w:pPr>
        <w:spacing w:line="240" w:lineRule="auto"/>
        <w:rPr>
          <w:rFonts w:ascii="Calibri" w:hAnsi="Calibri" w:cs="Calibri"/>
          <w:sz w:val="22"/>
          <w:szCs w:val="22"/>
          <w:lang w:val="en-US"/>
        </w:rPr>
      </w:pPr>
      <w:r w:rsidRPr="0035792B">
        <w:rPr>
          <w:rFonts w:ascii="Calibri" w:hAnsi="Calibri" w:cs="Calibri"/>
          <w:b/>
          <w:bCs/>
          <w:sz w:val="22"/>
          <w:szCs w:val="22"/>
          <w:lang w:val="en-US"/>
        </w:rPr>
        <w:t>LPA</w:t>
      </w:r>
      <w:r>
        <w:rPr>
          <w:rFonts w:ascii="Calibri" w:hAnsi="Calibri" w:cs="Calibri"/>
          <w:sz w:val="22"/>
          <w:szCs w:val="22"/>
          <w:lang w:val="en-US"/>
        </w:rPr>
        <w:t xml:space="preserve">: length physical activity </w:t>
      </w:r>
    </w:p>
    <w:p w14:paraId="5F513F6B" w14:textId="6AEDA0A9" w:rsidR="0035792B" w:rsidRDefault="0035792B" w:rsidP="00587AFF">
      <w:pPr>
        <w:spacing w:line="240" w:lineRule="auto"/>
        <w:rPr>
          <w:rFonts w:ascii="Calibri" w:hAnsi="Calibri" w:cs="Calibri"/>
          <w:sz w:val="22"/>
          <w:szCs w:val="22"/>
          <w:lang w:val="en-US"/>
        </w:rPr>
      </w:pPr>
      <w:r w:rsidRPr="0035792B">
        <w:rPr>
          <w:rFonts w:ascii="Calibri" w:hAnsi="Calibri" w:cs="Calibri"/>
          <w:b/>
          <w:bCs/>
          <w:sz w:val="22"/>
          <w:szCs w:val="22"/>
          <w:lang w:val="en-US"/>
        </w:rPr>
        <w:t>MPA</w:t>
      </w:r>
      <w:r>
        <w:rPr>
          <w:rFonts w:ascii="Calibri" w:hAnsi="Calibri" w:cs="Calibri"/>
          <w:sz w:val="22"/>
          <w:szCs w:val="22"/>
          <w:lang w:val="en-US"/>
        </w:rPr>
        <w:t xml:space="preserve">: moderate physical activity </w:t>
      </w:r>
    </w:p>
    <w:p w14:paraId="173E25F8" w14:textId="39395EFE" w:rsidR="0035792B" w:rsidRPr="0035792B" w:rsidRDefault="0035792B" w:rsidP="00587AFF">
      <w:pPr>
        <w:spacing w:line="240" w:lineRule="auto"/>
        <w:rPr>
          <w:rFonts w:ascii="Calibri" w:hAnsi="Calibri" w:cs="Calibri"/>
          <w:sz w:val="22"/>
          <w:szCs w:val="22"/>
        </w:rPr>
      </w:pPr>
      <w:r w:rsidRPr="0035792B">
        <w:rPr>
          <w:rFonts w:ascii="Calibri" w:hAnsi="Calibri" w:cs="Calibri"/>
          <w:b/>
          <w:bCs/>
          <w:sz w:val="22"/>
          <w:szCs w:val="22"/>
        </w:rPr>
        <w:t>VPA</w:t>
      </w:r>
      <w:r>
        <w:rPr>
          <w:rFonts w:ascii="Calibri" w:hAnsi="Calibri" w:cs="Calibri"/>
          <w:sz w:val="22"/>
          <w:szCs w:val="22"/>
        </w:rPr>
        <w:t>: vigorous physical activity</w:t>
      </w:r>
    </w:p>
    <w:p w14:paraId="222CA4B8" w14:textId="0A9D9854" w:rsidR="00587AFF" w:rsidRDefault="00587AFF" w:rsidP="00587AFF">
      <w:pPr>
        <w:spacing w:line="240" w:lineRule="auto"/>
        <w:rPr>
          <w:rFonts w:ascii="Calibri" w:hAnsi="Calibri" w:cs="Calibri"/>
          <w:sz w:val="22"/>
          <w:szCs w:val="22"/>
        </w:rPr>
      </w:pPr>
      <w:r w:rsidRPr="00587AFF">
        <w:rPr>
          <w:rFonts w:ascii="Calibri" w:hAnsi="Calibri" w:cs="Calibri"/>
          <w:b/>
          <w:bCs/>
          <w:sz w:val="22"/>
          <w:szCs w:val="22"/>
        </w:rPr>
        <w:t>CA</w:t>
      </w:r>
      <w:r>
        <w:rPr>
          <w:rFonts w:ascii="Calibri" w:hAnsi="Calibri" w:cs="Calibri"/>
          <w:sz w:val="22"/>
          <w:szCs w:val="22"/>
        </w:rPr>
        <w:t xml:space="preserve"> </w:t>
      </w:r>
      <w:r w:rsidRPr="00587AFF">
        <w:rPr>
          <w:rFonts w:ascii="Calibri" w:hAnsi="Calibri" w:cs="Calibri"/>
          <w:sz w:val="22"/>
          <w:szCs w:val="22"/>
        </w:rPr>
        <w:t>: champs d’apprentissage (4 catégories d</w:t>
      </w:r>
      <w:r>
        <w:rPr>
          <w:rFonts w:ascii="Calibri" w:hAnsi="Calibri" w:cs="Calibri"/>
          <w:sz w:val="22"/>
          <w:szCs w:val="22"/>
        </w:rPr>
        <w:t>e 1 à 4 permettant de classer l’ensemble des Activités physiques et sportives en EPS)</w:t>
      </w:r>
    </w:p>
    <w:p w14:paraId="4C4C3203" w14:textId="0E13BE3F" w:rsidR="00587AFF" w:rsidRPr="00587AFF" w:rsidRDefault="00587AFF" w:rsidP="00587AFF">
      <w:pPr>
        <w:spacing w:line="240" w:lineRule="auto"/>
        <w:rPr>
          <w:rFonts w:ascii="Calibri" w:hAnsi="Calibri" w:cs="Calibri"/>
          <w:sz w:val="22"/>
          <w:szCs w:val="22"/>
        </w:rPr>
      </w:pPr>
      <w:r w:rsidRPr="00587AFF">
        <w:rPr>
          <w:rFonts w:ascii="Calibri" w:hAnsi="Calibri" w:cs="Calibri"/>
          <w:b/>
          <w:bCs/>
          <w:sz w:val="22"/>
          <w:szCs w:val="22"/>
        </w:rPr>
        <w:t>IPS</w:t>
      </w:r>
      <w:r>
        <w:rPr>
          <w:rFonts w:ascii="Calibri" w:hAnsi="Calibri" w:cs="Calibri"/>
          <w:sz w:val="22"/>
          <w:szCs w:val="22"/>
        </w:rPr>
        <w:t xml:space="preserve"> : indice de position sociale </w:t>
      </w:r>
    </w:p>
    <w:p w14:paraId="5D46D325" w14:textId="77777777" w:rsidR="00587AFF" w:rsidRPr="00587AFF" w:rsidRDefault="00587AFF" w:rsidP="00587AFF">
      <w:pPr>
        <w:spacing w:line="360" w:lineRule="auto"/>
        <w:jc w:val="center"/>
        <w:rPr>
          <w:rFonts w:ascii="Calibri" w:hAnsi="Calibri" w:cs="Calibri"/>
          <w:b/>
          <w:bCs/>
          <w:color w:val="156082" w:themeColor="accent1"/>
        </w:rPr>
      </w:pPr>
    </w:p>
    <w:p w14:paraId="2E913700" w14:textId="115DF9DA" w:rsidR="00587AFF" w:rsidRPr="00042A30" w:rsidRDefault="00587AFF" w:rsidP="00587AFF">
      <w:pPr>
        <w:spacing w:line="360" w:lineRule="auto"/>
        <w:jc w:val="center"/>
        <w:rPr>
          <w:rFonts w:ascii="Calibri" w:hAnsi="Calibri" w:cs="Calibri"/>
          <w:b/>
          <w:bCs/>
          <w:color w:val="156082" w:themeColor="accent1"/>
        </w:rPr>
      </w:pPr>
      <w:r w:rsidRPr="00042A30">
        <w:rPr>
          <w:rFonts w:ascii="Calibri" w:hAnsi="Calibri" w:cs="Calibri"/>
          <w:b/>
          <w:bCs/>
          <w:color w:val="156082" w:themeColor="accent1"/>
        </w:rPr>
        <w:t>Introduction</w:t>
      </w:r>
    </w:p>
    <w:p w14:paraId="13F7D97D" w14:textId="77777777" w:rsidR="00587AFF" w:rsidRDefault="00587AFF" w:rsidP="00587AFF">
      <w:pPr>
        <w:spacing w:line="360" w:lineRule="auto"/>
        <w:ind w:firstLine="708"/>
        <w:jc w:val="both"/>
        <w:rPr>
          <w:rFonts w:ascii="Calibri" w:hAnsi="Calibri" w:cs="Calibri"/>
          <w:sz w:val="22"/>
          <w:szCs w:val="22"/>
        </w:rPr>
      </w:pPr>
      <w:r>
        <w:rPr>
          <w:rFonts w:ascii="Calibri" w:hAnsi="Calibri" w:cs="Calibri"/>
          <w:sz w:val="22"/>
          <w:szCs w:val="22"/>
        </w:rPr>
        <w:t xml:space="preserve">La baisse du niveau d’activité physique et la hausse de la sédentarité sont des enjeux sanitaires et sociaux majeurs dans nos sociétés. Selon l’OMS, plus d’un quart de la population mondiale adulte n’est pas suffisamment active et les niveaux de sédentarité sont deux fois plus élevés dans les pays à revenu élevé que dans les pays à faible revenu. Pour contrer cette tendance, l’OMS préconise pour les adultes 30min d’activité physique par jour </w:t>
      </w:r>
      <w:r>
        <w:rPr>
          <w:rFonts w:ascii="Calibri" w:hAnsi="Calibri" w:cs="Calibri"/>
          <w:sz w:val="22"/>
          <w:szCs w:val="22"/>
        </w:rPr>
        <w:fldChar w:fldCharType="begin"/>
      </w:r>
      <w:r>
        <w:rPr>
          <w:rFonts w:ascii="Calibri" w:hAnsi="Calibri" w:cs="Calibri"/>
          <w:sz w:val="22"/>
          <w:szCs w:val="22"/>
        </w:rPr>
        <w:instrText xml:space="preserve"> ADDIN ZOTERO_ITEM CSL_CITATION {"citationID":"my9jFZRB","properties":{"formattedCitation":"(Organisation mondiale de la Sant\\uc0\\u233{}, 2021)","plainCitation":"(Organisation mondiale de la Santé, 2021)","noteIndex":0},"citationItems":[{"id":444,"uris":["http://zotero.org/users/7342294/items/Z6RILVDZ"],"itemData":{"id":444,"type":"book","event-place":"Genève","ISBN":"978-92-4-003211-8","language":"fr","note":"section: viii, 93 p.","publisher":"Organisation mondiale de la Santé","publisher-place":"Genève","source":"WHO IRIS","title":"Lignes directrices de l’OMS sur l’activité physique et la sédentarité","URL":"https://apps.who.int/iris/handle/10665/349728","author":[{"literal":"Organisation mondiale de la Santé"}],"accessed":{"date-parts":[["2022",5,31]]},"issued":{"date-parts":[["2021"]]}}}],"schema":"https://github.com/citation-style-language/schema/raw/master/csl-citation.json"} </w:instrText>
      </w:r>
      <w:r>
        <w:rPr>
          <w:rFonts w:ascii="Calibri" w:hAnsi="Calibri" w:cs="Calibri"/>
          <w:sz w:val="22"/>
          <w:szCs w:val="22"/>
        </w:rPr>
        <w:fldChar w:fldCharType="separate"/>
      </w:r>
      <w:r w:rsidRPr="001D5EBC">
        <w:rPr>
          <w:rFonts w:ascii="Calibri" w:hAnsi="Calibri" w:cs="Calibri"/>
          <w:kern w:val="0"/>
          <w:sz w:val="22"/>
        </w:rPr>
        <w:t>(Organisation mondiale de la Santé, 2021)</w:t>
      </w:r>
      <w:r>
        <w:rPr>
          <w:rFonts w:ascii="Calibri" w:hAnsi="Calibri" w:cs="Calibri"/>
          <w:sz w:val="22"/>
          <w:szCs w:val="22"/>
        </w:rPr>
        <w:fldChar w:fldCharType="end"/>
      </w:r>
      <w:r>
        <w:rPr>
          <w:rFonts w:ascii="Calibri" w:hAnsi="Calibri" w:cs="Calibri"/>
          <w:sz w:val="22"/>
          <w:szCs w:val="22"/>
        </w:rPr>
        <w:t xml:space="preserve">. Le manque d’activité physique est associé à des problèmes sociaux et sanitaires </w:t>
      </w:r>
      <w:r>
        <w:rPr>
          <w:rFonts w:ascii="Calibri" w:hAnsi="Calibri" w:cs="Calibri"/>
          <w:sz w:val="22"/>
          <w:szCs w:val="22"/>
        </w:rPr>
        <w:fldChar w:fldCharType="begin"/>
      </w:r>
      <w:r>
        <w:rPr>
          <w:rFonts w:ascii="Calibri" w:hAnsi="Calibri" w:cs="Calibri"/>
          <w:sz w:val="22"/>
          <w:szCs w:val="22"/>
        </w:rPr>
        <w:instrText xml:space="preserve"> ADDIN ZOTERO_ITEM CSL_CITATION {"citationID":"xYfgwCNw","properties":{"formattedCitation":"(Ekelund et al., 2019)","plainCitation":"(Ekelund et al., 2019)","noteIndex":0},"citationItems":[{"id":3816,"uris":["http://zotero.org/users/7342294/items/T2SBXKVA"],"itemData":{"id":3816,"type":"article-journal","abstract":"Objective To examine the dose-response associations between accelerometer assessed total physical activity, different intensities of physical activity, and sedentary time and all cause mortality.\nDesign Systematic review and harmonised meta-analysis.\nData sources PubMed, PsycINFO, Embase, Web of Science, Sport Discus from inception to 31 July 2018.\nEligibility criteria Prospective cohort studies assessing physical activity and sedentary time by accelerometry and associations with all cause mortality and reported effect estimates as hazard ratios, odds ratios, or relative risks with 95% confidence intervals.\nData extraction and analysis Guidelines for meta-analyses and systematic reviews for observational studies and PRISMA guidelines were followed. Two authors independently screened the titles and abstracts. One author performed a full text review and another extracted the data. Two authors independently assessed the risk of bias. Individual level participant data were harmonised and analysed at study level. Data on physical activity were categorised by quarters at study level, and study specific associations with all cause mortality were analysed using Cox proportional hazards regression analyses. Study specific results were summarised using random effects meta-analysis.\nMain outcome measure All cause mortality.\nResults 39 studies were retrieved for full text review; 10 were eligible for inclusion, three were excluded owing to harmonisation challenges (eg, wrist placement of the accelerometer), and one study did not participate. Two additional studies with unpublished mortality data were also included. Thus, individual level data from eight studies (n=36 383; mean age 62.6 years; 72.8% women), with median follow-up of 5.8 years (range 3.0-14.5 years) and 2149 (5.9%) deaths were analysed. Any physical activity, regardless of intensity, was associated with lower risk of mortality, with a non-linear dose-response. Hazards ratios for mortality were 1.00 (referent) in the first quarter (least active), 0.48 (95% confidence interval 0.43 to 0.54) in the second quarter, 0.34 (0.26 to 0.45) in the third quarter, and 0.27 (0.23 to 0.32) in the fourth quarter (most active). Corresponding hazards ratios for light physical activity were 1.00, 0.60 (0.54 to 0.68), 0.44 (0.38 to 0.51), and 0.38 (0.28 to 0.51), and for moderate-to-vigorous physical activity were 1.00, 0.64 (0.55 to 0.74), 0.55 (0.40 to 0.74), and 0.52 (0.43 to 0.61). For sedentary time, hazards ratios were 1.00 (referent; least sedentary), 1.28 (1.09 to 1.51), 1.71 (1.36 to 2.15), and 2.63 (1.94 to 3.56).\nConclusion Higher levels of total physical activity, at any intensity, and less time spent sedentary, are associated with substantially reduced risk for premature mortality, with evidence of a non-linear dose-response pattern in middle aged and older adults.\nSystematic review registration PROSPERO CRD42018091808.","container-title":"BMJ","DOI":"10.1136/bmj.l4570","ISSN":"0959-8138, 1756-1833","journalAbbreviation":"BMJ","language":"en","license":"Published by the BMJ Publishing Group Limited. For permission to use (where not already granted under a licence) please go to http://group.bmj.com/group/rights-licensing/permissions. 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and the use is non-commercial. See: http://creativecommons.org/licenses/by-nc/4.0/.","note":"publisher: British Medical Journal Publishing Group\nsection: Research\nPMID: 31434697","page":"l4570","source":"www.bmj.com","title":"Dose-response associations between accelerometry measured physical activity and sedentary time and all cause mortality: systematic review and harmonised meta-analysis","title-short":"Dose-response associations between accelerometry measured physical activity and sedentary time and all cause mortality","volume":"366","author":[{"family":"Ekelund","given":"Ulf"},{"family":"Tarp","given":"Jakob"},{"family":"Steene-Johannessen","given":"Jostein"},{"family":"Hansen","given":"Bjørge H."},{"family":"Jefferis","given":"Barbara"},{"family":"Fagerland","given":"Morten W."},{"family":"Whincup","given":"Peter"},{"family":"Diaz","given":"Keith M."},{"family":"Hooker","given":"Steven P."},{"family":"Chernofsky","given":"Ariel"},{"family":"Larson","given":"Martin G."},{"family":"Spartano","given":"Nicole"},{"family":"Vasan","given":"Ramachandran S."},{"family":"Dohrn","given":"Ing-Mari"},{"family":"Hagströmer","given":"Maria"},{"family":"Edwardson","given":"Charlotte"},{"family":"Yates","given":"Thomas"},{"family":"Shiroma","given":"Eric"},{"family":"Anderssen","given":"Sigmund A."},{"family":"Lee","given":"I.-Min"}],"issued":{"date-parts":[["2019",8,21]]}}}],"schema":"https://github.com/citation-style-language/schema/raw/master/csl-citation.json"} </w:instrText>
      </w:r>
      <w:r>
        <w:rPr>
          <w:rFonts w:ascii="Calibri" w:hAnsi="Calibri" w:cs="Calibri"/>
          <w:sz w:val="22"/>
          <w:szCs w:val="22"/>
        </w:rPr>
        <w:fldChar w:fldCharType="separate"/>
      </w:r>
      <w:r w:rsidRPr="001D5EBC">
        <w:rPr>
          <w:rFonts w:ascii="Calibri" w:hAnsi="Calibri" w:cs="Calibri"/>
          <w:sz w:val="22"/>
        </w:rPr>
        <w:t>(Ekelund et al., 2019)</w:t>
      </w:r>
      <w:r>
        <w:rPr>
          <w:rFonts w:ascii="Calibri" w:hAnsi="Calibri" w:cs="Calibri"/>
          <w:sz w:val="22"/>
          <w:szCs w:val="22"/>
        </w:rPr>
        <w:fldChar w:fldCharType="end"/>
      </w:r>
      <w:r>
        <w:rPr>
          <w:rFonts w:ascii="Calibri" w:hAnsi="Calibri" w:cs="Calibri"/>
          <w:sz w:val="22"/>
          <w:szCs w:val="22"/>
        </w:rPr>
        <w:t>. La recherche met en avant des liens entre un niveau d’activité physique insuffisante et des risques accrus de contracter des maladies non transmissibles ou d’avoir des problèmes cardiaques ; le risque d’obésité et de diabètes de type 2 sont également accru. Aux problèmes sanitaires s’ajoutent des problèmes sociaux économiques, o</w:t>
      </w:r>
      <w:r w:rsidRPr="0098178F">
        <w:rPr>
          <w:rFonts w:ascii="Calibri" w:hAnsi="Calibri" w:cs="Calibri"/>
          <w:sz w:val="22"/>
          <w:szCs w:val="22"/>
        </w:rPr>
        <w:t>n estime à 53,8 milliards de dollars les dépenses de santé et à 13,7 milliards les pertes de productivités liées à l’inactivité physique (</w:t>
      </w:r>
      <w:r w:rsidRPr="0016746A">
        <w:rPr>
          <w:rFonts w:ascii="Calibri" w:hAnsi="Calibri" w:cs="Calibri"/>
          <w:sz w:val="22"/>
          <w:szCs w:val="22"/>
        </w:rPr>
        <w:t>ONAPS 2017).</w:t>
      </w:r>
    </w:p>
    <w:p w14:paraId="265F45C3" w14:textId="77777777" w:rsidR="00587AFF" w:rsidRDefault="00587AFF" w:rsidP="00587AFF">
      <w:pPr>
        <w:spacing w:line="360" w:lineRule="auto"/>
        <w:ind w:firstLine="708"/>
        <w:jc w:val="both"/>
        <w:rPr>
          <w:rFonts w:ascii="Calibri" w:hAnsi="Calibri" w:cs="Calibri"/>
          <w:sz w:val="22"/>
          <w:szCs w:val="22"/>
        </w:rPr>
      </w:pPr>
      <w:r w:rsidRPr="00982502">
        <w:rPr>
          <w:rFonts w:ascii="Calibri" w:hAnsi="Calibri" w:cs="Calibri"/>
          <w:sz w:val="22"/>
          <w:szCs w:val="22"/>
        </w:rPr>
        <w:t>Les adolescents sont particulièrement touché</w:t>
      </w:r>
      <w:r>
        <w:rPr>
          <w:rFonts w:ascii="Calibri" w:hAnsi="Calibri" w:cs="Calibri"/>
          <w:sz w:val="22"/>
          <w:szCs w:val="22"/>
        </w:rPr>
        <w:t>s</w:t>
      </w:r>
      <w:r w:rsidRPr="00982502">
        <w:rPr>
          <w:rFonts w:ascii="Calibri" w:hAnsi="Calibri" w:cs="Calibri"/>
          <w:sz w:val="22"/>
          <w:szCs w:val="22"/>
        </w:rPr>
        <w:t xml:space="preserve"> par ce manque d’activité physique, avec 81% des adolescents qui ne sont pas assez actifs selon l’OMS (Organisation mondiale de la Santé, 2021). L’OMS préconise pour les enfants et adolescents de 5 à 17 ans 60</w:t>
      </w:r>
      <w:r>
        <w:rPr>
          <w:rFonts w:ascii="Calibri" w:hAnsi="Calibri" w:cs="Calibri"/>
          <w:sz w:val="22"/>
          <w:szCs w:val="22"/>
        </w:rPr>
        <w:t xml:space="preserve"> </w:t>
      </w:r>
      <w:r w:rsidRPr="00982502">
        <w:rPr>
          <w:rFonts w:ascii="Calibri" w:hAnsi="Calibri" w:cs="Calibri"/>
          <w:sz w:val="22"/>
          <w:szCs w:val="22"/>
        </w:rPr>
        <w:t>minutes par jour d’activité physique d’intensité modérée à soutenue et au moins trois fois par semaine des activités d’endurance d’intensité soutenue et des activités renforçant le système musculaire et l’état osseux. Selon l’étude de Varma</w:t>
      </w:r>
      <w:r>
        <w:rPr>
          <w:rFonts w:ascii="Calibri" w:hAnsi="Calibri" w:cs="Calibri"/>
          <w:sz w:val="22"/>
          <w:szCs w:val="22"/>
        </w:rPr>
        <w:t xml:space="preserve"> (2017),</w:t>
      </w:r>
      <w:r w:rsidRPr="00982502">
        <w:rPr>
          <w:rFonts w:ascii="Calibri" w:hAnsi="Calibri" w:cs="Calibri"/>
          <w:sz w:val="22"/>
          <w:szCs w:val="22"/>
        </w:rPr>
        <w:t xml:space="preserve"> l’enfance et l’adolescence constituent une période critique en termes d'activité physique durant laquelle celle-ci tend à décroître jusqu’à l’âge adulte</w:t>
      </w:r>
      <w:r>
        <w:rPr>
          <w:rFonts w:ascii="Calibri" w:hAnsi="Calibri" w:cs="Calibri"/>
          <w:sz w:val="22"/>
          <w:szCs w:val="22"/>
        </w:rPr>
        <w:t>. L</w:t>
      </w:r>
      <w:r w:rsidRPr="00982502">
        <w:rPr>
          <w:rFonts w:ascii="Calibri" w:hAnsi="Calibri" w:cs="Calibri"/>
          <w:sz w:val="22"/>
          <w:szCs w:val="22"/>
        </w:rPr>
        <w:t>es jeunes filles sont plus particulièrement touchées par ce phénomène (Varma et al, 2017).</w:t>
      </w:r>
    </w:p>
    <w:p w14:paraId="300409E8" w14:textId="77777777" w:rsidR="00587AFF" w:rsidRDefault="00587AFF" w:rsidP="00587AFF">
      <w:pPr>
        <w:spacing w:line="360" w:lineRule="auto"/>
        <w:ind w:firstLine="708"/>
        <w:jc w:val="both"/>
        <w:rPr>
          <w:rFonts w:ascii="Calibri" w:hAnsi="Calibri" w:cs="Calibri"/>
          <w:sz w:val="22"/>
          <w:szCs w:val="22"/>
        </w:rPr>
      </w:pPr>
      <w:r w:rsidRPr="00982502">
        <w:rPr>
          <w:rFonts w:ascii="Calibri" w:hAnsi="Calibri" w:cs="Calibri"/>
          <w:sz w:val="22"/>
          <w:szCs w:val="22"/>
        </w:rPr>
        <w:lastRenderedPageBreak/>
        <w:t>Malgré des progrès significatifs dans la promotion de l'équité entre les sexes dans divers domaines,</w:t>
      </w:r>
      <w:r>
        <w:rPr>
          <w:rFonts w:ascii="Calibri" w:hAnsi="Calibri" w:cs="Calibri"/>
          <w:sz w:val="22"/>
          <w:szCs w:val="22"/>
        </w:rPr>
        <w:t xml:space="preserve"> </w:t>
      </w:r>
      <w:r w:rsidRPr="00982502">
        <w:rPr>
          <w:rFonts w:ascii="Calibri" w:hAnsi="Calibri" w:cs="Calibri"/>
          <w:sz w:val="22"/>
          <w:szCs w:val="22"/>
        </w:rPr>
        <w:t>l'égalité</w:t>
      </w:r>
      <w:r>
        <w:rPr>
          <w:rFonts w:ascii="Calibri" w:hAnsi="Calibri" w:cs="Calibri"/>
          <w:sz w:val="22"/>
          <w:szCs w:val="22"/>
        </w:rPr>
        <w:t xml:space="preserve"> </w:t>
      </w:r>
      <w:r w:rsidRPr="00982502">
        <w:rPr>
          <w:rFonts w:ascii="Calibri" w:hAnsi="Calibri" w:cs="Calibri"/>
          <w:sz w:val="22"/>
          <w:szCs w:val="22"/>
        </w:rPr>
        <w:t>réelle reste difficile à atteindre dans de nombreuses facettes de la société (Rapport sur le développement durable 2020) et l'AP ne fait pas exception à la règle.</w:t>
      </w:r>
      <w:r>
        <w:rPr>
          <w:rFonts w:ascii="Calibri" w:hAnsi="Calibri" w:cs="Calibri"/>
          <w:sz w:val="22"/>
          <w:szCs w:val="22"/>
        </w:rPr>
        <w:t xml:space="preserve"> On retrouve des écarts de niveau d’activité physique entre les filles et les garçons à différents niveaux. Au niveau européen, 92% des filles ne sont pas assez actives pour seulement 82% de garçons selon l’étude Kalman </w:t>
      </w:r>
      <w:r>
        <w:rPr>
          <w:rFonts w:ascii="Calibri" w:hAnsi="Calibri" w:cs="Calibri"/>
          <w:sz w:val="22"/>
          <w:szCs w:val="22"/>
        </w:rPr>
        <w:fldChar w:fldCharType="begin"/>
      </w:r>
      <w:r>
        <w:rPr>
          <w:rFonts w:ascii="Calibri" w:hAnsi="Calibri" w:cs="Calibri"/>
          <w:sz w:val="22"/>
          <w:szCs w:val="22"/>
        </w:rPr>
        <w:instrText xml:space="preserve"> ADDIN ZOTERO_ITEM CSL_CITATION {"citationID":"hwBIgt6i","properties":{"formattedCitation":"(Kalman et al., 2015)","plainCitation":"(Kalman et al., 2015)","noteIndex":0},"citationItems":[{"id":303,"uris":["http://zotero.org/users/7342294/items/FGNTIJPG"],"itemData":{"id":303,"type":"article-journal","abstract":"Background: Sufficient levels of moderate to vigorous physical activity (MVPA) give substantial health benefits to adolescents. This article examines trends in physical activity (PA) from 2002 to 2010 across 32 countries from Europe and North America. Methods: Representative samples included 479 674 pupils (49% boys) aged 11 years (n = 156 383), 13 years (n = 163 729) and 15 years (n = 159 562). The trends in meeting the recommendations for PA (at least 60 min daily) were evaluated using logistic regression. Results: There was a slight overall increase between 2002 and 2010 (17.0% and 18.6%, respectively). MVPA increased significantly (P ≤ 0.05) among boys in 16 countries. Conversely, nine countries showed a significant decrease. Among girls, 10 countries showed a significant increase (P ≤ 0.05). Eight countries showed a significant decrease. For all countries combined, girls were slightly less likely to show an increase in PA over time. Conclusions: The majority of adolescents do not meet current recommendations of PA. Further investment at national and international levels is therefore necessary to increase PA participation among children and adolescents and reduce the future health burden associated with inactivity.","container-title":"European Journal of Public Health","DOI":"10.1093/eurpub/ckv024","ISSN":"1101-1262","issue":"suppl_2","journalAbbreviation":"European Journal of Public Health","page":"37-40","source":"Silverchair","title":"Secular trends in moderate-to-vigorous physical activity in 32 countries from 2002 to 2010: a cross-national perspective","title-short":"Secular trends in moderate-to-vigorous physical activity in 32 countries from 2002 to 2010","volume":"25","author":[{"family":"Kalman","given":"Michal"},{"family":"Inchley","given":"Jo"},{"family":"Sigmundova","given":"Dagmar"},{"family":"Iannotti","given":"Ronald J."},{"family":"Tynjälä","given":"Jorma A."},{"family":"Hamrik","given":"Zdenek"},{"family":"Haug","given":"Ellen"},{"family":"Bucksch","given":"Jens"}],"issued":{"date-parts":[["2015",4,1]]}}}],"schema":"https://github.com/citation-style-language/schema/raw/master/csl-citation.json"} </w:instrText>
      </w:r>
      <w:r>
        <w:rPr>
          <w:rFonts w:ascii="Calibri" w:hAnsi="Calibri" w:cs="Calibri"/>
          <w:sz w:val="22"/>
          <w:szCs w:val="22"/>
        </w:rPr>
        <w:fldChar w:fldCharType="separate"/>
      </w:r>
      <w:r w:rsidRPr="00982502">
        <w:rPr>
          <w:rFonts w:ascii="Calibri" w:hAnsi="Calibri" w:cs="Calibri"/>
          <w:sz w:val="22"/>
        </w:rPr>
        <w:t>(2015)</w:t>
      </w:r>
      <w:r>
        <w:rPr>
          <w:rFonts w:ascii="Calibri" w:hAnsi="Calibri" w:cs="Calibri"/>
          <w:sz w:val="22"/>
          <w:szCs w:val="22"/>
        </w:rPr>
        <w:fldChar w:fldCharType="end"/>
      </w:r>
      <w:r>
        <w:rPr>
          <w:rFonts w:ascii="Calibri" w:hAnsi="Calibri" w:cs="Calibri"/>
          <w:sz w:val="22"/>
          <w:szCs w:val="22"/>
        </w:rPr>
        <w:t xml:space="preserve">. Cette tendance se confirme à l’échelle mondiale avec en 2016, 81% des adolescents de 11 à 17 ans qui n’étaient pas suffisamment actifs-77% de garçons et 84% de filles </w:t>
      </w:r>
      <w:r>
        <w:rPr>
          <w:rFonts w:ascii="Calibri" w:hAnsi="Calibri" w:cs="Calibri"/>
          <w:sz w:val="22"/>
          <w:szCs w:val="22"/>
        </w:rPr>
        <w:fldChar w:fldCharType="begin"/>
      </w:r>
      <w:r>
        <w:rPr>
          <w:rFonts w:ascii="Calibri" w:hAnsi="Calibri" w:cs="Calibri"/>
          <w:sz w:val="22"/>
          <w:szCs w:val="22"/>
        </w:rPr>
        <w:instrText xml:space="preserve"> ADDIN ZOTERO_ITEM CSL_CITATION {"citationID":"3JwydIJe","properties":{"formattedCitation":"(Guthold et al., 2020)","plainCitation":"(Guthold et al., 2020)","noteIndex":0},"citationItems":[{"id":3822,"uris":["http://zotero.org/users/7342294/items/9N8N7K59"],"itemData":{"id":3822,"type":"article-journal","container-title":"The Lancet Child &amp; Adolescent Health","DOI":"10.1016/S2352-4642(19)30323-2","ISSN":"2352-4642, 2352-4650","issue":"1","journalAbbreviation":"The Lancet Child &amp; Adolescent Health","language":"English","note":"publisher: Elsevier\nPMID: 31761562","page":"23-35","source":"www.thelancet.com","title":"Global trends in insufficient physical activity among adolescents: a pooled analysis of 298 population-based surveys with 1·6 million participants","title-short":"Global trends in insufficient physical activity among adolescents","volume":"4","author":[{"family":"Guthold","given":"Regina"},{"family":"Stevens","given":"Gretchen A."},{"family":"Riley","given":"Leanne M."},{"family":"Bull","given":"Fiona C."}],"issued":{"date-parts":[["2020",1,1]]}}}],"schema":"https://github.com/citation-style-language/schema/raw/master/csl-citation.json"} </w:instrText>
      </w:r>
      <w:r>
        <w:rPr>
          <w:rFonts w:ascii="Calibri" w:hAnsi="Calibri" w:cs="Calibri"/>
          <w:sz w:val="22"/>
          <w:szCs w:val="22"/>
        </w:rPr>
        <w:fldChar w:fldCharType="separate"/>
      </w:r>
      <w:r w:rsidRPr="00F7414F">
        <w:rPr>
          <w:rFonts w:ascii="Calibri" w:hAnsi="Calibri" w:cs="Calibri"/>
          <w:sz w:val="22"/>
        </w:rPr>
        <w:t>(Guthold et al., 2020)</w:t>
      </w:r>
      <w:r>
        <w:rPr>
          <w:rFonts w:ascii="Calibri" w:hAnsi="Calibri" w:cs="Calibri"/>
          <w:sz w:val="22"/>
          <w:szCs w:val="22"/>
        </w:rPr>
        <w:fldChar w:fldCharType="end"/>
      </w:r>
      <w:r>
        <w:rPr>
          <w:rFonts w:ascii="Calibri" w:hAnsi="Calibri" w:cs="Calibri"/>
          <w:sz w:val="22"/>
          <w:szCs w:val="22"/>
        </w:rPr>
        <w:t>.</w:t>
      </w:r>
    </w:p>
    <w:p w14:paraId="25FCC85F" w14:textId="77777777" w:rsidR="00587AFF" w:rsidRDefault="00587AFF" w:rsidP="00587AFF">
      <w:pPr>
        <w:tabs>
          <w:tab w:val="left" w:pos="709"/>
        </w:tabs>
        <w:spacing w:line="360" w:lineRule="auto"/>
        <w:jc w:val="both"/>
        <w:rPr>
          <w:rFonts w:ascii="Calibri" w:hAnsi="Calibri" w:cs="Calibri"/>
          <w:sz w:val="22"/>
          <w:szCs w:val="22"/>
        </w:rPr>
      </w:pPr>
      <w:r>
        <w:rPr>
          <w:rFonts w:ascii="Calibri" w:hAnsi="Calibri" w:cs="Calibri"/>
          <w:sz w:val="22"/>
          <w:szCs w:val="22"/>
        </w:rPr>
        <w:tab/>
        <w:t xml:space="preserve">L’EPS n’échappe pas à ces problématiques d’équité entre les sexes, la recherche met en avant des inégalités à différents niveaux. Les filles réussissent en moyenne moins bien que les garçons en EPS au niveau sommatif </w:t>
      </w:r>
      <w:r>
        <w:rPr>
          <w:rFonts w:ascii="Calibri" w:hAnsi="Calibri" w:cs="Calibri"/>
          <w:sz w:val="22"/>
          <w:szCs w:val="22"/>
        </w:rPr>
        <w:fldChar w:fldCharType="begin"/>
      </w:r>
      <w:r>
        <w:rPr>
          <w:rFonts w:ascii="Calibri" w:hAnsi="Calibri" w:cs="Calibri"/>
          <w:sz w:val="22"/>
          <w:szCs w:val="22"/>
        </w:rPr>
        <w:instrText xml:space="preserve"> ADDIN ZOTERO_ITEM CSL_CITATION {"citationID":"NXMjELl4","properties":{"formattedCitation":"(Lentillon-Kaestner &amp; Cog\\uc0\\u233{}rino, 2005a)","plainCitation":"(Lentillon-Kaestner &amp; Cogérino, 2005a)","noteIndex":0},"citationItems":[{"id":306,"uris":["http://zotero.org/users/7342294/items/EMJKK5CT"],"itemData":{"id":306,"type":"article-journal","abstract":"&lt;titre&gt;R&amp;#233;sum&amp;#233;&lt;/titre&gt; L&amp;#8217;objectif est de caract&amp;#233;riser les in&amp;#233;galit&amp;#233;s de sexe per&amp;#231;ues par les &amp;#233;l&amp;#232;ves et leurs sentiments d&amp;#8217;injustice : l&amp;#8217;&amp;#233;cart de r&amp;#233;sultats obtenus en EPS s&amp;#8217;accompagne-t-il de diff&amp;#233;rences d&amp;#8217;opinions entre les filles et les gar&amp;#231;ons vis-&amp;#224;-vis de l&amp;#8217;&amp;#233;valuation ? Deux approches ont &amp;#233;t&amp;#233; entreprises, une par questionnaires et l&amp;#8217;autre par entretiens semi-directifs collectifs. Les filles de Coll&amp;#232;ge ne per&amp;#231;oivent pas plus d&amp;#8217;in&amp;#233;galit&amp;#233;s li&amp;#233;es aux sexes en EPS que les gar&amp;#231;ons. Par contre, ces in&amp;#233;galit&amp;#233;s sont davantage per&amp;#231;ues en fin de scolarit&amp;#233; de Coll&amp;#232;ge (4e/3e) et par les &amp;#233;l&amp;#232;ves de d&amp;#233;but de scolarit&amp;#233; (6e/5e) de milieu d&amp;#233;favoris&amp;#233; compar&amp;#233;s &amp;#224; ceux de milieu favoris&amp;#233;. Or ces in&amp;#233;galit&amp;#233;s ne sont pas toujours assimil&amp;#233;es &amp;#224; des injustices. Seuls les gar&amp;#231;ons de fin de scolarit&amp;#233; per&amp;#231;oivent des injustices entre les sexes. Les &amp;#233;l&amp;#232;ves de d&amp;#233;but de scolarit&amp;#233; (6e/5e) per&amp;#231;oivent une injustice non pas par rapport au sexe mais par rapport &amp;#224; la pratique sportive extra-scolaire, entre &amp;#171; sportifs &amp;#187; et &amp;#171; novices &amp;#187;. Ces r&amp;#233;sultats permettent de questionner l&amp;#8217;importance des in&amp;#233;galit&amp;#233;s entre les sexes en EPS. Les filles ont d&amp;#8217;une certaine mani&amp;#232;re int&amp;#233;rioris&amp;#233; leur statut d&amp;#8217;inf&amp;#233;riorit&amp;#233; en EPS.","container-title":"Staps","ISSN":"0247-106X","issue":"2","language":"fr","note":"publisher: De Boeck Supérieur","page":"77-93","source":"www.cairn.info","title":"Les inégalités entre les sexes dans l'évaluation en EPS : sentiment d'injustice chez les collégiens","title-short":"Les inégalités entre les sexes dans l'évaluation en EPS","volume":"no 68","author":[{"family":"Lentillon-Kaestner","given":"Vanessa"},{"family":"Cogérino","given":"Geneviève"}],"issued":{"date-parts":[["2005",10,1]]}}}],"schema":"https://github.com/citation-style-language/schema/raw/master/csl-citation.json"} </w:instrText>
      </w:r>
      <w:r>
        <w:rPr>
          <w:rFonts w:ascii="Calibri" w:hAnsi="Calibri" w:cs="Calibri"/>
          <w:sz w:val="22"/>
          <w:szCs w:val="22"/>
        </w:rPr>
        <w:fldChar w:fldCharType="separate"/>
      </w:r>
      <w:r w:rsidRPr="00F532E4">
        <w:rPr>
          <w:rFonts w:ascii="Calibri" w:hAnsi="Calibri" w:cs="Calibri"/>
          <w:kern w:val="0"/>
          <w:sz w:val="22"/>
        </w:rPr>
        <w:t>(Lentillon-Kaestner &amp; Cogérino, 2005)</w:t>
      </w:r>
      <w:r>
        <w:rPr>
          <w:rFonts w:ascii="Calibri" w:hAnsi="Calibri" w:cs="Calibri"/>
          <w:sz w:val="22"/>
          <w:szCs w:val="22"/>
        </w:rPr>
        <w:fldChar w:fldCharType="end"/>
      </w:r>
      <w:r>
        <w:rPr>
          <w:rFonts w:ascii="Calibri" w:hAnsi="Calibri" w:cs="Calibri"/>
          <w:sz w:val="22"/>
          <w:szCs w:val="22"/>
        </w:rPr>
        <w:t xml:space="preserve">. Les rapports et interactions entre enseignants et élèves sont différenciés selon le sexe, avec une attention et des feed-back moins accrus pour les filles que pour les garçons </w:t>
      </w:r>
      <w:r>
        <w:rPr>
          <w:rFonts w:ascii="Calibri" w:hAnsi="Calibri" w:cs="Calibri"/>
          <w:sz w:val="22"/>
          <w:szCs w:val="22"/>
        </w:rPr>
        <w:fldChar w:fldCharType="begin"/>
      </w:r>
      <w:r>
        <w:rPr>
          <w:rFonts w:ascii="Calibri" w:hAnsi="Calibri" w:cs="Calibri"/>
          <w:sz w:val="22"/>
          <w:szCs w:val="22"/>
        </w:rPr>
        <w:instrText xml:space="preserve"> ADDIN ZOTERO_ITEM CSL_CITATION {"citationID":"AjctdeVV","properties":{"formattedCitation":"(Bonniot-Paquien et al., 2009a)","plainCitation":"(Bonniot-Paquien et al., 2009a)","noteIndex":0},"citationItems":[{"id":169,"uris":["http://zotero.org/users/7342294/items/FCLQ4TM6"],"itemData":{"id":169,"type":"article-journal","abstract":"Cet article présente les principaux résultats d’une recherche portant sur les interventions des enseignants d’éducation physique et sportive (EPS) auprès des élèves présentant des comportements hors tâche ou passifs lors des séances. L’objectif est d’étudier les différences de fréquence, de rapidité et de style de ces interventions selon le sexe des élèves et le niveau d’attente exprimé par les enseignants à leur égard, ainsi que d’approcher les stéréotypes de sexe véhiculés par les enseignants eux-mêmes pour expliquer ces décrochages. Vingt-quatre heures d’enregistrement vidéo ont été réalisées en contexte naturel de classe, complétées par des entretiens d’autoconfrontation avec les enseignants. Les principaux résultats montrent qu’ils interviennent plus systématiquement et plus rapidement auprès des garçons qui décrochent de l’activité. Ils adoptent un style plus contrôlant lorsqu’ils interviennent auprès des élèves, filles et garçons, qu’ils considèrent comme peu motivés. Leurs propos lorsqu’ils décrivent et cherchent à expliquer les comportements déviants observés sont marqués par les stéréotypes de sexe. Ces résultats permettent de questionner la place que les enseignants d’EPS tiennent dans la reproduction de ces stéréotypes au cours de leur pratique quotidienne du métier.","container-title":"Staps","DOI":"10.3917/sta.084.0077","ISSN":"0247-106X","issue":"2","journalAbbreviation":"Staps","language":"fr","note":"publisher-place: Louvain-la-Neuve\npublisher: De Boeck Supérieur","page":"77-92","source":"Cairn.info","title":"Les enseignants d'EPS face aux élèves qui décrochent de l'activité : interventions selon le sexe des élèves et discours relatifs aux comportements observés","title-short":"Les enseignants d'EPS face aux élèves qui décrochent de l'activité","volume":"84","author":[{"family":"Bonniot-Paquien","given":"Natacha"},{"family":"Cogérino","given":"Geneviève"},{"family":"Champely","given":"Stéphane"}],"issued":{"date-parts":[["2009"]]}}}],"schema":"https://github.com/citation-style-language/schema/raw/master/csl-citation.json"} </w:instrText>
      </w:r>
      <w:r>
        <w:rPr>
          <w:rFonts w:ascii="Calibri" w:hAnsi="Calibri" w:cs="Calibri"/>
          <w:sz w:val="22"/>
          <w:szCs w:val="22"/>
        </w:rPr>
        <w:fldChar w:fldCharType="separate"/>
      </w:r>
      <w:r w:rsidRPr="00043943">
        <w:rPr>
          <w:rFonts w:ascii="Calibri" w:hAnsi="Calibri" w:cs="Calibri"/>
          <w:sz w:val="22"/>
        </w:rPr>
        <w:t>(Bonniot-Paquien et al., 2009a)</w:t>
      </w:r>
      <w:r>
        <w:rPr>
          <w:rFonts w:ascii="Calibri" w:hAnsi="Calibri" w:cs="Calibri"/>
          <w:sz w:val="22"/>
          <w:szCs w:val="22"/>
        </w:rPr>
        <w:fldChar w:fldCharType="end"/>
      </w:r>
      <w:r>
        <w:rPr>
          <w:rFonts w:ascii="Calibri" w:hAnsi="Calibri" w:cs="Calibri"/>
          <w:sz w:val="22"/>
          <w:szCs w:val="22"/>
        </w:rPr>
        <w:t xml:space="preserve">. </w:t>
      </w:r>
      <w:r w:rsidRPr="00F7414F">
        <w:rPr>
          <w:rFonts w:ascii="Calibri" w:hAnsi="Calibri" w:cs="Calibri"/>
          <w:sz w:val="22"/>
          <w:szCs w:val="22"/>
        </w:rPr>
        <w:t>Enfin, le choix des activités et de la programmation en EPS semble être en défaveur des filles tant au niveau de l’engagement que de leur réussite (Lentillon-Kaestner &amp; Cogérino, 2005</w:t>
      </w:r>
      <w:r>
        <w:rPr>
          <w:rFonts w:ascii="Calibri" w:hAnsi="Calibri" w:cs="Calibri"/>
          <w:sz w:val="22"/>
          <w:szCs w:val="22"/>
        </w:rPr>
        <w:t xml:space="preserve">). </w:t>
      </w:r>
    </w:p>
    <w:p w14:paraId="6D9FBC1A" w14:textId="77777777" w:rsidR="00587AFF" w:rsidRDefault="00587AFF" w:rsidP="00587AFF">
      <w:pPr>
        <w:tabs>
          <w:tab w:val="left" w:pos="709"/>
        </w:tabs>
        <w:spacing w:line="360" w:lineRule="auto"/>
        <w:jc w:val="both"/>
        <w:rPr>
          <w:rFonts w:ascii="Calibri" w:hAnsi="Calibri" w:cs="Calibri"/>
          <w:sz w:val="22"/>
          <w:szCs w:val="22"/>
        </w:rPr>
      </w:pPr>
      <w:r>
        <w:rPr>
          <w:rFonts w:ascii="Calibri" w:hAnsi="Calibri" w:cs="Calibri"/>
          <w:sz w:val="22"/>
          <w:szCs w:val="22"/>
        </w:rPr>
        <w:tab/>
        <w:t>Les problèmes sanitaires et sociaux de l’inactivité physique mettent en avant la nécessité de s’intéresser aux publics les plus vulnérables. En l’occurrence l’adolescence particulièrement pour les filles semble être une période critique dans leur rapport à l’activité physique. Ces problématiques sanitaires couplées à la question de l’équité des sexes posent la thématique de l’engagement des filles dans l’activité physique, comme un enjeu actuel et majeur.</w:t>
      </w:r>
    </w:p>
    <w:p w14:paraId="085EA2FF" w14:textId="77777777" w:rsidR="00587AFF" w:rsidRDefault="00587AFF" w:rsidP="00587AFF">
      <w:pPr>
        <w:spacing w:line="360" w:lineRule="auto"/>
        <w:jc w:val="both"/>
        <w:rPr>
          <w:rFonts w:ascii="Calibri" w:hAnsi="Calibri" w:cs="Calibri"/>
          <w:sz w:val="22"/>
          <w:szCs w:val="22"/>
        </w:rPr>
      </w:pPr>
    </w:p>
    <w:p w14:paraId="57701283" w14:textId="508E80AC" w:rsidR="00587AFF" w:rsidRPr="00587AFF" w:rsidRDefault="00587AFF" w:rsidP="00587AFF">
      <w:pPr>
        <w:spacing w:line="360" w:lineRule="auto"/>
        <w:ind w:firstLine="708"/>
        <w:jc w:val="center"/>
        <w:rPr>
          <w:rFonts w:ascii="Calibri" w:hAnsi="Calibri" w:cs="Calibri"/>
          <w:b/>
          <w:bCs/>
          <w:color w:val="156082" w:themeColor="accent1"/>
          <w:sz w:val="22"/>
          <w:szCs w:val="22"/>
        </w:rPr>
      </w:pPr>
      <w:r w:rsidRPr="00B71354">
        <w:rPr>
          <w:rFonts w:ascii="Calibri" w:hAnsi="Calibri" w:cs="Calibri"/>
          <w:b/>
          <w:bCs/>
          <w:color w:val="156082" w:themeColor="accent1"/>
          <w:sz w:val="22"/>
          <w:szCs w:val="22"/>
        </w:rPr>
        <w:t>Cadre théorique</w:t>
      </w:r>
    </w:p>
    <w:p w14:paraId="0182FFD0" w14:textId="77777777" w:rsidR="00587AFF" w:rsidRPr="00B4470F" w:rsidRDefault="00587AFF" w:rsidP="00587AFF">
      <w:pPr>
        <w:spacing w:line="360" w:lineRule="auto"/>
        <w:rPr>
          <w:rFonts w:ascii="Calibri" w:hAnsi="Calibri" w:cs="Calibri"/>
          <w:b/>
          <w:bCs/>
          <w:sz w:val="22"/>
          <w:szCs w:val="22"/>
        </w:rPr>
      </w:pPr>
      <w:r w:rsidRPr="00B4470F">
        <w:rPr>
          <w:rFonts w:ascii="Calibri" w:hAnsi="Calibri" w:cs="Calibri"/>
          <w:b/>
          <w:bCs/>
          <w:sz w:val="22"/>
          <w:szCs w:val="22"/>
        </w:rPr>
        <w:t>Modèle écologique de Bauman </w:t>
      </w:r>
      <w:r w:rsidRPr="00B4470F">
        <w:rPr>
          <w:rFonts w:ascii="Calibri" w:hAnsi="Calibri" w:cs="Calibri"/>
          <w:b/>
          <w:bCs/>
          <w:sz w:val="22"/>
          <w:szCs w:val="22"/>
        </w:rPr>
        <w:fldChar w:fldCharType="begin"/>
      </w:r>
      <w:r w:rsidRPr="00B4470F">
        <w:rPr>
          <w:rFonts w:ascii="Calibri" w:hAnsi="Calibri" w:cs="Calibri"/>
          <w:b/>
          <w:bCs/>
          <w:sz w:val="22"/>
          <w:szCs w:val="22"/>
        </w:rPr>
        <w:instrText xml:space="preserve"> ADDIN ZOTERO_ITEM CSL_CITATION {"citationID":"WUUusODr","properties":{"formattedCitation":"(Bauman et al., 2012)","plainCitation":"(Bauman et al., 2012)","noteIndex":0},"citationItems":[{"id":6,"uris":["http://zotero.org/users/7342294/items/94EZKAB2"],"itemData":{"id":6,"type":"article-journal","abstract":"&lt;h2&gt;Summary&lt;/h2&gt;&lt;p&gt;Physical inactivity is an important contributor to non-communicable diseases in countries of high income, and increasingly so in those of low and middle income. Understanding why people are physically active or inactive contributes to evidence-based planning of public health interventions, because effective programmes will target factors known to cause inactivity. Research into correlates (factors associated with activity) or determinants (those with a causal relationship) has burgeoned in the past two decades, but has mostly focused on individual-level factors in high-income countries. It has shown that age, sex, health status, self-efficacy, and motivation are associated with physical activity. Ecological models take a broad view of health behaviour causation, with the social and physical environment included as contributors to physical inactivity, particularly those outside the health sector, such as urban planning, transportation systems, and parks and trails. New areas of determinants research have identified genetic factors contributing to the propensity to be physically active, and evolutionary factors and obesity that might predispose to inactivity, and have explored the longitudinal tracking of physical activity throughout life. An understanding of correlates and determinants, especially in countries of low and middle income, could reduce the effect of future epidemics of inactivity and contribute to effective global prevention of non-communicable diseases.&lt;/p&gt;","container-title":"The Lancet","DOI":"10.1016/S0140-6736(12)60735-1","ISSN":"0140-6736, 1474-547X","issue":"9838","journalAbbreviation":"The Lancet","language":"English","note":"publisher: Elsevier\nPMID: 22818938","page":"258-271","source":"www.thelancet.com","title":"Correlates of physical activity: why are some people physically active and others not?","title-short":"Correlates of physical activity","volume":"380","author":[{"family":"Bauman","given":"Adrian E."},{"family":"Reis","given":"Rodrigo S."},{"family":"Sallis","given":"James F."},{"family":"Wells","given":"Jonathan C."},{"family":"Loos","given":"Ruth JF"},{"family":"Martin","given":"Brian W."}],"issued":{"date-parts":[["2012",7,21]]}}}],"schema":"https://github.com/citation-style-language/schema/raw/master/csl-citation.json"} </w:instrText>
      </w:r>
      <w:r w:rsidRPr="00B4470F">
        <w:rPr>
          <w:rFonts w:ascii="Calibri" w:hAnsi="Calibri" w:cs="Calibri"/>
          <w:b/>
          <w:bCs/>
          <w:sz w:val="22"/>
          <w:szCs w:val="22"/>
        </w:rPr>
        <w:fldChar w:fldCharType="separate"/>
      </w:r>
      <w:r w:rsidRPr="00B4470F">
        <w:rPr>
          <w:rFonts w:ascii="Calibri" w:hAnsi="Calibri" w:cs="Calibri"/>
          <w:b/>
          <w:bCs/>
          <w:sz w:val="22"/>
        </w:rPr>
        <w:t>(2012)</w:t>
      </w:r>
      <w:r w:rsidRPr="00B4470F">
        <w:rPr>
          <w:rFonts w:ascii="Calibri" w:hAnsi="Calibri" w:cs="Calibri"/>
          <w:b/>
          <w:bCs/>
          <w:sz w:val="22"/>
          <w:szCs w:val="22"/>
        </w:rPr>
        <w:fldChar w:fldCharType="end"/>
      </w:r>
      <w:r w:rsidRPr="00B4470F">
        <w:rPr>
          <w:rFonts w:ascii="Calibri" w:hAnsi="Calibri" w:cs="Calibri"/>
          <w:b/>
          <w:bCs/>
          <w:sz w:val="22"/>
          <w:szCs w:val="22"/>
        </w:rPr>
        <w:t> </w:t>
      </w:r>
    </w:p>
    <w:p w14:paraId="199C8856" w14:textId="77777777" w:rsidR="00587AFF" w:rsidRDefault="00587AFF" w:rsidP="00587AFF">
      <w:pPr>
        <w:spacing w:line="360" w:lineRule="auto"/>
        <w:rPr>
          <w:rFonts w:ascii="Calibri" w:hAnsi="Calibri" w:cs="Calibri"/>
          <w:sz w:val="22"/>
          <w:szCs w:val="22"/>
        </w:rPr>
      </w:pPr>
      <w:r>
        <w:rPr>
          <w:rFonts w:ascii="Calibri" w:hAnsi="Calibri" w:cs="Calibri"/>
          <w:sz w:val="22"/>
          <w:szCs w:val="22"/>
        </w:rPr>
        <w:t xml:space="preserve">Le modèle écologique de Bauman stipule que le comportement d’un individu envers l’activité physique est impacté par cinq systèmes -individuel, interpersonnel, environnement, politique et global - allant du plus proche l’individu au plus lointain.  Un sixième système, le chronosystème, se centre sur l’évolution dans le temps de ces rapports à l’activité physique. </w:t>
      </w:r>
    </w:p>
    <w:p w14:paraId="25270072" w14:textId="77777777" w:rsidR="00587AFF" w:rsidRDefault="00587AFF" w:rsidP="00587AFF">
      <w:pPr>
        <w:spacing w:line="360" w:lineRule="auto"/>
        <w:rPr>
          <w:rFonts w:ascii="Calibri" w:hAnsi="Calibri" w:cs="Calibri"/>
          <w:sz w:val="22"/>
          <w:szCs w:val="22"/>
        </w:rPr>
      </w:pPr>
      <w:r>
        <w:rPr>
          <w:noProof/>
        </w:rPr>
        <w:lastRenderedPageBreak/>
        <w:drawing>
          <wp:inline distT="0" distB="0" distL="0" distR="0" wp14:anchorId="58D522FA" wp14:editId="03ABA80A">
            <wp:extent cx="6188710" cy="3189557"/>
            <wp:effectExtent l="19050" t="19050" r="21590" b="11430"/>
            <wp:docPr id="1" name="Image 1" descr="Une image contenant texte, capture d’écran, nombr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nombre, diagramme&#10;&#10;Description générée automatiquement"/>
                    <pic:cNvPicPr/>
                  </pic:nvPicPr>
                  <pic:blipFill>
                    <a:blip r:embed="rId7"/>
                    <a:stretch>
                      <a:fillRect/>
                    </a:stretch>
                  </pic:blipFill>
                  <pic:spPr>
                    <a:xfrm>
                      <a:off x="0" y="0"/>
                      <a:ext cx="6188710" cy="3189557"/>
                    </a:xfrm>
                    <a:prstGeom prst="rect">
                      <a:avLst/>
                    </a:prstGeom>
                    <a:ln>
                      <a:solidFill>
                        <a:schemeClr val="tx1"/>
                      </a:solidFill>
                    </a:ln>
                  </pic:spPr>
                </pic:pic>
              </a:graphicData>
            </a:graphic>
          </wp:inline>
        </w:drawing>
      </w:r>
    </w:p>
    <w:p w14:paraId="40771974" w14:textId="77777777" w:rsidR="00587AFF" w:rsidRDefault="00587AFF"/>
    <w:p w14:paraId="6FD73572" w14:textId="77777777" w:rsidR="00587AFF" w:rsidRPr="00FE5953" w:rsidRDefault="00587AFF" w:rsidP="00587AFF">
      <w:pPr>
        <w:spacing w:line="360" w:lineRule="auto"/>
        <w:rPr>
          <w:rFonts w:ascii="Calibri" w:hAnsi="Calibri" w:cs="Calibri"/>
          <w:b/>
          <w:bCs/>
          <w:color w:val="156082" w:themeColor="accent1"/>
          <w:sz w:val="22"/>
          <w:szCs w:val="22"/>
        </w:rPr>
      </w:pPr>
      <w:r w:rsidRPr="00FE5953">
        <w:rPr>
          <w:rFonts w:ascii="Calibri" w:hAnsi="Calibri" w:cs="Calibri"/>
          <w:b/>
          <w:bCs/>
          <w:sz w:val="22"/>
          <w:szCs w:val="22"/>
        </w:rPr>
        <w:t>Question de recherche et hypothèses </w:t>
      </w:r>
    </w:p>
    <w:p w14:paraId="2E2A3E31" w14:textId="77777777" w:rsidR="00587AFF" w:rsidRDefault="00587AFF" w:rsidP="00587AFF">
      <w:pPr>
        <w:spacing w:line="360" w:lineRule="auto"/>
        <w:jc w:val="both"/>
        <w:rPr>
          <w:rFonts w:ascii="Calibri" w:hAnsi="Calibri" w:cs="Calibri"/>
          <w:sz w:val="22"/>
          <w:szCs w:val="22"/>
        </w:rPr>
      </w:pPr>
      <w:r w:rsidRPr="00BC7644">
        <w:rPr>
          <w:rFonts w:ascii="Calibri" w:hAnsi="Calibri" w:cs="Calibri"/>
          <w:sz w:val="22"/>
          <w:szCs w:val="22"/>
          <w:u w:val="single"/>
        </w:rPr>
        <w:t>Question de recherche</w:t>
      </w:r>
      <w:r>
        <w:rPr>
          <w:rFonts w:ascii="Calibri" w:hAnsi="Calibri" w:cs="Calibri"/>
          <w:sz w:val="22"/>
          <w:szCs w:val="22"/>
        </w:rPr>
        <w:t> : E</w:t>
      </w:r>
      <w:r w:rsidRPr="004D6D23">
        <w:rPr>
          <w:rFonts w:ascii="Calibri" w:hAnsi="Calibri" w:cs="Calibri"/>
          <w:sz w:val="22"/>
          <w:szCs w:val="22"/>
        </w:rPr>
        <w:t xml:space="preserve">xaminer les conditions qui </w:t>
      </w:r>
      <w:r>
        <w:rPr>
          <w:rFonts w:ascii="Calibri" w:hAnsi="Calibri" w:cs="Calibri"/>
          <w:sz w:val="22"/>
          <w:szCs w:val="22"/>
        </w:rPr>
        <w:t>augmentent</w:t>
      </w:r>
      <w:r w:rsidRPr="004D6D23">
        <w:rPr>
          <w:rFonts w:ascii="Calibri" w:hAnsi="Calibri" w:cs="Calibri"/>
          <w:sz w:val="22"/>
          <w:szCs w:val="22"/>
        </w:rPr>
        <w:t xml:space="preserve"> ou </w:t>
      </w:r>
      <w:r>
        <w:rPr>
          <w:rFonts w:ascii="Calibri" w:hAnsi="Calibri" w:cs="Calibri"/>
          <w:sz w:val="22"/>
          <w:szCs w:val="22"/>
        </w:rPr>
        <w:t>diminuent</w:t>
      </w:r>
      <w:r w:rsidRPr="004D6D23">
        <w:rPr>
          <w:rFonts w:ascii="Calibri" w:hAnsi="Calibri" w:cs="Calibri"/>
          <w:sz w:val="22"/>
          <w:szCs w:val="22"/>
        </w:rPr>
        <w:t xml:space="preserve"> les différences entre les sexes dans l'engagement dans l'</w:t>
      </w:r>
      <w:r>
        <w:rPr>
          <w:rFonts w:ascii="Calibri" w:hAnsi="Calibri" w:cs="Calibri"/>
          <w:sz w:val="22"/>
          <w:szCs w:val="22"/>
        </w:rPr>
        <w:t>activité physique</w:t>
      </w:r>
      <w:r w:rsidRPr="004D6D23">
        <w:rPr>
          <w:rFonts w:ascii="Calibri" w:hAnsi="Calibri" w:cs="Calibri"/>
          <w:sz w:val="22"/>
          <w:szCs w:val="22"/>
        </w:rPr>
        <w:t xml:space="preserve"> pendant les cours d'éducation physique, dans le contexte du cadre écologique.</w:t>
      </w:r>
    </w:p>
    <w:p w14:paraId="25A0A74F" w14:textId="77777777" w:rsidR="00587AFF" w:rsidRPr="004D6D23" w:rsidRDefault="00587AFF" w:rsidP="00587AFF">
      <w:pPr>
        <w:spacing w:line="360" w:lineRule="auto"/>
        <w:jc w:val="both"/>
        <w:rPr>
          <w:rFonts w:ascii="Calibri" w:hAnsi="Calibri" w:cs="Calibri"/>
          <w:sz w:val="22"/>
          <w:szCs w:val="22"/>
        </w:rPr>
      </w:pPr>
      <w:r w:rsidRPr="00BC7644">
        <w:rPr>
          <w:rFonts w:ascii="Calibri" w:hAnsi="Calibri" w:cs="Calibri"/>
          <w:sz w:val="22"/>
          <w:szCs w:val="22"/>
          <w:u w:val="single"/>
        </w:rPr>
        <w:t>Hypothèses</w:t>
      </w:r>
      <w:r w:rsidRPr="004D6D23">
        <w:rPr>
          <w:rFonts w:ascii="Calibri" w:hAnsi="Calibri" w:cs="Calibri"/>
          <w:sz w:val="22"/>
          <w:szCs w:val="22"/>
        </w:rPr>
        <w:t xml:space="preserve"> : </w:t>
      </w:r>
    </w:p>
    <w:p w14:paraId="1F3F3C72" w14:textId="77777777" w:rsidR="00587AFF" w:rsidRPr="007A5987" w:rsidRDefault="00587AFF" w:rsidP="00587AFF">
      <w:pPr>
        <w:pStyle w:val="Paragraphedeliste"/>
        <w:numPr>
          <w:ilvl w:val="0"/>
          <w:numId w:val="1"/>
        </w:numPr>
        <w:spacing w:line="360" w:lineRule="auto"/>
        <w:jc w:val="both"/>
        <w:rPr>
          <w:rFonts w:ascii="Calibri" w:hAnsi="Calibri" w:cs="Calibri"/>
          <w:sz w:val="22"/>
          <w:szCs w:val="22"/>
        </w:rPr>
      </w:pPr>
      <w:r>
        <w:rPr>
          <w:rFonts w:ascii="Calibri" w:hAnsi="Calibri" w:cs="Calibri"/>
          <w:sz w:val="22"/>
          <w:szCs w:val="22"/>
        </w:rPr>
        <w:t>L</w:t>
      </w:r>
      <w:r w:rsidRPr="007A5987">
        <w:rPr>
          <w:rFonts w:ascii="Calibri" w:hAnsi="Calibri" w:cs="Calibri"/>
          <w:sz w:val="22"/>
          <w:szCs w:val="22"/>
        </w:rPr>
        <w:t xml:space="preserve">'engagement moteur des garçons dans l'EP est significativement plus élevé que celui des filles. </w:t>
      </w:r>
    </w:p>
    <w:p w14:paraId="5EF8A599" w14:textId="77777777" w:rsidR="00587AFF" w:rsidRDefault="00587AFF" w:rsidP="00587AFF">
      <w:pPr>
        <w:pStyle w:val="Paragraphedeliste"/>
        <w:numPr>
          <w:ilvl w:val="0"/>
          <w:numId w:val="1"/>
        </w:numPr>
        <w:spacing w:line="360" w:lineRule="auto"/>
        <w:jc w:val="both"/>
        <w:rPr>
          <w:rFonts w:ascii="Calibri" w:hAnsi="Calibri" w:cs="Calibri"/>
          <w:sz w:val="22"/>
          <w:szCs w:val="22"/>
        </w:rPr>
      </w:pPr>
      <w:r>
        <w:rPr>
          <w:rFonts w:ascii="Calibri" w:hAnsi="Calibri" w:cs="Calibri"/>
          <w:sz w:val="22"/>
          <w:szCs w:val="22"/>
        </w:rPr>
        <w:t>L</w:t>
      </w:r>
      <w:r w:rsidRPr="007A5987">
        <w:rPr>
          <w:rFonts w:ascii="Calibri" w:hAnsi="Calibri" w:cs="Calibri"/>
          <w:sz w:val="22"/>
          <w:szCs w:val="22"/>
        </w:rPr>
        <w:t>e caractère culturel des activités est un médiateur de cet engagement</w:t>
      </w:r>
      <w:r>
        <w:rPr>
          <w:rFonts w:ascii="Calibri" w:hAnsi="Calibri" w:cs="Calibri"/>
          <w:sz w:val="22"/>
          <w:szCs w:val="22"/>
        </w:rPr>
        <w:t xml:space="preserve">. </w:t>
      </w:r>
    </w:p>
    <w:p w14:paraId="03F5D127" w14:textId="77777777" w:rsidR="00587AFF" w:rsidRDefault="00587AFF" w:rsidP="00587AFF">
      <w:pPr>
        <w:pStyle w:val="Paragraphedeliste"/>
        <w:numPr>
          <w:ilvl w:val="0"/>
          <w:numId w:val="1"/>
        </w:numPr>
        <w:spacing w:line="360" w:lineRule="auto"/>
        <w:jc w:val="both"/>
        <w:rPr>
          <w:rFonts w:ascii="Calibri" w:hAnsi="Calibri" w:cs="Calibri"/>
          <w:sz w:val="22"/>
          <w:szCs w:val="22"/>
        </w:rPr>
      </w:pPr>
      <w:r>
        <w:rPr>
          <w:rFonts w:ascii="Calibri" w:hAnsi="Calibri" w:cs="Calibri"/>
          <w:sz w:val="22"/>
          <w:szCs w:val="22"/>
        </w:rPr>
        <w:t>L</w:t>
      </w:r>
      <w:r w:rsidRPr="007A5987">
        <w:rPr>
          <w:rFonts w:ascii="Calibri" w:hAnsi="Calibri" w:cs="Calibri"/>
          <w:sz w:val="22"/>
          <w:szCs w:val="22"/>
        </w:rPr>
        <w:t>es caractéristiques socioculturelles et géographiques des écoles sont en corrélation avec l'écart entre les sexes, étant moins prononcées dans les milieux urbains favorisés et davantage dans les zones urbaines et rurales défavorisées</w:t>
      </w:r>
      <w:r>
        <w:rPr>
          <w:rFonts w:ascii="Calibri" w:hAnsi="Calibri" w:cs="Calibri"/>
          <w:sz w:val="22"/>
          <w:szCs w:val="22"/>
        </w:rPr>
        <w:t xml:space="preserve">. </w:t>
      </w:r>
    </w:p>
    <w:p w14:paraId="4ACCEF80" w14:textId="32DA695E" w:rsidR="00587AFF" w:rsidRDefault="00587AFF" w:rsidP="00587AFF">
      <w:pPr>
        <w:jc w:val="center"/>
        <w:rPr>
          <w:rFonts w:ascii="Calibri" w:hAnsi="Calibri" w:cs="Calibri"/>
          <w:b/>
          <w:bCs/>
          <w:color w:val="156082" w:themeColor="accent1"/>
          <w:sz w:val="22"/>
          <w:szCs w:val="22"/>
        </w:rPr>
      </w:pPr>
      <w:r w:rsidRPr="00587AFF">
        <w:rPr>
          <w:rFonts w:ascii="Calibri" w:hAnsi="Calibri" w:cs="Calibri"/>
          <w:b/>
          <w:bCs/>
          <w:color w:val="156082" w:themeColor="accent1"/>
          <w:sz w:val="22"/>
          <w:szCs w:val="22"/>
        </w:rPr>
        <w:t>Méthode</w:t>
      </w:r>
    </w:p>
    <w:p w14:paraId="36A4FF39" w14:textId="6874BDD5" w:rsidR="00587AFF" w:rsidRDefault="00587AFF" w:rsidP="00587AFF">
      <w:pPr>
        <w:spacing w:line="360" w:lineRule="auto"/>
        <w:ind w:firstLine="708"/>
        <w:rPr>
          <w:rFonts w:ascii="Calibri" w:hAnsi="Calibri" w:cs="Calibri"/>
          <w:sz w:val="22"/>
          <w:szCs w:val="22"/>
        </w:rPr>
      </w:pPr>
      <w:r>
        <w:rPr>
          <w:rFonts w:ascii="Calibri" w:hAnsi="Calibri" w:cs="Calibri"/>
          <w:sz w:val="22"/>
          <w:szCs w:val="22"/>
        </w:rPr>
        <w:t xml:space="preserve">L’objectif de cette étude est de recueillir des données auprès d’une large cohorte d’adolescents de 11 à 15 ans, dans des collèges de très favorisé à très défavorisé, dans quatre champs d’apprentissage en EPS. </w:t>
      </w:r>
      <w:r w:rsidRPr="002B2298">
        <w:rPr>
          <w:rFonts w:ascii="Calibri" w:hAnsi="Calibri" w:cs="Calibri"/>
          <w:sz w:val="22"/>
          <w:szCs w:val="22"/>
        </w:rPr>
        <w:t>Des accéléromètres seront utilisés pour mesurer l</w:t>
      </w:r>
      <w:r>
        <w:rPr>
          <w:rFonts w:ascii="Calibri" w:hAnsi="Calibri" w:cs="Calibri"/>
          <w:sz w:val="22"/>
          <w:szCs w:val="22"/>
        </w:rPr>
        <w:t>e niveau de MVPA</w:t>
      </w:r>
      <w:r w:rsidRPr="002B2298">
        <w:rPr>
          <w:rFonts w:ascii="Calibri" w:hAnsi="Calibri" w:cs="Calibri"/>
          <w:sz w:val="22"/>
          <w:szCs w:val="22"/>
        </w:rPr>
        <w:t xml:space="preserve"> chez les filles et les garçons pendant un cours d'éducation physique obligatoire de deux heures</w:t>
      </w:r>
      <w:r>
        <w:rPr>
          <w:rFonts w:ascii="Calibri" w:hAnsi="Calibri" w:cs="Calibri"/>
          <w:sz w:val="22"/>
          <w:szCs w:val="22"/>
        </w:rPr>
        <w:t xml:space="preserve">. </w:t>
      </w:r>
    </w:p>
    <w:p w14:paraId="2D0ACDAB" w14:textId="77777777" w:rsidR="00587AFF" w:rsidRDefault="00587AFF" w:rsidP="00587AFF">
      <w:pPr>
        <w:spacing w:line="360" w:lineRule="auto"/>
        <w:rPr>
          <w:rFonts w:ascii="Calibri" w:hAnsi="Calibri" w:cs="Calibri"/>
          <w:sz w:val="22"/>
          <w:szCs w:val="22"/>
        </w:rPr>
      </w:pPr>
    </w:p>
    <w:p w14:paraId="12627506" w14:textId="77777777" w:rsidR="00587AFF" w:rsidRPr="00587AFF" w:rsidRDefault="00587AFF" w:rsidP="00587AFF">
      <w:pPr>
        <w:spacing w:line="360" w:lineRule="auto"/>
        <w:jc w:val="both"/>
        <w:rPr>
          <w:rFonts w:ascii="Calibri" w:hAnsi="Calibri" w:cs="Calibri"/>
          <w:i/>
          <w:iCs/>
          <w:sz w:val="22"/>
          <w:szCs w:val="22"/>
        </w:rPr>
      </w:pPr>
      <w:r w:rsidRPr="00587AFF">
        <w:rPr>
          <w:rFonts w:ascii="Calibri" w:hAnsi="Calibri" w:cs="Calibri"/>
          <w:i/>
          <w:iCs/>
          <w:sz w:val="22"/>
          <w:szCs w:val="22"/>
        </w:rPr>
        <w:t>Participants</w:t>
      </w:r>
    </w:p>
    <w:p w14:paraId="773DA150" w14:textId="530334C0" w:rsidR="00587AFF" w:rsidRDefault="00587AFF" w:rsidP="00587AFF">
      <w:pPr>
        <w:spacing w:line="360" w:lineRule="auto"/>
        <w:ind w:firstLine="708"/>
        <w:rPr>
          <w:rFonts w:ascii="Calibri" w:hAnsi="Calibri" w:cs="Calibri"/>
          <w:sz w:val="22"/>
          <w:szCs w:val="22"/>
        </w:rPr>
      </w:pPr>
      <w:r>
        <w:rPr>
          <w:rFonts w:ascii="Calibri" w:hAnsi="Calibri" w:cs="Calibri"/>
          <w:sz w:val="22"/>
          <w:szCs w:val="22"/>
        </w:rPr>
        <w:t>L’étude inclut des collégiens de cycle 4 (5</w:t>
      </w:r>
      <w:r w:rsidRPr="002B2298">
        <w:rPr>
          <w:rFonts w:ascii="Calibri" w:hAnsi="Calibri" w:cs="Calibri"/>
          <w:sz w:val="22"/>
          <w:szCs w:val="22"/>
          <w:vertAlign w:val="superscript"/>
        </w:rPr>
        <w:t>ème</w:t>
      </w:r>
      <w:r>
        <w:rPr>
          <w:rFonts w:ascii="Calibri" w:hAnsi="Calibri" w:cs="Calibri"/>
          <w:sz w:val="22"/>
          <w:szCs w:val="22"/>
        </w:rPr>
        <w:t xml:space="preserve"> à la 3</w:t>
      </w:r>
      <w:r w:rsidRPr="002B2298">
        <w:rPr>
          <w:rFonts w:ascii="Calibri" w:hAnsi="Calibri" w:cs="Calibri"/>
          <w:sz w:val="22"/>
          <w:szCs w:val="22"/>
          <w:vertAlign w:val="superscript"/>
        </w:rPr>
        <w:t>ème</w:t>
      </w:r>
      <w:r>
        <w:rPr>
          <w:rFonts w:ascii="Calibri" w:hAnsi="Calibri" w:cs="Calibri"/>
          <w:sz w:val="22"/>
          <w:szCs w:val="22"/>
        </w:rPr>
        <w:t>) issus de classe ordinaire ayant rendu les autorisations parentales et souhaitant participer à l’étude. Les sections sportives, classes UPE2A et ULYSS ne sont pas inclus dans l’étude. La collecte de données se déroule dans les collèges en Alsace et Ile de France. Les écoles sont classées selon l’indice de Position sociale : écoles défavorisées IPS &lt; 8</w:t>
      </w:r>
      <w:r w:rsidR="00AF2923">
        <w:rPr>
          <w:rFonts w:ascii="Calibri" w:hAnsi="Calibri" w:cs="Calibri"/>
          <w:sz w:val="22"/>
          <w:szCs w:val="22"/>
        </w:rPr>
        <w:t>9</w:t>
      </w:r>
      <w:r>
        <w:rPr>
          <w:rFonts w:ascii="Calibri" w:hAnsi="Calibri" w:cs="Calibri"/>
          <w:sz w:val="22"/>
          <w:szCs w:val="22"/>
        </w:rPr>
        <w:t xml:space="preserve">, écoles moyennes entre </w:t>
      </w:r>
      <w:r w:rsidR="00AF2923">
        <w:rPr>
          <w:rFonts w:ascii="Calibri" w:hAnsi="Calibri" w:cs="Calibri"/>
          <w:sz w:val="22"/>
          <w:szCs w:val="22"/>
        </w:rPr>
        <w:t>90 e</w:t>
      </w:r>
      <w:r>
        <w:rPr>
          <w:rFonts w:ascii="Calibri" w:hAnsi="Calibri" w:cs="Calibri"/>
          <w:sz w:val="22"/>
          <w:szCs w:val="22"/>
        </w:rPr>
        <w:t>t 11</w:t>
      </w:r>
      <w:r w:rsidR="00AF2923">
        <w:rPr>
          <w:rFonts w:ascii="Calibri" w:hAnsi="Calibri" w:cs="Calibri"/>
          <w:sz w:val="22"/>
          <w:szCs w:val="22"/>
        </w:rPr>
        <w:t>4</w:t>
      </w:r>
      <w:r>
        <w:rPr>
          <w:rFonts w:ascii="Calibri" w:hAnsi="Calibri" w:cs="Calibri"/>
          <w:sz w:val="22"/>
          <w:szCs w:val="22"/>
        </w:rPr>
        <w:t xml:space="preserve"> et écoles favorisées &gt; à </w:t>
      </w:r>
      <w:r>
        <w:rPr>
          <w:rFonts w:ascii="Calibri" w:hAnsi="Calibri" w:cs="Calibri"/>
          <w:sz w:val="22"/>
          <w:szCs w:val="22"/>
        </w:rPr>
        <w:lastRenderedPageBreak/>
        <w:t>1</w:t>
      </w:r>
      <w:r w:rsidR="00AF2923">
        <w:rPr>
          <w:rFonts w:ascii="Calibri" w:hAnsi="Calibri" w:cs="Calibri"/>
          <w:sz w:val="22"/>
          <w:szCs w:val="22"/>
        </w:rPr>
        <w:t>15</w:t>
      </w:r>
      <w:r>
        <w:rPr>
          <w:rFonts w:ascii="Calibri" w:hAnsi="Calibri" w:cs="Calibri"/>
          <w:sz w:val="22"/>
          <w:szCs w:val="22"/>
        </w:rPr>
        <w:t xml:space="preserve">. </w:t>
      </w:r>
      <w:r w:rsidRPr="002B2298">
        <w:rPr>
          <w:rFonts w:ascii="Calibri" w:hAnsi="Calibri" w:cs="Calibri"/>
          <w:sz w:val="22"/>
          <w:szCs w:val="22"/>
        </w:rPr>
        <w:t xml:space="preserve">Cette stratification permet une analyse approfondie des différents environnements éducatifs socio-économiques. </w:t>
      </w:r>
      <w:r>
        <w:rPr>
          <w:rFonts w:ascii="Calibri" w:hAnsi="Calibri" w:cs="Calibri"/>
          <w:sz w:val="22"/>
          <w:szCs w:val="22"/>
        </w:rPr>
        <w:t xml:space="preserve"> </w:t>
      </w:r>
    </w:p>
    <w:p w14:paraId="03B39F00" w14:textId="77777777" w:rsidR="00587AFF" w:rsidRPr="00FE5953" w:rsidRDefault="00587AFF" w:rsidP="00587AFF">
      <w:pPr>
        <w:spacing w:line="360" w:lineRule="auto"/>
        <w:jc w:val="both"/>
        <w:rPr>
          <w:rFonts w:ascii="Calibri" w:hAnsi="Calibri" w:cs="Calibri"/>
          <w:i/>
          <w:iCs/>
          <w:sz w:val="22"/>
          <w:szCs w:val="22"/>
        </w:rPr>
      </w:pPr>
      <w:r w:rsidRPr="00FE5953">
        <w:rPr>
          <w:rFonts w:ascii="Calibri" w:hAnsi="Calibri" w:cs="Calibri"/>
          <w:i/>
          <w:iCs/>
          <w:sz w:val="22"/>
          <w:szCs w:val="22"/>
        </w:rPr>
        <w:t>Description du protocole</w:t>
      </w:r>
    </w:p>
    <w:p w14:paraId="1CE778BA" w14:textId="77777777" w:rsidR="00587AFF" w:rsidRPr="00941CD1" w:rsidRDefault="00587AFF" w:rsidP="00587AFF">
      <w:pPr>
        <w:spacing w:line="360" w:lineRule="auto"/>
        <w:ind w:firstLine="360"/>
        <w:jc w:val="both"/>
        <w:rPr>
          <w:rFonts w:ascii="Calibri" w:hAnsi="Calibri" w:cs="Calibri"/>
          <w:sz w:val="22"/>
          <w:szCs w:val="22"/>
        </w:rPr>
      </w:pPr>
      <w:r w:rsidRPr="00941CD1">
        <w:rPr>
          <w:rFonts w:ascii="Calibri" w:hAnsi="Calibri" w:cs="Calibri"/>
          <w:sz w:val="22"/>
          <w:szCs w:val="22"/>
        </w:rPr>
        <w:t xml:space="preserve">L'objectif de cette analyse quantitative est de mesurer </w:t>
      </w:r>
      <w:r>
        <w:rPr>
          <w:rFonts w:ascii="Calibri" w:hAnsi="Calibri" w:cs="Calibri"/>
          <w:sz w:val="22"/>
          <w:szCs w:val="22"/>
        </w:rPr>
        <w:t>les écarts potentiels d’engagement</w:t>
      </w:r>
      <w:r w:rsidRPr="00941CD1">
        <w:rPr>
          <w:rFonts w:ascii="Calibri" w:hAnsi="Calibri" w:cs="Calibri"/>
          <w:sz w:val="22"/>
          <w:szCs w:val="22"/>
        </w:rPr>
        <w:t xml:space="preserve"> physique entre les filles et les garçons pendant un cours </w:t>
      </w:r>
      <w:r>
        <w:rPr>
          <w:rFonts w:ascii="Calibri" w:hAnsi="Calibri" w:cs="Calibri"/>
          <w:sz w:val="22"/>
          <w:szCs w:val="22"/>
        </w:rPr>
        <w:t>d’EPS</w:t>
      </w:r>
      <w:r w:rsidRPr="00941CD1">
        <w:rPr>
          <w:rFonts w:ascii="Calibri" w:hAnsi="Calibri" w:cs="Calibri"/>
          <w:sz w:val="22"/>
          <w:szCs w:val="22"/>
        </w:rPr>
        <w:t xml:space="preserve"> de deux heures, et d'évaluer l'impact de </w:t>
      </w:r>
      <w:r>
        <w:rPr>
          <w:rFonts w:ascii="Calibri" w:hAnsi="Calibri" w:cs="Calibri"/>
          <w:sz w:val="22"/>
          <w:szCs w:val="22"/>
        </w:rPr>
        <w:t>trois</w:t>
      </w:r>
      <w:r w:rsidRPr="00941CD1">
        <w:rPr>
          <w:rFonts w:ascii="Calibri" w:hAnsi="Calibri" w:cs="Calibri"/>
          <w:sz w:val="22"/>
          <w:szCs w:val="22"/>
        </w:rPr>
        <w:t xml:space="preserve"> variables dépendantes</w:t>
      </w:r>
      <w:r>
        <w:rPr>
          <w:rFonts w:ascii="Calibri" w:hAnsi="Calibri" w:cs="Calibri"/>
          <w:sz w:val="22"/>
          <w:szCs w:val="22"/>
        </w:rPr>
        <w:t> : sexe, activités et niveau socio-culturel de l’établissement</w:t>
      </w:r>
      <w:r w:rsidRPr="00941CD1">
        <w:rPr>
          <w:rFonts w:ascii="Calibri" w:hAnsi="Calibri" w:cs="Calibri"/>
          <w:sz w:val="22"/>
          <w:szCs w:val="22"/>
        </w:rPr>
        <w:t>. Les niveaux d'AP sont évalués à l'aide d'accéléromètres afin de catégoriser l</w:t>
      </w:r>
      <w:r>
        <w:rPr>
          <w:rFonts w:ascii="Calibri" w:hAnsi="Calibri" w:cs="Calibri"/>
          <w:sz w:val="22"/>
          <w:szCs w:val="22"/>
        </w:rPr>
        <w:t xml:space="preserve">e niveau de MVPA </w:t>
      </w:r>
      <w:r w:rsidRPr="00941CD1">
        <w:rPr>
          <w:rFonts w:ascii="Calibri" w:hAnsi="Calibri" w:cs="Calibri"/>
          <w:sz w:val="22"/>
          <w:szCs w:val="22"/>
        </w:rPr>
        <w:t xml:space="preserve">des élèves. L'objectif est d'identifier les variables qui exercent l'influence la plus significative sur </w:t>
      </w:r>
      <w:r>
        <w:rPr>
          <w:rFonts w:ascii="Calibri" w:hAnsi="Calibri" w:cs="Calibri"/>
          <w:sz w:val="22"/>
          <w:szCs w:val="22"/>
        </w:rPr>
        <w:t xml:space="preserve">les écarts potentiels observés. </w:t>
      </w:r>
    </w:p>
    <w:p w14:paraId="770F341C" w14:textId="77777777" w:rsidR="00587AFF" w:rsidRPr="00FE5953" w:rsidRDefault="00587AFF" w:rsidP="00587AFF">
      <w:pPr>
        <w:spacing w:line="360" w:lineRule="auto"/>
        <w:jc w:val="both"/>
        <w:rPr>
          <w:rFonts w:ascii="Calibri" w:hAnsi="Calibri" w:cs="Calibri"/>
          <w:i/>
          <w:iCs/>
          <w:sz w:val="22"/>
          <w:szCs w:val="22"/>
        </w:rPr>
      </w:pPr>
      <w:r w:rsidRPr="00FE5953">
        <w:rPr>
          <w:rFonts w:ascii="Calibri" w:hAnsi="Calibri" w:cs="Calibri"/>
          <w:i/>
          <w:iCs/>
          <w:sz w:val="22"/>
          <w:szCs w:val="22"/>
        </w:rPr>
        <w:t xml:space="preserve">Collecte des données </w:t>
      </w:r>
    </w:p>
    <w:p w14:paraId="1D4F0D63" w14:textId="77777777" w:rsidR="00587AFF" w:rsidRDefault="00587AFF" w:rsidP="00587AFF">
      <w:pPr>
        <w:spacing w:line="360" w:lineRule="auto"/>
        <w:ind w:firstLine="360"/>
        <w:jc w:val="both"/>
        <w:rPr>
          <w:rFonts w:ascii="Calibri" w:hAnsi="Calibri" w:cs="Calibri"/>
          <w:sz w:val="22"/>
          <w:szCs w:val="22"/>
        </w:rPr>
      </w:pPr>
      <w:r>
        <w:rPr>
          <w:rFonts w:ascii="Calibri" w:hAnsi="Calibri" w:cs="Calibri"/>
          <w:sz w:val="22"/>
          <w:szCs w:val="22"/>
        </w:rPr>
        <w:t>Un premier questionnaire est transmis aux élèves avant le début de l’étude. Il permet de collecter les données personnelles de chaque participant : âge, taille, poids, fratrie, pratique d’AP et autres informations socio-culturelles. Ce questionnaire rempli un double objectif : avoir les informations nécessaires pour programmer les accéléromètres et identifier les caractéristiques socio-culturelles des participants.</w:t>
      </w:r>
    </w:p>
    <w:p w14:paraId="7CC14223" w14:textId="77777777" w:rsidR="00587AFF" w:rsidRDefault="00587AFF" w:rsidP="00587AFF">
      <w:pPr>
        <w:spacing w:line="360" w:lineRule="auto"/>
        <w:ind w:firstLine="360"/>
        <w:jc w:val="both"/>
        <w:rPr>
          <w:rFonts w:ascii="Calibri" w:hAnsi="Calibri" w:cs="Calibri"/>
          <w:sz w:val="22"/>
          <w:szCs w:val="22"/>
        </w:rPr>
      </w:pPr>
      <w:r>
        <w:rPr>
          <w:rFonts w:ascii="Calibri" w:hAnsi="Calibri" w:cs="Calibri"/>
          <w:sz w:val="22"/>
          <w:szCs w:val="22"/>
        </w:rPr>
        <w:t xml:space="preserve">La partie quantitative de l’étude se déroulera lors d’un cours d’EPS de 2h. L’équipe de recherche </w:t>
      </w:r>
      <w:r w:rsidRPr="004A5DD7">
        <w:rPr>
          <w:rFonts w:ascii="Calibri" w:hAnsi="Calibri" w:cs="Calibri"/>
          <w:sz w:val="22"/>
          <w:szCs w:val="22"/>
        </w:rPr>
        <w:t xml:space="preserve">présentera brièvement l'étude sans révéler qu'elle est axée sur les différences entre les sexes en matière d'activité physique, afin d'éviter tout risque de </w:t>
      </w:r>
      <w:r>
        <w:rPr>
          <w:rFonts w:ascii="Calibri" w:hAnsi="Calibri" w:cs="Calibri"/>
          <w:sz w:val="22"/>
          <w:szCs w:val="22"/>
        </w:rPr>
        <w:t>biais</w:t>
      </w:r>
      <w:r w:rsidRPr="004A5DD7">
        <w:rPr>
          <w:rFonts w:ascii="Calibri" w:hAnsi="Calibri" w:cs="Calibri"/>
          <w:sz w:val="22"/>
          <w:szCs w:val="22"/>
        </w:rPr>
        <w:t>.</w:t>
      </w:r>
    </w:p>
    <w:p w14:paraId="1D133B3E" w14:textId="77777777" w:rsidR="00587AFF" w:rsidRDefault="00587AFF" w:rsidP="00587AFF">
      <w:pPr>
        <w:spacing w:line="360" w:lineRule="auto"/>
        <w:ind w:firstLine="360"/>
        <w:jc w:val="both"/>
        <w:rPr>
          <w:rFonts w:ascii="Calibri" w:hAnsi="Calibri" w:cs="Calibri"/>
          <w:sz w:val="22"/>
          <w:szCs w:val="22"/>
        </w:rPr>
      </w:pPr>
      <w:r w:rsidRPr="004A5DD7">
        <w:rPr>
          <w:rFonts w:ascii="Calibri" w:hAnsi="Calibri" w:cs="Calibri"/>
          <w:sz w:val="22"/>
          <w:szCs w:val="22"/>
        </w:rPr>
        <w:t xml:space="preserve">Les élèves seront ensuite équipés d'accéléromètres ActiGraph, modèle GT3X+ (ActiGraph™, Pensacola, FL, USA), qui seront réglés sur une fréquence d'échantillonnage de 30 Hz et portés sur la hanche à l'aide d'une ceinture élastique pendant toute la durée du cours d'éducation physique. Les données seront traitées par </w:t>
      </w:r>
      <w:r>
        <w:rPr>
          <w:rFonts w:ascii="Calibri" w:hAnsi="Calibri" w:cs="Calibri"/>
          <w:sz w:val="22"/>
          <w:szCs w:val="22"/>
        </w:rPr>
        <w:t>e</w:t>
      </w:r>
      <w:r w:rsidRPr="004A5DD7">
        <w:rPr>
          <w:rFonts w:ascii="Calibri" w:hAnsi="Calibri" w:cs="Calibri"/>
          <w:sz w:val="22"/>
          <w:szCs w:val="22"/>
        </w:rPr>
        <w:t>po</w:t>
      </w:r>
      <w:r>
        <w:rPr>
          <w:rFonts w:ascii="Calibri" w:hAnsi="Calibri" w:cs="Calibri"/>
          <w:sz w:val="22"/>
          <w:szCs w:val="22"/>
        </w:rPr>
        <w:t>chs</w:t>
      </w:r>
      <w:r w:rsidRPr="004A5DD7">
        <w:rPr>
          <w:rFonts w:ascii="Calibri" w:hAnsi="Calibri" w:cs="Calibri"/>
          <w:sz w:val="22"/>
          <w:szCs w:val="22"/>
        </w:rPr>
        <w:t xml:space="preserve"> de 10 secondes, et l'algorithme de validation du temps d'utilisation de Troiano (2007) sera appliqué pour garantir la précision. </w:t>
      </w:r>
      <w:r>
        <w:rPr>
          <w:rFonts w:ascii="Calibri" w:hAnsi="Calibri" w:cs="Calibri"/>
          <w:sz w:val="22"/>
          <w:szCs w:val="22"/>
        </w:rPr>
        <w:t>L</w:t>
      </w:r>
      <w:r w:rsidRPr="004A5DD7">
        <w:rPr>
          <w:rFonts w:ascii="Calibri" w:hAnsi="Calibri" w:cs="Calibri"/>
          <w:sz w:val="22"/>
          <w:szCs w:val="22"/>
        </w:rPr>
        <w:t>e seuil</w:t>
      </w:r>
      <w:r>
        <w:rPr>
          <w:rFonts w:ascii="Calibri" w:hAnsi="Calibri" w:cs="Calibri"/>
          <w:sz w:val="22"/>
          <w:szCs w:val="22"/>
        </w:rPr>
        <w:t xml:space="preserve"> </w:t>
      </w:r>
      <w:r w:rsidRPr="004A5DD7">
        <w:rPr>
          <w:rFonts w:ascii="Calibri" w:hAnsi="Calibri" w:cs="Calibri"/>
          <w:sz w:val="22"/>
          <w:szCs w:val="22"/>
        </w:rPr>
        <w:t xml:space="preserve">d'intensité </w:t>
      </w:r>
      <w:r>
        <w:rPr>
          <w:rFonts w:ascii="Calibri" w:hAnsi="Calibri" w:cs="Calibri"/>
          <w:sz w:val="22"/>
          <w:szCs w:val="22"/>
        </w:rPr>
        <w:t>sera</w:t>
      </w:r>
      <w:r w:rsidRPr="004A5DD7">
        <w:rPr>
          <w:rFonts w:ascii="Calibri" w:hAnsi="Calibri" w:cs="Calibri"/>
          <w:sz w:val="22"/>
          <w:szCs w:val="22"/>
        </w:rPr>
        <w:t xml:space="preserve"> déterminé</w:t>
      </w:r>
      <w:r>
        <w:rPr>
          <w:rFonts w:ascii="Calibri" w:hAnsi="Calibri" w:cs="Calibri"/>
          <w:sz w:val="22"/>
          <w:szCs w:val="22"/>
        </w:rPr>
        <w:t xml:space="preserve"> </w:t>
      </w:r>
      <w:r w:rsidRPr="004A5DD7">
        <w:rPr>
          <w:rFonts w:ascii="Calibri" w:hAnsi="Calibri" w:cs="Calibri"/>
          <w:sz w:val="22"/>
          <w:szCs w:val="22"/>
        </w:rPr>
        <w:t xml:space="preserve">à </w:t>
      </w:r>
      <w:r>
        <w:rPr>
          <w:rFonts w:ascii="Calibri" w:hAnsi="Calibri" w:cs="Calibri"/>
          <w:sz w:val="22"/>
          <w:szCs w:val="22"/>
        </w:rPr>
        <w:t xml:space="preserve">de </w:t>
      </w:r>
      <w:r w:rsidRPr="004A5DD7">
        <w:rPr>
          <w:rFonts w:ascii="Calibri" w:hAnsi="Calibri" w:cs="Calibri"/>
          <w:sz w:val="22"/>
          <w:szCs w:val="22"/>
        </w:rPr>
        <w:t>l'étalonnage de Freedson (1998)</w:t>
      </w:r>
      <w:r>
        <w:rPr>
          <w:rFonts w:ascii="Calibri" w:hAnsi="Calibri" w:cs="Calibri"/>
          <w:sz w:val="22"/>
          <w:szCs w:val="22"/>
        </w:rPr>
        <w:t xml:space="preserve">. </w:t>
      </w:r>
    </w:p>
    <w:p w14:paraId="05D47D30" w14:textId="77777777" w:rsidR="00587AFF" w:rsidRPr="00FE5953" w:rsidRDefault="00587AFF" w:rsidP="00587AFF">
      <w:pPr>
        <w:spacing w:line="360" w:lineRule="auto"/>
        <w:jc w:val="both"/>
        <w:rPr>
          <w:rFonts w:ascii="Calibri" w:hAnsi="Calibri" w:cs="Calibri"/>
          <w:i/>
          <w:iCs/>
          <w:sz w:val="22"/>
          <w:szCs w:val="22"/>
        </w:rPr>
      </w:pPr>
      <w:r w:rsidRPr="00FE5953">
        <w:rPr>
          <w:rFonts w:ascii="Calibri" w:hAnsi="Calibri" w:cs="Calibri"/>
          <w:i/>
          <w:iCs/>
          <w:sz w:val="22"/>
          <w:szCs w:val="22"/>
        </w:rPr>
        <w:t xml:space="preserve">Analyse des données </w:t>
      </w:r>
    </w:p>
    <w:p w14:paraId="43D34EBD" w14:textId="77777777" w:rsidR="00587AFF" w:rsidRDefault="00587AFF" w:rsidP="00587AFF">
      <w:pPr>
        <w:spacing w:line="360" w:lineRule="auto"/>
        <w:ind w:firstLine="708"/>
        <w:jc w:val="both"/>
        <w:rPr>
          <w:rFonts w:ascii="Calibri" w:hAnsi="Calibri" w:cs="Calibri"/>
          <w:sz w:val="22"/>
          <w:szCs w:val="22"/>
        </w:rPr>
      </w:pPr>
      <w:r w:rsidRPr="004A5DD7">
        <w:rPr>
          <w:rFonts w:ascii="Calibri" w:hAnsi="Calibri" w:cs="Calibri"/>
          <w:sz w:val="22"/>
          <w:szCs w:val="22"/>
        </w:rPr>
        <w:t xml:space="preserve">L'analyse statistique de notre étude utilisera une ANOVA à trois voies pour évaluer l'impact du sexe (masculin, féminin), du type d'activité (avec quatre niveaux : 1, 2, 3, 4) et du contexte socioculturel des écoles (catégorisé comme défavorisé, moyen, aisé) sur notre variable dépendante. Nous utiliserons des statistiques paramétriques ou non paramétriques en fonction de la normalité des données et de l'homogénéité des variances. Le seuil de signification est fixé à α &lt; 0,05. Pour mesurer l'ampleur de l'effet de chaque facteur et de leurs interactions, nous calculerons </w:t>
      </w:r>
      <w:r w:rsidRPr="00777D06">
        <w:rPr>
          <w:rFonts w:ascii="Calibri" w:hAnsi="Calibri" w:cs="Calibri"/>
          <w:sz w:val="22"/>
          <w:szCs w:val="22"/>
        </w:rPr>
        <w:t>les valeurs partielles de l'éta-carré,</w:t>
      </w:r>
      <w:r w:rsidRPr="004A5DD7">
        <w:rPr>
          <w:rFonts w:ascii="Calibri" w:hAnsi="Calibri" w:cs="Calibri"/>
          <w:sz w:val="22"/>
          <w:szCs w:val="22"/>
        </w:rPr>
        <w:t xml:space="preserve"> indiquant la proportion de la variance de la variable dépendante que chaque facteur explique. Une analyse post-hoc de Tukey sera ensuite réalisée pour identifier les différences spécifiques entre les niveaux de facteurs et explorer leurs interactions, afin d'améliorer la rigueur et la robustesse de nos résultats.</w:t>
      </w:r>
    </w:p>
    <w:p w14:paraId="751D64DE" w14:textId="77777777" w:rsidR="00587AFF" w:rsidRDefault="00587AFF" w:rsidP="00587AFF">
      <w:pPr>
        <w:rPr>
          <w:rFonts w:ascii="Calibri" w:hAnsi="Calibri" w:cs="Calibri"/>
          <w:b/>
          <w:bCs/>
          <w:color w:val="156082" w:themeColor="accent1"/>
          <w:sz w:val="22"/>
          <w:szCs w:val="22"/>
        </w:rPr>
      </w:pPr>
    </w:p>
    <w:p w14:paraId="166C50C7" w14:textId="54F605E4" w:rsidR="00587AFF" w:rsidRDefault="00587AFF" w:rsidP="00587AFF">
      <w:pPr>
        <w:jc w:val="center"/>
        <w:rPr>
          <w:rFonts w:ascii="Calibri" w:hAnsi="Calibri" w:cs="Calibri"/>
          <w:b/>
          <w:bCs/>
          <w:color w:val="156082" w:themeColor="accent1"/>
          <w:sz w:val="22"/>
          <w:szCs w:val="22"/>
        </w:rPr>
      </w:pPr>
      <w:r>
        <w:rPr>
          <w:rFonts w:ascii="Calibri" w:hAnsi="Calibri" w:cs="Calibri"/>
          <w:b/>
          <w:bCs/>
          <w:color w:val="156082" w:themeColor="accent1"/>
          <w:sz w:val="22"/>
          <w:szCs w:val="22"/>
        </w:rPr>
        <w:t>Analyse des données</w:t>
      </w:r>
    </w:p>
    <w:p w14:paraId="1E4CB453" w14:textId="77777777" w:rsidR="00587AFF" w:rsidRDefault="00587AFF" w:rsidP="00587AFF">
      <w:pPr>
        <w:rPr>
          <w:rFonts w:ascii="Calibri" w:hAnsi="Calibri" w:cs="Calibri"/>
          <w:b/>
          <w:bCs/>
          <w:color w:val="156082" w:themeColor="accent1"/>
          <w:sz w:val="22"/>
          <w:szCs w:val="22"/>
        </w:rPr>
      </w:pPr>
    </w:p>
    <w:p w14:paraId="0063C446" w14:textId="77777777" w:rsidR="00587AFF" w:rsidRDefault="00587AFF" w:rsidP="00587AFF">
      <w:pPr>
        <w:rPr>
          <w:rFonts w:ascii="Calibri" w:hAnsi="Calibri" w:cs="Calibri"/>
          <w:sz w:val="22"/>
          <w:szCs w:val="22"/>
        </w:rPr>
      </w:pPr>
      <w:r w:rsidRPr="006A49C2">
        <w:rPr>
          <w:rFonts w:ascii="Calibri" w:hAnsi="Calibri" w:cs="Calibri"/>
          <w:b/>
          <w:bCs/>
          <w:sz w:val="22"/>
          <w:szCs w:val="22"/>
        </w:rPr>
        <w:t>Variables dépendantes</w:t>
      </w:r>
      <w:r>
        <w:rPr>
          <w:rFonts w:ascii="Calibri" w:hAnsi="Calibri" w:cs="Calibri"/>
          <w:sz w:val="22"/>
          <w:szCs w:val="22"/>
        </w:rPr>
        <w:t xml:space="preserve"> : </w:t>
      </w:r>
    </w:p>
    <w:p w14:paraId="0E6D60F0" w14:textId="77777777" w:rsidR="00587AFF" w:rsidRPr="00CF68E2" w:rsidRDefault="00587AFF" w:rsidP="00587AFF">
      <w:pPr>
        <w:pStyle w:val="Paragraphedeliste"/>
        <w:numPr>
          <w:ilvl w:val="0"/>
          <w:numId w:val="2"/>
        </w:numPr>
        <w:rPr>
          <w:rFonts w:ascii="Calibri" w:hAnsi="Calibri" w:cs="Calibri"/>
          <w:sz w:val="22"/>
          <w:szCs w:val="22"/>
          <w:lang w:val="en-US"/>
        </w:rPr>
      </w:pPr>
      <w:r w:rsidRPr="00AF2923">
        <w:rPr>
          <w:rFonts w:ascii="Calibri" w:hAnsi="Calibri" w:cs="Calibri"/>
          <w:sz w:val="22"/>
          <w:szCs w:val="22"/>
        </w:rPr>
        <w:lastRenderedPageBreak/>
        <w:t xml:space="preserve"> </w:t>
      </w:r>
      <w:r w:rsidRPr="00CF68E2">
        <w:rPr>
          <w:rFonts w:ascii="Calibri" w:hAnsi="Calibri" w:cs="Calibri"/>
          <w:sz w:val="22"/>
          <w:szCs w:val="22"/>
          <w:lang w:val="en-US"/>
        </w:rPr>
        <w:t xml:space="preserve">MVPA </w:t>
      </w:r>
    </w:p>
    <w:p w14:paraId="152C90D0" w14:textId="77777777" w:rsidR="00587AFF" w:rsidRPr="006A49C2" w:rsidRDefault="00587AFF" w:rsidP="00587AFF">
      <w:pPr>
        <w:pStyle w:val="Paragraphedeliste"/>
        <w:numPr>
          <w:ilvl w:val="0"/>
          <w:numId w:val="2"/>
        </w:numPr>
        <w:rPr>
          <w:rFonts w:ascii="Calibri" w:hAnsi="Calibri" w:cs="Calibri"/>
          <w:sz w:val="22"/>
          <w:szCs w:val="22"/>
        </w:rPr>
      </w:pPr>
      <w:r>
        <w:rPr>
          <w:rFonts w:ascii="Calibri" w:hAnsi="Calibri" w:cs="Calibri"/>
          <w:sz w:val="22"/>
          <w:szCs w:val="22"/>
        </w:rPr>
        <w:t xml:space="preserve">LPA, MPA et VPA </w:t>
      </w:r>
    </w:p>
    <w:p w14:paraId="69BC3131" w14:textId="77777777" w:rsidR="00587AFF" w:rsidRDefault="00587AFF" w:rsidP="00587AFF">
      <w:pPr>
        <w:rPr>
          <w:rFonts w:ascii="Calibri" w:hAnsi="Calibri" w:cs="Calibri"/>
          <w:sz w:val="22"/>
          <w:szCs w:val="22"/>
        </w:rPr>
      </w:pPr>
      <w:r w:rsidRPr="006A49C2">
        <w:rPr>
          <w:rFonts w:ascii="Calibri" w:hAnsi="Calibri" w:cs="Calibri"/>
          <w:b/>
          <w:bCs/>
          <w:sz w:val="22"/>
          <w:szCs w:val="22"/>
        </w:rPr>
        <w:t xml:space="preserve">Variables </w:t>
      </w:r>
      <w:r>
        <w:rPr>
          <w:rFonts w:ascii="Calibri" w:hAnsi="Calibri" w:cs="Calibri"/>
          <w:b/>
          <w:bCs/>
          <w:sz w:val="22"/>
          <w:szCs w:val="22"/>
        </w:rPr>
        <w:t>in</w:t>
      </w:r>
      <w:r w:rsidRPr="006A49C2">
        <w:rPr>
          <w:rFonts w:ascii="Calibri" w:hAnsi="Calibri" w:cs="Calibri"/>
          <w:b/>
          <w:bCs/>
          <w:sz w:val="22"/>
          <w:szCs w:val="22"/>
        </w:rPr>
        <w:t>dépendantes</w:t>
      </w:r>
      <w:r>
        <w:rPr>
          <w:rFonts w:ascii="Calibri" w:hAnsi="Calibri" w:cs="Calibri"/>
          <w:sz w:val="22"/>
          <w:szCs w:val="22"/>
        </w:rPr>
        <w:t xml:space="preserve"> : </w:t>
      </w:r>
    </w:p>
    <w:p w14:paraId="73B80895" w14:textId="77777777" w:rsidR="00587AFF" w:rsidRPr="006A49C2" w:rsidRDefault="00587AFF" w:rsidP="00587AFF">
      <w:pPr>
        <w:pStyle w:val="Paragraphedeliste"/>
        <w:numPr>
          <w:ilvl w:val="0"/>
          <w:numId w:val="2"/>
        </w:numPr>
        <w:rPr>
          <w:rFonts w:ascii="Calibri" w:hAnsi="Calibri" w:cs="Calibri"/>
          <w:sz w:val="22"/>
          <w:szCs w:val="22"/>
        </w:rPr>
      </w:pPr>
      <w:r>
        <w:rPr>
          <w:rFonts w:ascii="Calibri" w:hAnsi="Calibri" w:cs="Calibri"/>
          <w:sz w:val="22"/>
          <w:szCs w:val="22"/>
        </w:rPr>
        <w:t>Sexe (filles, garçons)</w:t>
      </w:r>
    </w:p>
    <w:p w14:paraId="762E4219" w14:textId="77777777" w:rsidR="00587AFF" w:rsidRDefault="00587AFF" w:rsidP="00587AFF">
      <w:pPr>
        <w:pStyle w:val="Paragraphedeliste"/>
        <w:numPr>
          <w:ilvl w:val="0"/>
          <w:numId w:val="2"/>
        </w:numPr>
        <w:rPr>
          <w:rFonts w:ascii="Calibri" w:hAnsi="Calibri" w:cs="Calibri"/>
          <w:sz w:val="22"/>
          <w:szCs w:val="22"/>
        </w:rPr>
      </w:pPr>
      <w:r>
        <w:rPr>
          <w:rFonts w:ascii="Calibri" w:hAnsi="Calibri" w:cs="Calibri"/>
          <w:sz w:val="22"/>
          <w:szCs w:val="22"/>
        </w:rPr>
        <w:t>Champs d’apprentissage : CA1, CA2, CA3, CA4</w:t>
      </w:r>
    </w:p>
    <w:p w14:paraId="67AAB097" w14:textId="77777777" w:rsidR="00587AFF" w:rsidRDefault="00587AFF" w:rsidP="00587AFF">
      <w:pPr>
        <w:pStyle w:val="Paragraphedeliste"/>
        <w:numPr>
          <w:ilvl w:val="0"/>
          <w:numId w:val="2"/>
        </w:numPr>
        <w:rPr>
          <w:rFonts w:ascii="Calibri" w:hAnsi="Calibri" w:cs="Calibri"/>
          <w:sz w:val="22"/>
          <w:szCs w:val="22"/>
        </w:rPr>
      </w:pPr>
      <w:r>
        <w:rPr>
          <w:rFonts w:ascii="Calibri" w:hAnsi="Calibri" w:cs="Calibri"/>
          <w:sz w:val="22"/>
          <w:szCs w:val="22"/>
        </w:rPr>
        <w:t>Catégorie d’IPS : élevé, moyen, faible</w:t>
      </w:r>
    </w:p>
    <w:p w14:paraId="0BCCC355" w14:textId="77777777" w:rsidR="00587AFF" w:rsidRDefault="00587AFF" w:rsidP="00587AFF">
      <w:pPr>
        <w:rPr>
          <w:rFonts w:ascii="Calibri" w:hAnsi="Calibri" w:cs="Calibri"/>
          <w:sz w:val="22"/>
          <w:szCs w:val="22"/>
        </w:rPr>
      </w:pPr>
    </w:p>
    <w:p w14:paraId="280AF4AA" w14:textId="77777777" w:rsidR="00587AFF" w:rsidRPr="006A49C2" w:rsidRDefault="00587AFF" w:rsidP="00587AFF">
      <w:pPr>
        <w:rPr>
          <w:rFonts w:ascii="Calibri" w:hAnsi="Calibri" w:cs="Calibri"/>
          <w:b/>
          <w:bCs/>
          <w:sz w:val="22"/>
          <w:szCs w:val="22"/>
        </w:rPr>
      </w:pPr>
      <w:r w:rsidRPr="006A49C2">
        <w:rPr>
          <w:rFonts w:ascii="Calibri" w:hAnsi="Calibri" w:cs="Calibri"/>
          <w:b/>
          <w:bCs/>
          <w:sz w:val="22"/>
          <w:szCs w:val="22"/>
        </w:rPr>
        <w:t xml:space="preserve">Hyp 1 : l’engagement moteur des garçons en EP est significativement plus élevé que celui des filles. </w:t>
      </w:r>
    </w:p>
    <w:p w14:paraId="4758D402" w14:textId="68FE09D1" w:rsidR="00587AFF" w:rsidRDefault="00587AFF" w:rsidP="00587AFF">
      <w:pPr>
        <w:rPr>
          <w:rFonts w:ascii="Calibri" w:hAnsi="Calibri" w:cs="Calibri"/>
          <w:sz w:val="22"/>
          <w:szCs w:val="22"/>
        </w:rPr>
      </w:pPr>
      <w:r w:rsidRPr="00576969">
        <w:rPr>
          <w:rFonts w:ascii="Calibri" w:hAnsi="Calibri" w:cs="Calibri"/>
          <w:sz w:val="22"/>
          <w:szCs w:val="22"/>
          <w:u w:val="single"/>
        </w:rPr>
        <w:t xml:space="preserve">Ce que je </w:t>
      </w:r>
      <w:r>
        <w:rPr>
          <w:rFonts w:ascii="Calibri" w:hAnsi="Calibri" w:cs="Calibri"/>
          <w:sz w:val="22"/>
          <w:szCs w:val="22"/>
          <w:u w:val="single"/>
        </w:rPr>
        <w:t xml:space="preserve">cherche à </w:t>
      </w:r>
      <w:r w:rsidRPr="00576969">
        <w:rPr>
          <w:rFonts w:ascii="Calibri" w:hAnsi="Calibri" w:cs="Calibri"/>
          <w:sz w:val="22"/>
          <w:szCs w:val="22"/>
          <w:u w:val="single"/>
        </w:rPr>
        <w:t>savoir</w:t>
      </w:r>
      <w:r>
        <w:rPr>
          <w:rFonts w:ascii="Calibri" w:hAnsi="Calibri" w:cs="Calibri"/>
          <w:sz w:val="22"/>
          <w:szCs w:val="22"/>
        </w:rPr>
        <w:t xml:space="preserve"> : </w:t>
      </w:r>
    </w:p>
    <w:p w14:paraId="35CA2EB0" w14:textId="77777777" w:rsidR="00587AFF" w:rsidRDefault="00587AFF" w:rsidP="00587AFF">
      <w:pPr>
        <w:pStyle w:val="Paragraphedeliste"/>
        <w:numPr>
          <w:ilvl w:val="0"/>
          <w:numId w:val="2"/>
        </w:numPr>
        <w:rPr>
          <w:rFonts w:ascii="Calibri" w:hAnsi="Calibri" w:cs="Calibri"/>
          <w:sz w:val="22"/>
          <w:szCs w:val="22"/>
        </w:rPr>
      </w:pPr>
      <w:r>
        <w:rPr>
          <w:rFonts w:ascii="Calibri" w:hAnsi="Calibri" w:cs="Calibri"/>
          <w:sz w:val="22"/>
          <w:szCs w:val="22"/>
        </w:rPr>
        <w:t xml:space="preserve">Écart de niveau de MVPA des filles et des garçons de l’ensemble de l’échantillon </w:t>
      </w:r>
    </w:p>
    <w:p w14:paraId="286DE73D" w14:textId="77777777" w:rsidR="00587AFF" w:rsidRDefault="00587AFF" w:rsidP="00587AFF">
      <w:pPr>
        <w:pStyle w:val="Paragraphedeliste"/>
        <w:numPr>
          <w:ilvl w:val="0"/>
          <w:numId w:val="2"/>
        </w:numPr>
        <w:rPr>
          <w:rFonts w:ascii="Calibri" w:hAnsi="Calibri" w:cs="Calibri"/>
          <w:sz w:val="22"/>
          <w:szCs w:val="22"/>
        </w:rPr>
      </w:pPr>
      <w:r>
        <w:rPr>
          <w:rFonts w:ascii="Calibri" w:hAnsi="Calibri" w:cs="Calibri"/>
          <w:sz w:val="22"/>
          <w:szCs w:val="22"/>
        </w:rPr>
        <w:t>Écart de niveau de LPA, de MPA et de VPA des filles et des garçons de l’ensemble de l’échantillon</w:t>
      </w:r>
    </w:p>
    <w:p w14:paraId="1B4CC5B6" w14:textId="77777777" w:rsidR="00587AFF" w:rsidRPr="006A49C2" w:rsidRDefault="00587AFF" w:rsidP="00587AFF">
      <w:pPr>
        <w:rPr>
          <w:rFonts w:ascii="Calibri" w:hAnsi="Calibri" w:cs="Calibri"/>
          <w:color w:val="A02B93" w:themeColor="accent5"/>
          <w:sz w:val="22"/>
          <w:szCs w:val="22"/>
        </w:rPr>
      </w:pPr>
    </w:p>
    <w:p w14:paraId="6B499395" w14:textId="77777777" w:rsidR="00587AFF" w:rsidRPr="006A49C2" w:rsidRDefault="00587AFF" w:rsidP="00587AFF">
      <w:pPr>
        <w:rPr>
          <w:rFonts w:ascii="Calibri" w:hAnsi="Calibri" w:cs="Calibri"/>
          <w:b/>
          <w:bCs/>
          <w:sz w:val="22"/>
          <w:szCs w:val="22"/>
        </w:rPr>
      </w:pPr>
      <w:r w:rsidRPr="006A49C2">
        <w:rPr>
          <w:rFonts w:ascii="Calibri" w:hAnsi="Calibri" w:cs="Calibri"/>
          <w:b/>
          <w:bCs/>
          <w:sz w:val="22"/>
          <w:szCs w:val="22"/>
        </w:rPr>
        <w:t>Hyp 2 : Le caractère culturel des activités</w:t>
      </w:r>
      <w:r>
        <w:rPr>
          <w:rFonts w:ascii="Calibri" w:hAnsi="Calibri" w:cs="Calibri"/>
          <w:b/>
          <w:bCs/>
          <w:sz w:val="22"/>
          <w:szCs w:val="22"/>
        </w:rPr>
        <w:t xml:space="preserve"> (=champs d’apprentissage)</w:t>
      </w:r>
      <w:r w:rsidRPr="006A49C2">
        <w:rPr>
          <w:rFonts w:ascii="Calibri" w:hAnsi="Calibri" w:cs="Calibri"/>
          <w:b/>
          <w:bCs/>
          <w:sz w:val="22"/>
          <w:szCs w:val="22"/>
        </w:rPr>
        <w:t xml:space="preserve"> est un médiateur de cet engagement </w:t>
      </w:r>
    </w:p>
    <w:p w14:paraId="00AFAB60" w14:textId="77777777" w:rsidR="00587AFF" w:rsidRDefault="00587AFF" w:rsidP="00587AFF">
      <w:pPr>
        <w:rPr>
          <w:rFonts w:ascii="Calibri" w:hAnsi="Calibri" w:cs="Calibri"/>
          <w:sz w:val="22"/>
          <w:szCs w:val="22"/>
        </w:rPr>
      </w:pPr>
      <w:r w:rsidRPr="00576969">
        <w:rPr>
          <w:rFonts w:ascii="Calibri" w:hAnsi="Calibri" w:cs="Calibri"/>
          <w:sz w:val="22"/>
          <w:szCs w:val="22"/>
          <w:u w:val="single"/>
        </w:rPr>
        <w:t>Objectif</w:t>
      </w:r>
      <w:r>
        <w:rPr>
          <w:rFonts w:ascii="Calibri" w:hAnsi="Calibri" w:cs="Calibri"/>
          <w:sz w:val="22"/>
          <w:szCs w:val="22"/>
        </w:rPr>
        <w:t> : identifier si le champ d’apprentissage de la leçon d’EPS augmente, diminue ou n’agit pas sur les écarts de MVPA entre filles et garçons</w:t>
      </w:r>
    </w:p>
    <w:p w14:paraId="6E4E393F" w14:textId="77777777" w:rsidR="00587AFF" w:rsidRDefault="00587AFF" w:rsidP="00587AFF">
      <w:pPr>
        <w:rPr>
          <w:rFonts w:ascii="Calibri" w:hAnsi="Calibri" w:cs="Calibri"/>
          <w:sz w:val="22"/>
          <w:szCs w:val="22"/>
        </w:rPr>
      </w:pPr>
      <w:r w:rsidRPr="00576969">
        <w:rPr>
          <w:rFonts w:ascii="Calibri" w:hAnsi="Calibri" w:cs="Calibri"/>
          <w:sz w:val="22"/>
          <w:szCs w:val="22"/>
          <w:u w:val="single"/>
        </w:rPr>
        <w:t xml:space="preserve">Ce que je </w:t>
      </w:r>
      <w:r>
        <w:rPr>
          <w:rFonts w:ascii="Calibri" w:hAnsi="Calibri" w:cs="Calibri"/>
          <w:sz w:val="22"/>
          <w:szCs w:val="22"/>
          <w:u w:val="single"/>
        </w:rPr>
        <w:t>cherche à</w:t>
      </w:r>
      <w:r w:rsidRPr="00576969">
        <w:rPr>
          <w:rFonts w:ascii="Calibri" w:hAnsi="Calibri" w:cs="Calibri"/>
          <w:sz w:val="22"/>
          <w:szCs w:val="22"/>
          <w:u w:val="single"/>
        </w:rPr>
        <w:t xml:space="preserve"> savoir</w:t>
      </w:r>
      <w:r>
        <w:rPr>
          <w:rFonts w:ascii="Calibri" w:hAnsi="Calibri" w:cs="Calibri"/>
          <w:sz w:val="22"/>
          <w:szCs w:val="22"/>
        </w:rPr>
        <w:t xml:space="preserve"> : </w:t>
      </w:r>
    </w:p>
    <w:p w14:paraId="49F708A5" w14:textId="77777777" w:rsidR="00587AFF" w:rsidRDefault="00587AFF" w:rsidP="00587AFF">
      <w:pPr>
        <w:pStyle w:val="Paragraphedeliste"/>
        <w:numPr>
          <w:ilvl w:val="0"/>
          <w:numId w:val="2"/>
        </w:numPr>
        <w:rPr>
          <w:rFonts w:ascii="Calibri" w:hAnsi="Calibri" w:cs="Calibri"/>
          <w:sz w:val="22"/>
          <w:szCs w:val="22"/>
        </w:rPr>
      </w:pPr>
      <w:r>
        <w:rPr>
          <w:rFonts w:ascii="Calibri" w:hAnsi="Calibri" w:cs="Calibri"/>
          <w:sz w:val="22"/>
          <w:szCs w:val="22"/>
        </w:rPr>
        <w:t xml:space="preserve">Écarts de MVPA des filles et des garçons selon le champ d’apprentissage </w:t>
      </w:r>
    </w:p>
    <w:p w14:paraId="25137065" w14:textId="77777777" w:rsidR="00587AFF" w:rsidRDefault="00587AFF" w:rsidP="00587AFF">
      <w:pPr>
        <w:pStyle w:val="Paragraphedeliste"/>
        <w:numPr>
          <w:ilvl w:val="0"/>
          <w:numId w:val="2"/>
        </w:numPr>
        <w:rPr>
          <w:rFonts w:ascii="Calibri" w:hAnsi="Calibri" w:cs="Calibri"/>
          <w:sz w:val="22"/>
          <w:szCs w:val="22"/>
        </w:rPr>
      </w:pPr>
      <w:r>
        <w:rPr>
          <w:rFonts w:ascii="Calibri" w:hAnsi="Calibri" w:cs="Calibri"/>
          <w:sz w:val="22"/>
          <w:szCs w:val="22"/>
        </w:rPr>
        <w:t>Écarts de LPA, MPA, et VPA des filles et des garçons selon le champ d’apprentissage</w:t>
      </w:r>
    </w:p>
    <w:p w14:paraId="75CB8CFC" w14:textId="77777777" w:rsidR="00587AFF" w:rsidRDefault="00587AFF" w:rsidP="00587AFF">
      <w:pPr>
        <w:rPr>
          <w:rFonts w:ascii="Calibri" w:hAnsi="Calibri" w:cs="Calibri"/>
          <w:sz w:val="22"/>
          <w:szCs w:val="22"/>
        </w:rPr>
      </w:pPr>
      <w:r>
        <w:rPr>
          <w:rFonts w:ascii="Calibri" w:hAnsi="Calibri" w:cs="Calibri"/>
          <w:sz w:val="22"/>
          <w:szCs w:val="22"/>
        </w:rPr>
        <w:t xml:space="preserve">Et aussi : </w:t>
      </w:r>
    </w:p>
    <w:p w14:paraId="1CEC8587" w14:textId="77777777" w:rsidR="00587AFF" w:rsidRDefault="00587AFF" w:rsidP="00587AFF">
      <w:pPr>
        <w:pStyle w:val="Paragraphedeliste"/>
        <w:numPr>
          <w:ilvl w:val="0"/>
          <w:numId w:val="2"/>
        </w:numPr>
        <w:rPr>
          <w:rFonts w:ascii="Calibri" w:hAnsi="Calibri" w:cs="Calibri"/>
          <w:sz w:val="22"/>
          <w:szCs w:val="22"/>
        </w:rPr>
      </w:pPr>
      <w:r>
        <w:rPr>
          <w:rFonts w:ascii="Calibri" w:hAnsi="Calibri" w:cs="Calibri"/>
          <w:sz w:val="22"/>
          <w:szCs w:val="22"/>
        </w:rPr>
        <w:t>Écarts de MVPA (filles et garçons confondus) selon le CA</w:t>
      </w:r>
    </w:p>
    <w:p w14:paraId="38CB47C3" w14:textId="77777777" w:rsidR="00587AFF" w:rsidRDefault="00587AFF" w:rsidP="00587AFF">
      <w:pPr>
        <w:rPr>
          <w:rFonts w:ascii="Calibri" w:hAnsi="Calibri" w:cs="Calibri"/>
          <w:sz w:val="22"/>
          <w:szCs w:val="22"/>
        </w:rPr>
      </w:pPr>
    </w:p>
    <w:p w14:paraId="698CD4C3" w14:textId="77777777" w:rsidR="00587AFF" w:rsidRPr="0089717D" w:rsidRDefault="00587AFF" w:rsidP="00587AFF">
      <w:pPr>
        <w:rPr>
          <w:rFonts w:ascii="Calibri" w:hAnsi="Calibri" w:cs="Calibri"/>
          <w:b/>
          <w:bCs/>
          <w:sz w:val="22"/>
          <w:szCs w:val="22"/>
        </w:rPr>
      </w:pPr>
      <w:r w:rsidRPr="0089717D">
        <w:rPr>
          <w:rFonts w:ascii="Calibri" w:hAnsi="Calibri" w:cs="Calibri"/>
          <w:b/>
          <w:bCs/>
          <w:sz w:val="22"/>
          <w:szCs w:val="22"/>
        </w:rPr>
        <w:t>Hyp 3 : Les caractéristiques socioculturelles et géographiques des écoles sont en corrélation avec l'écart entre les sexes</w:t>
      </w:r>
      <w:r>
        <w:rPr>
          <w:rFonts w:ascii="Calibri" w:hAnsi="Calibri" w:cs="Calibri"/>
          <w:b/>
          <w:bCs/>
          <w:sz w:val="22"/>
          <w:szCs w:val="22"/>
        </w:rPr>
        <w:t xml:space="preserve"> (</w:t>
      </w:r>
      <w:r w:rsidRPr="0089717D">
        <w:rPr>
          <w:rFonts w:ascii="Calibri" w:hAnsi="Calibri" w:cs="Calibri"/>
          <w:b/>
          <w:bCs/>
          <w:sz w:val="22"/>
          <w:szCs w:val="22"/>
        </w:rPr>
        <w:t>moins prononcées dans les milieux favorisés et davantage dans les</w:t>
      </w:r>
      <w:r>
        <w:rPr>
          <w:rFonts w:ascii="Calibri" w:hAnsi="Calibri" w:cs="Calibri"/>
          <w:b/>
          <w:bCs/>
          <w:sz w:val="22"/>
          <w:szCs w:val="22"/>
        </w:rPr>
        <w:t xml:space="preserve"> milieux</w:t>
      </w:r>
      <w:r w:rsidRPr="0089717D">
        <w:rPr>
          <w:rFonts w:ascii="Calibri" w:hAnsi="Calibri" w:cs="Calibri"/>
          <w:b/>
          <w:bCs/>
          <w:sz w:val="22"/>
          <w:szCs w:val="22"/>
        </w:rPr>
        <w:t xml:space="preserve"> défavorisés</w:t>
      </w:r>
      <w:r>
        <w:rPr>
          <w:rFonts w:ascii="Calibri" w:hAnsi="Calibri" w:cs="Calibri"/>
          <w:b/>
          <w:bCs/>
          <w:sz w:val="22"/>
          <w:szCs w:val="22"/>
        </w:rPr>
        <w:t>)</w:t>
      </w:r>
    </w:p>
    <w:p w14:paraId="5ACB1D45" w14:textId="77777777" w:rsidR="00587AFF" w:rsidRDefault="00587AFF" w:rsidP="00587AFF">
      <w:pPr>
        <w:rPr>
          <w:rFonts w:ascii="Calibri" w:hAnsi="Calibri" w:cs="Calibri"/>
          <w:sz w:val="22"/>
          <w:szCs w:val="22"/>
        </w:rPr>
      </w:pPr>
      <w:r w:rsidRPr="0089717D">
        <w:rPr>
          <w:rFonts w:ascii="Calibri" w:hAnsi="Calibri" w:cs="Calibri"/>
          <w:sz w:val="22"/>
          <w:szCs w:val="22"/>
          <w:u w:val="single"/>
        </w:rPr>
        <w:t>Objectif</w:t>
      </w:r>
      <w:r>
        <w:rPr>
          <w:rFonts w:ascii="Calibri" w:hAnsi="Calibri" w:cs="Calibri"/>
          <w:sz w:val="22"/>
          <w:szCs w:val="22"/>
        </w:rPr>
        <w:t xml:space="preserve"> : Identifier si la Cat IPS des établissements augmente, diminue ou n’agit pas sur les écarts de MVPA entre filles et garçons ET si ces écarts sont indépendants du CA utilisé dans la leçon d’EPS </w:t>
      </w:r>
    </w:p>
    <w:p w14:paraId="3D2ED781" w14:textId="77777777" w:rsidR="00587AFF" w:rsidRDefault="00587AFF" w:rsidP="00587AFF">
      <w:pPr>
        <w:rPr>
          <w:rFonts w:ascii="Calibri" w:hAnsi="Calibri" w:cs="Calibri"/>
          <w:sz w:val="22"/>
          <w:szCs w:val="22"/>
        </w:rPr>
      </w:pPr>
      <w:r w:rsidRPr="0089717D">
        <w:rPr>
          <w:rFonts w:ascii="Calibri" w:hAnsi="Calibri" w:cs="Calibri"/>
          <w:sz w:val="22"/>
          <w:szCs w:val="22"/>
          <w:u w:val="single"/>
        </w:rPr>
        <w:t>Ce que je veux savoir</w:t>
      </w:r>
      <w:r>
        <w:rPr>
          <w:rFonts w:ascii="Calibri" w:hAnsi="Calibri" w:cs="Calibri"/>
          <w:sz w:val="22"/>
          <w:szCs w:val="22"/>
        </w:rPr>
        <w:t xml:space="preserve"> : </w:t>
      </w:r>
    </w:p>
    <w:p w14:paraId="490E37DF" w14:textId="4F287C52" w:rsidR="00587AFF" w:rsidRDefault="00587AFF" w:rsidP="00587AFF">
      <w:pPr>
        <w:pStyle w:val="Paragraphedeliste"/>
        <w:numPr>
          <w:ilvl w:val="0"/>
          <w:numId w:val="2"/>
        </w:numPr>
        <w:rPr>
          <w:rFonts w:ascii="Calibri" w:hAnsi="Calibri" w:cs="Calibri"/>
          <w:sz w:val="22"/>
          <w:szCs w:val="22"/>
        </w:rPr>
      </w:pPr>
      <w:r>
        <w:rPr>
          <w:rFonts w:ascii="Calibri" w:hAnsi="Calibri" w:cs="Calibri"/>
          <w:sz w:val="22"/>
          <w:szCs w:val="22"/>
        </w:rPr>
        <w:t>Écarts de MVPA des filles et des garçons selon la cat</w:t>
      </w:r>
      <w:r w:rsidR="00A97C95">
        <w:rPr>
          <w:rFonts w:ascii="Calibri" w:hAnsi="Calibri" w:cs="Calibri"/>
          <w:sz w:val="22"/>
          <w:szCs w:val="22"/>
        </w:rPr>
        <w:t>égorie</w:t>
      </w:r>
      <w:r>
        <w:rPr>
          <w:rFonts w:ascii="Calibri" w:hAnsi="Calibri" w:cs="Calibri"/>
          <w:sz w:val="22"/>
          <w:szCs w:val="22"/>
        </w:rPr>
        <w:t xml:space="preserve"> IPS</w:t>
      </w:r>
    </w:p>
    <w:p w14:paraId="41822ED8" w14:textId="4E047806" w:rsidR="00587AFF" w:rsidRDefault="00587AFF" w:rsidP="00587AFF">
      <w:pPr>
        <w:pStyle w:val="Paragraphedeliste"/>
        <w:numPr>
          <w:ilvl w:val="0"/>
          <w:numId w:val="2"/>
        </w:numPr>
        <w:rPr>
          <w:rFonts w:ascii="Calibri" w:hAnsi="Calibri" w:cs="Calibri"/>
          <w:sz w:val="22"/>
          <w:szCs w:val="22"/>
        </w:rPr>
      </w:pPr>
      <w:r>
        <w:rPr>
          <w:rFonts w:ascii="Calibri" w:hAnsi="Calibri" w:cs="Calibri"/>
          <w:sz w:val="22"/>
          <w:szCs w:val="22"/>
        </w:rPr>
        <w:t>Écarts de LPA, MPA, et VPA des filles et des garçons selon la cat</w:t>
      </w:r>
      <w:r w:rsidR="00A97C95">
        <w:rPr>
          <w:rFonts w:ascii="Calibri" w:hAnsi="Calibri" w:cs="Calibri"/>
          <w:sz w:val="22"/>
          <w:szCs w:val="22"/>
        </w:rPr>
        <w:t>égorie</w:t>
      </w:r>
      <w:r>
        <w:rPr>
          <w:rFonts w:ascii="Calibri" w:hAnsi="Calibri" w:cs="Calibri"/>
          <w:sz w:val="22"/>
          <w:szCs w:val="22"/>
        </w:rPr>
        <w:t xml:space="preserve"> IPS</w:t>
      </w:r>
    </w:p>
    <w:p w14:paraId="3A4BDD3A" w14:textId="77777777" w:rsidR="00587AFF" w:rsidRDefault="00587AFF" w:rsidP="00587AFF">
      <w:pPr>
        <w:rPr>
          <w:rFonts w:ascii="Calibri" w:hAnsi="Calibri" w:cs="Calibri"/>
          <w:sz w:val="22"/>
          <w:szCs w:val="22"/>
        </w:rPr>
      </w:pPr>
      <w:r>
        <w:rPr>
          <w:rFonts w:ascii="Calibri" w:hAnsi="Calibri" w:cs="Calibri"/>
          <w:sz w:val="22"/>
          <w:szCs w:val="22"/>
        </w:rPr>
        <w:t xml:space="preserve">Et aussi : </w:t>
      </w:r>
    </w:p>
    <w:p w14:paraId="0B72BBDC" w14:textId="1E55C5DC" w:rsidR="00587AFF" w:rsidRPr="0055268A" w:rsidRDefault="00587AFF" w:rsidP="00587AFF">
      <w:pPr>
        <w:pStyle w:val="Paragraphedeliste"/>
        <w:numPr>
          <w:ilvl w:val="0"/>
          <w:numId w:val="2"/>
        </w:numPr>
        <w:rPr>
          <w:rFonts w:ascii="Calibri" w:hAnsi="Calibri" w:cs="Calibri"/>
          <w:sz w:val="22"/>
          <w:szCs w:val="22"/>
        </w:rPr>
      </w:pPr>
      <w:r>
        <w:rPr>
          <w:rFonts w:ascii="Calibri" w:hAnsi="Calibri" w:cs="Calibri"/>
          <w:sz w:val="22"/>
          <w:szCs w:val="22"/>
        </w:rPr>
        <w:t>Écarts de MVPA (filles et garçons confondus) selon la cat</w:t>
      </w:r>
      <w:r w:rsidR="00A97C95">
        <w:rPr>
          <w:rFonts w:ascii="Calibri" w:hAnsi="Calibri" w:cs="Calibri"/>
          <w:sz w:val="22"/>
          <w:szCs w:val="22"/>
        </w:rPr>
        <w:t>égorie</w:t>
      </w:r>
      <w:r>
        <w:rPr>
          <w:rFonts w:ascii="Calibri" w:hAnsi="Calibri" w:cs="Calibri"/>
          <w:sz w:val="22"/>
          <w:szCs w:val="22"/>
        </w:rPr>
        <w:t xml:space="preserve"> IPS </w:t>
      </w:r>
    </w:p>
    <w:p w14:paraId="304300A6" w14:textId="77777777" w:rsidR="00587AFF" w:rsidRPr="00587AFF" w:rsidRDefault="00587AFF" w:rsidP="00587AFF">
      <w:pPr>
        <w:rPr>
          <w:rFonts w:ascii="Calibri" w:hAnsi="Calibri" w:cs="Calibri"/>
          <w:sz w:val="22"/>
          <w:szCs w:val="22"/>
        </w:rPr>
      </w:pPr>
    </w:p>
    <w:p w14:paraId="6A6A058C" w14:textId="77777777" w:rsidR="00587AFF" w:rsidRPr="00587AFF" w:rsidRDefault="00587AFF" w:rsidP="00587AFF">
      <w:pPr>
        <w:rPr>
          <w:rFonts w:ascii="Calibri" w:hAnsi="Calibri" w:cs="Calibri"/>
          <w:b/>
          <w:bCs/>
          <w:color w:val="156082" w:themeColor="accent1"/>
          <w:sz w:val="22"/>
          <w:szCs w:val="22"/>
        </w:rPr>
      </w:pPr>
    </w:p>
    <w:sectPr w:rsidR="00587AFF" w:rsidRPr="00587AFF" w:rsidSect="00855AC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668A77" w14:textId="77777777" w:rsidR="00855AC1" w:rsidRDefault="00855AC1" w:rsidP="00587AFF">
      <w:pPr>
        <w:spacing w:after="0" w:line="240" w:lineRule="auto"/>
      </w:pPr>
      <w:r>
        <w:separator/>
      </w:r>
    </w:p>
  </w:endnote>
  <w:endnote w:type="continuationSeparator" w:id="0">
    <w:p w14:paraId="14D5E542" w14:textId="77777777" w:rsidR="00855AC1" w:rsidRDefault="00855AC1" w:rsidP="00587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D38563" w14:textId="77777777" w:rsidR="00855AC1" w:rsidRDefault="00855AC1" w:rsidP="00587AFF">
      <w:pPr>
        <w:spacing w:after="0" w:line="240" w:lineRule="auto"/>
      </w:pPr>
      <w:r>
        <w:separator/>
      </w:r>
    </w:p>
  </w:footnote>
  <w:footnote w:type="continuationSeparator" w:id="0">
    <w:p w14:paraId="7CF41F6F" w14:textId="77777777" w:rsidR="00855AC1" w:rsidRDefault="00855AC1" w:rsidP="00587A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627C58"/>
    <w:multiLevelType w:val="hybridMultilevel"/>
    <w:tmpl w:val="74147C64"/>
    <w:lvl w:ilvl="0" w:tplc="F7309B7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D9E610A"/>
    <w:multiLevelType w:val="hybridMultilevel"/>
    <w:tmpl w:val="075465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093774505">
    <w:abstractNumId w:val="1"/>
  </w:num>
  <w:num w:numId="2" w16cid:durableId="1099524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AFF"/>
    <w:rsid w:val="0035792B"/>
    <w:rsid w:val="00587AFF"/>
    <w:rsid w:val="00855AC1"/>
    <w:rsid w:val="00A97C95"/>
    <w:rsid w:val="00AF2923"/>
    <w:rsid w:val="00E019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9B90C"/>
  <w15:chartTrackingRefBased/>
  <w15:docId w15:val="{9140EB94-1056-4307-A4B8-2199A46B3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AFF"/>
  </w:style>
  <w:style w:type="paragraph" w:styleId="Titre1">
    <w:name w:val="heading 1"/>
    <w:basedOn w:val="Normal"/>
    <w:next w:val="Normal"/>
    <w:link w:val="Titre1Car"/>
    <w:uiPriority w:val="9"/>
    <w:qFormat/>
    <w:rsid w:val="00587A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87A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87AF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87AF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87AF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87AF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87AF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87AF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87AF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7AF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87AF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87AF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87AF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87AF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87AF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87AF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87AF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87AFF"/>
    <w:rPr>
      <w:rFonts w:eastAsiaTheme="majorEastAsia" w:cstheme="majorBidi"/>
      <w:color w:val="272727" w:themeColor="text1" w:themeTint="D8"/>
    </w:rPr>
  </w:style>
  <w:style w:type="paragraph" w:styleId="Titre">
    <w:name w:val="Title"/>
    <w:basedOn w:val="Normal"/>
    <w:next w:val="Normal"/>
    <w:link w:val="TitreCar"/>
    <w:uiPriority w:val="10"/>
    <w:qFormat/>
    <w:rsid w:val="00587A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7AF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87AF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87AF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87AFF"/>
    <w:pPr>
      <w:spacing w:before="160"/>
      <w:jc w:val="center"/>
    </w:pPr>
    <w:rPr>
      <w:i/>
      <w:iCs/>
      <w:color w:val="404040" w:themeColor="text1" w:themeTint="BF"/>
    </w:rPr>
  </w:style>
  <w:style w:type="character" w:customStyle="1" w:styleId="CitationCar">
    <w:name w:val="Citation Car"/>
    <w:basedOn w:val="Policepardfaut"/>
    <w:link w:val="Citation"/>
    <w:uiPriority w:val="29"/>
    <w:rsid w:val="00587AFF"/>
    <w:rPr>
      <w:i/>
      <w:iCs/>
      <w:color w:val="404040" w:themeColor="text1" w:themeTint="BF"/>
    </w:rPr>
  </w:style>
  <w:style w:type="paragraph" w:styleId="Paragraphedeliste">
    <w:name w:val="List Paragraph"/>
    <w:basedOn w:val="Normal"/>
    <w:uiPriority w:val="34"/>
    <w:qFormat/>
    <w:rsid w:val="00587AFF"/>
    <w:pPr>
      <w:ind w:left="720"/>
      <w:contextualSpacing/>
    </w:pPr>
  </w:style>
  <w:style w:type="character" w:styleId="Accentuationintense">
    <w:name w:val="Intense Emphasis"/>
    <w:basedOn w:val="Policepardfaut"/>
    <w:uiPriority w:val="21"/>
    <w:qFormat/>
    <w:rsid w:val="00587AFF"/>
    <w:rPr>
      <w:i/>
      <w:iCs/>
      <w:color w:val="0F4761" w:themeColor="accent1" w:themeShade="BF"/>
    </w:rPr>
  </w:style>
  <w:style w:type="paragraph" w:styleId="Citationintense">
    <w:name w:val="Intense Quote"/>
    <w:basedOn w:val="Normal"/>
    <w:next w:val="Normal"/>
    <w:link w:val="CitationintenseCar"/>
    <w:uiPriority w:val="30"/>
    <w:qFormat/>
    <w:rsid w:val="00587A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87AFF"/>
    <w:rPr>
      <w:i/>
      <w:iCs/>
      <w:color w:val="0F4761" w:themeColor="accent1" w:themeShade="BF"/>
    </w:rPr>
  </w:style>
  <w:style w:type="character" w:styleId="Rfrenceintense">
    <w:name w:val="Intense Reference"/>
    <w:basedOn w:val="Policepardfaut"/>
    <w:uiPriority w:val="32"/>
    <w:qFormat/>
    <w:rsid w:val="00587AFF"/>
    <w:rPr>
      <w:b/>
      <w:bCs/>
      <w:smallCaps/>
      <w:color w:val="0F4761" w:themeColor="accent1" w:themeShade="BF"/>
      <w:spacing w:val="5"/>
    </w:rPr>
  </w:style>
  <w:style w:type="paragraph" w:styleId="En-tte">
    <w:name w:val="header"/>
    <w:basedOn w:val="Normal"/>
    <w:link w:val="En-tteCar"/>
    <w:uiPriority w:val="99"/>
    <w:unhideWhenUsed/>
    <w:rsid w:val="00587AFF"/>
    <w:pPr>
      <w:tabs>
        <w:tab w:val="center" w:pos="4536"/>
        <w:tab w:val="right" w:pos="9072"/>
      </w:tabs>
      <w:spacing w:after="0" w:line="240" w:lineRule="auto"/>
    </w:pPr>
  </w:style>
  <w:style w:type="character" w:customStyle="1" w:styleId="En-tteCar">
    <w:name w:val="En-tête Car"/>
    <w:basedOn w:val="Policepardfaut"/>
    <w:link w:val="En-tte"/>
    <w:uiPriority w:val="99"/>
    <w:rsid w:val="00587AFF"/>
  </w:style>
  <w:style w:type="paragraph" w:styleId="Pieddepage">
    <w:name w:val="footer"/>
    <w:basedOn w:val="Normal"/>
    <w:link w:val="PieddepageCar"/>
    <w:uiPriority w:val="99"/>
    <w:unhideWhenUsed/>
    <w:rsid w:val="00587AF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87A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4323</Words>
  <Characters>23779</Characters>
  <Application>Microsoft Office Word</Application>
  <DocSecurity>0</DocSecurity>
  <Lines>198</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Ornella  Goldstein</dc:creator>
  <cp:keywords/>
  <dc:description/>
  <cp:lastModifiedBy>Ornella  Goldstein</cp:lastModifiedBy>
  <cp:revision>3</cp:revision>
  <dcterms:created xsi:type="dcterms:W3CDTF">2024-04-12T08:12:00Z</dcterms:created>
  <dcterms:modified xsi:type="dcterms:W3CDTF">2024-04-12T08:42:00Z</dcterms:modified>
</cp:coreProperties>
</file>