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8A" w:rsidRDefault="0088114E">
      <w:r>
        <w:t xml:space="preserve">Kenneth Zhuang </w:t>
      </w:r>
    </w:p>
    <w:p w:rsidR="00905096" w:rsidRDefault="00905096">
      <w:r>
        <w:t>004413520</w:t>
      </w:r>
    </w:p>
    <w:p w:rsidR="008E4B5D" w:rsidRDefault="0088114E">
      <w:r>
        <w:t>Physics 4BL – Lab 1</w:t>
      </w:r>
    </w:p>
    <w:p w:rsidR="00905096" w:rsidRDefault="008E4B5D" w:rsidP="00905096">
      <w:r>
        <w:rPr>
          <w:noProof/>
        </w:rPr>
        <w:drawing>
          <wp:inline distT="0" distB="0" distL="0" distR="0" wp14:anchorId="4291CC84" wp14:editId="6E5FC5CF">
            <wp:extent cx="5876925" cy="39528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t xml:space="preserve">Figure 1: A plot of the output voltage vs. theta data taken from turning the knob in the potentiometer. </w:t>
      </w:r>
      <w:r w:rsidR="00905096">
        <w:t xml:space="preserve">There is a clear linear correlation between theta and voltage, and the relationship is governed by the equation: </w:t>
      </w:r>
      <w:r w:rsidR="00905096" w:rsidRPr="00905096">
        <w:t>y = (0.001284</w:t>
      </w:r>
      <w:r w:rsidR="009175BE">
        <w:t xml:space="preserve"> ± 0.000003) x + (0.0006 ± 0.00</w:t>
      </w:r>
      <w:r w:rsidR="00905096" w:rsidRPr="00905096">
        <w:t>4)</w:t>
      </w:r>
      <w:r w:rsidR="00905096">
        <w:t xml:space="preserve">. As the knob is turned at greater angles, the voltage output also increases accordingly. The uncertainties are fairly insignificant as well. </w:t>
      </w:r>
    </w:p>
    <w:tbl>
      <w:tblPr>
        <w:tblW w:w="4740" w:type="dxa"/>
        <w:tblLook w:val="04A0" w:firstRow="1" w:lastRow="0" w:firstColumn="1" w:lastColumn="0" w:noHBand="0" w:noVBand="1"/>
      </w:tblPr>
      <w:tblGrid>
        <w:gridCol w:w="1300"/>
        <w:gridCol w:w="1480"/>
        <w:gridCol w:w="1960"/>
      </w:tblGrid>
      <w:tr w:rsidR="00064FFC" w:rsidRPr="00064FFC" w:rsidTr="00064FF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jc w:val="center"/>
              <w:rPr>
                <w:rFonts w:ascii="Calibri" w:eastAsia="Times New Roman" w:hAnsi="Calibri" w:cs="Calibri"/>
                <w:i/>
                <w:iCs/>
                <w:color w:val="000000"/>
              </w:rPr>
            </w:pPr>
            <w:r w:rsidRPr="00064FFC">
              <w:rPr>
                <w:rFonts w:ascii="Calibri" w:eastAsia="Times New Roman" w:hAnsi="Calibri" w:cs="Calibri"/>
                <w:i/>
                <w:iCs/>
                <w:color w:val="000000"/>
              </w:rPr>
              <w: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jc w:val="center"/>
              <w:rPr>
                <w:rFonts w:ascii="Calibri" w:eastAsia="Times New Roman" w:hAnsi="Calibri" w:cs="Calibri"/>
                <w:i/>
                <w:iCs/>
                <w:color w:val="000000"/>
              </w:rPr>
            </w:pPr>
            <w:r w:rsidRPr="00064FFC">
              <w:rPr>
                <w:rFonts w:ascii="Calibri" w:eastAsia="Times New Roman" w:hAnsi="Calibri" w:cs="Calibri"/>
                <w:i/>
                <w:iCs/>
                <w:color w:val="000000"/>
              </w:rPr>
              <w:t>Coefficients</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jc w:val="center"/>
              <w:rPr>
                <w:rFonts w:ascii="Calibri" w:eastAsia="Times New Roman" w:hAnsi="Calibri" w:cs="Calibri"/>
                <w:i/>
                <w:iCs/>
                <w:color w:val="000000"/>
              </w:rPr>
            </w:pPr>
            <w:r w:rsidRPr="00064FFC">
              <w:rPr>
                <w:rFonts w:ascii="Calibri" w:eastAsia="Times New Roman" w:hAnsi="Calibri" w:cs="Calibri"/>
                <w:i/>
                <w:iCs/>
                <w:color w:val="000000"/>
              </w:rPr>
              <w:t>Standard Error</w:t>
            </w:r>
          </w:p>
        </w:tc>
      </w:tr>
      <w:tr w:rsidR="00064FFC" w:rsidRPr="00064FFC" w:rsidTr="00064FFC">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rPr>
                <w:rFonts w:ascii="Calibri" w:eastAsia="Times New Roman" w:hAnsi="Calibri" w:cs="Calibri"/>
                <w:color w:val="000000"/>
              </w:rPr>
            </w:pPr>
            <w:r w:rsidRPr="00064FFC">
              <w:rPr>
                <w:rFonts w:ascii="Calibri" w:eastAsia="Times New Roman" w:hAnsi="Calibri" w:cs="Calibri"/>
                <w:color w:val="000000"/>
              </w:rPr>
              <w:t>Intercept</w:t>
            </w:r>
          </w:p>
        </w:tc>
        <w:tc>
          <w:tcPr>
            <w:tcW w:w="1480" w:type="dxa"/>
            <w:tcBorders>
              <w:top w:val="nil"/>
              <w:left w:val="nil"/>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jc w:val="right"/>
              <w:rPr>
                <w:rFonts w:ascii="Calibri" w:eastAsia="Times New Roman" w:hAnsi="Calibri" w:cs="Calibri"/>
                <w:color w:val="000000"/>
              </w:rPr>
            </w:pPr>
            <w:r w:rsidRPr="00064FFC">
              <w:rPr>
                <w:rFonts w:ascii="Calibri" w:eastAsia="Times New Roman" w:hAnsi="Calibri" w:cs="Calibri"/>
                <w:color w:val="000000"/>
              </w:rPr>
              <w:t>0.000637143</w:t>
            </w:r>
          </w:p>
        </w:tc>
        <w:tc>
          <w:tcPr>
            <w:tcW w:w="1960" w:type="dxa"/>
            <w:tcBorders>
              <w:top w:val="nil"/>
              <w:left w:val="nil"/>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jc w:val="right"/>
              <w:rPr>
                <w:rFonts w:ascii="Calibri" w:eastAsia="Times New Roman" w:hAnsi="Calibri" w:cs="Calibri"/>
                <w:color w:val="000000"/>
              </w:rPr>
            </w:pPr>
            <w:r w:rsidRPr="00064FFC">
              <w:rPr>
                <w:rFonts w:ascii="Calibri" w:eastAsia="Times New Roman" w:hAnsi="Calibri" w:cs="Calibri"/>
                <w:color w:val="000000"/>
              </w:rPr>
              <w:t>0.004446161</w:t>
            </w:r>
          </w:p>
        </w:tc>
      </w:tr>
      <w:tr w:rsidR="00064FFC" w:rsidRPr="00064FFC" w:rsidTr="00064FFC">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rPr>
                <w:rFonts w:ascii="Calibri" w:eastAsia="Times New Roman" w:hAnsi="Calibri" w:cs="Calibri"/>
                <w:color w:val="000000"/>
              </w:rPr>
            </w:pPr>
            <w:r w:rsidRPr="00064FFC">
              <w:rPr>
                <w:rFonts w:ascii="Calibri" w:eastAsia="Times New Roman" w:hAnsi="Calibri" w:cs="Calibri"/>
                <w:color w:val="000000"/>
              </w:rPr>
              <w:t>X Variable 1</w:t>
            </w:r>
          </w:p>
        </w:tc>
        <w:tc>
          <w:tcPr>
            <w:tcW w:w="1480" w:type="dxa"/>
            <w:tcBorders>
              <w:top w:val="nil"/>
              <w:left w:val="nil"/>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jc w:val="right"/>
              <w:rPr>
                <w:rFonts w:ascii="Calibri" w:eastAsia="Times New Roman" w:hAnsi="Calibri" w:cs="Calibri"/>
                <w:color w:val="000000"/>
              </w:rPr>
            </w:pPr>
            <w:r w:rsidRPr="00064FFC">
              <w:rPr>
                <w:rFonts w:ascii="Calibri" w:eastAsia="Times New Roman" w:hAnsi="Calibri" w:cs="Calibri"/>
                <w:color w:val="000000"/>
              </w:rPr>
              <w:t>0.001283607</w:t>
            </w:r>
          </w:p>
        </w:tc>
        <w:tc>
          <w:tcPr>
            <w:tcW w:w="1960" w:type="dxa"/>
            <w:tcBorders>
              <w:top w:val="nil"/>
              <w:left w:val="nil"/>
              <w:bottom w:val="single" w:sz="4" w:space="0" w:color="auto"/>
              <w:right w:val="single" w:sz="4" w:space="0" w:color="auto"/>
            </w:tcBorders>
            <w:shd w:val="clear" w:color="auto" w:fill="auto"/>
            <w:noWrap/>
            <w:vAlign w:val="bottom"/>
            <w:hideMark/>
          </w:tcPr>
          <w:p w:rsidR="00064FFC" w:rsidRPr="00064FFC" w:rsidRDefault="00064FFC" w:rsidP="00064FFC">
            <w:pPr>
              <w:spacing w:after="0" w:line="240" w:lineRule="auto"/>
              <w:jc w:val="right"/>
              <w:rPr>
                <w:rFonts w:ascii="Calibri" w:eastAsia="Times New Roman" w:hAnsi="Calibri" w:cs="Calibri"/>
                <w:color w:val="000000"/>
              </w:rPr>
            </w:pPr>
            <w:r w:rsidRPr="00064FFC">
              <w:rPr>
                <w:rFonts w:ascii="Calibri" w:eastAsia="Times New Roman" w:hAnsi="Calibri" w:cs="Calibri"/>
                <w:color w:val="000000"/>
              </w:rPr>
              <w:t>3.2295E-06</w:t>
            </w:r>
          </w:p>
        </w:tc>
      </w:tr>
    </w:tbl>
    <w:p w:rsidR="00905096" w:rsidRDefault="00064FFC" w:rsidP="00905096">
      <w:r>
        <w:t>Table 1: Regression Analysis Data for Figure 1.</w:t>
      </w:r>
    </w:p>
    <w:p w:rsidR="001C74D1" w:rsidRPr="00905096" w:rsidRDefault="00154EE5" w:rsidP="00905096">
      <w:r>
        <w:t>The intercept determines where the line starts. In other words, t</w:t>
      </w:r>
      <w:r w:rsidR="00230006">
        <w:t>he intercept is the output voltage whenever the knob is turned all the way to</w:t>
      </w:r>
      <w:r>
        <w:t xml:space="preserve"> one end. Theoretically, for this experiment, the voltage value should be around 0 V when the angle is also 0. The intercept in this case has a value of 0.0006, which is sufficiently small enough so as to model 0 V with limited error. </w:t>
      </w:r>
      <w:r w:rsidR="00E20C29">
        <w:t xml:space="preserve">The slope of the fit line governs the relationship between voltage and theta. In this case, whenever theta increases by a value of 1, voltage increases by a value of 0.001284. </w:t>
      </w:r>
      <w:r w:rsidR="006F28FF">
        <w:t xml:space="preserve">The slope is crucial for determining output voltages for even higher theta values. </w:t>
      </w:r>
    </w:p>
    <w:p w:rsidR="00905096" w:rsidRDefault="00905096">
      <w:pPr>
        <w:rPr>
          <w:rFonts w:ascii="Cambria Math" w:hAnsi="Cambria Math"/>
          <w:i/>
        </w:rPr>
      </w:pPr>
      <w:r>
        <w:rPr>
          <w:rFonts w:ascii="Cambria Math" w:hAnsi="Cambria Math"/>
          <w:i/>
        </w:rPr>
        <w:t xml:space="preserve">                                                               </w:t>
      </w:r>
    </w:p>
    <w:p w:rsidR="00C27449" w:rsidRDefault="00C27449">
      <w:pPr>
        <w:rPr>
          <w:rFonts w:ascii="Cambria Math" w:hAnsi="Cambria Math"/>
          <w:i/>
        </w:rPr>
      </w:pPr>
    </w:p>
    <w:p w:rsidR="00C27449" w:rsidRDefault="00C27449">
      <w:r>
        <w:rPr>
          <w:noProof/>
        </w:rPr>
        <w:drawing>
          <wp:inline distT="0" distB="0" distL="0" distR="0" wp14:anchorId="7C0BC290" wp14:editId="25D9BEA0">
            <wp:extent cx="5943600" cy="36290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D01F8" w:rsidRPr="001D01F8">
        <w:t xml:space="preserve"> </w:t>
      </w:r>
      <w:r w:rsidR="001D01F8">
        <w:t xml:space="preserve">Figure 2: A plot of the ratio between the output and input voltages vs. theta data taken from turning the knob in the potentiometer. There is a clear linear correlation between theta and voltage, and the relationship is governed by the equation: </w:t>
      </w:r>
      <w:r w:rsidR="001D01F8" w:rsidRPr="001D01F8">
        <w:t>y = (0.000257 ±</w:t>
      </w:r>
      <w:r w:rsidR="001D01F8">
        <w:t xml:space="preserve"> 0.000006)</w:t>
      </w:r>
      <w:r w:rsidR="00011BDE">
        <w:t xml:space="preserve"> </w:t>
      </w:r>
      <w:r w:rsidR="001D01F8">
        <w:t xml:space="preserve">x + (0.0001 ± 0.0009). As the knob is turned at greater angles, the </w:t>
      </w:r>
      <w:r w:rsidR="00717E3A">
        <w:t>voltage ratio</w:t>
      </w:r>
      <w:r w:rsidR="001D01F8">
        <w:t xml:space="preserve"> also increases accordingly. The uncertainties are fairly insignificant as well.</w:t>
      </w:r>
    </w:p>
    <w:p w:rsidR="00FC0DC0" w:rsidRDefault="00FC0DC0"/>
    <w:p w:rsidR="00FC0DC0" w:rsidRDefault="00FC0DC0"/>
    <w:tbl>
      <w:tblPr>
        <w:tblW w:w="4660" w:type="dxa"/>
        <w:tblLook w:val="04A0" w:firstRow="1" w:lastRow="0" w:firstColumn="1" w:lastColumn="0" w:noHBand="0" w:noVBand="1"/>
      </w:tblPr>
      <w:tblGrid>
        <w:gridCol w:w="1760"/>
        <w:gridCol w:w="1440"/>
        <w:gridCol w:w="1460"/>
      </w:tblGrid>
      <w:tr w:rsidR="0076332F" w:rsidRPr="0076332F" w:rsidTr="0076332F">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jc w:val="center"/>
              <w:rPr>
                <w:rFonts w:ascii="Calibri" w:eastAsia="Times New Roman" w:hAnsi="Calibri" w:cs="Calibri"/>
                <w:i/>
                <w:iCs/>
                <w:color w:val="000000"/>
              </w:rPr>
            </w:pPr>
            <w:r w:rsidRPr="0076332F">
              <w:rPr>
                <w:rFonts w:ascii="Calibri" w:eastAsia="Times New Roman" w:hAnsi="Calibri" w:cs="Calibri"/>
                <w:i/>
                <w:iCs/>
                <w:color w:val="000000"/>
              </w:rPr>
              <w: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jc w:val="center"/>
              <w:rPr>
                <w:rFonts w:ascii="Calibri" w:eastAsia="Times New Roman" w:hAnsi="Calibri" w:cs="Calibri"/>
                <w:i/>
                <w:iCs/>
                <w:color w:val="000000"/>
              </w:rPr>
            </w:pPr>
            <w:r w:rsidRPr="0076332F">
              <w:rPr>
                <w:rFonts w:ascii="Calibri" w:eastAsia="Times New Roman" w:hAnsi="Calibri" w:cs="Calibri"/>
                <w:i/>
                <w:iCs/>
                <w:color w:val="000000"/>
              </w:rPr>
              <w:t>Coefficients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jc w:val="center"/>
              <w:rPr>
                <w:rFonts w:ascii="Calibri" w:eastAsia="Times New Roman" w:hAnsi="Calibri" w:cs="Calibri"/>
                <w:i/>
                <w:iCs/>
                <w:color w:val="000000"/>
              </w:rPr>
            </w:pPr>
            <w:r w:rsidRPr="0076332F">
              <w:rPr>
                <w:rFonts w:ascii="Calibri" w:eastAsia="Times New Roman" w:hAnsi="Calibri" w:cs="Calibri"/>
                <w:i/>
                <w:iCs/>
                <w:color w:val="000000"/>
              </w:rPr>
              <w:t>Standard Error</w:t>
            </w:r>
          </w:p>
        </w:tc>
      </w:tr>
      <w:tr w:rsidR="0076332F" w:rsidRPr="0076332F" w:rsidTr="00763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rPr>
                <w:rFonts w:ascii="Calibri" w:eastAsia="Times New Roman" w:hAnsi="Calibri" w:cs="Calibri"/>
                <w:color w:val="000000"/>
              </w:rPr>
            </w:pPr>
            <w:r w:rsidRPr="0076332F">
              <w:rPr>
                <w:rFonts w:ascii="Calibri" w:eastAsia="Times New Roman" w:hAnsi="Calibri" w:cs="Calibri"/>
                <w:color w:val="000000"/>
              </w:rPr>
              <w:t>Intercept</w:t>
            </w:r>
          </w:p>
        </w:tc>
        <w:tc>
          <w:tcPr>
            <w:tcW w:w="1440" w:type="dxa"/>
            <w:tcBorders>
              <w:top w:val="nil"/>
              <w:left w:val="nil"/>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jc w:val="right"/>
              <w:rPr>
                <w:rFonts w:ascii="Calibri" w:eastAsia="Times New Roman" w:hAnsi="Calibri" w:cs="Calibri"/>
                <w:color w:val="000000"/>
              </w:rPr>
            </w:pPr>
            <w:r w:rsidRPr="0076332F">
              <w:rPr>
                <w:rFonts w:ascii="Calibri" w:eastAsia="Times New Roman" w:hAnsi="Calibri" w:cs="Calibri"/>
                <w:color w:val="000000"/>
              </w:rPr>
              <w:t>0.000127429</w:t>
            </w:r>
          </w:p>
        </w:tc>
        <w:tc>
          <w:tcPr>
            <w:tcW w:w="1460" w:type="dxa"/>
            <w:tcBorders>
              <w:top w:val="nil"/>
              <w:left w:val="nil"/>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jc w:val="right"/>
              <w:rPr>
                <w:rFonts w:ascii="Calibri" w:eastAsia="Times New Roman" w:hAnsi="Calibri" w:cs="Calibri"/>
                <w:color w:val="000000"/>
              </w:rPr>
            </w:pPr>
            <w:r w:rsidRPr="0076332F">
              <w:rPr>
                <w:rFonts w:ascii="Calibri" w:eastAsia="Times New Roman" w:hAnsi="Calibri" w:cs="Calibri"/>
                <w:color w:val="000000"/>
              </w:rPr>
              <w:t>0.000889232</w:t>
            </w:r>
          </w:p>
        </w:tc>
      </w:tr>
      <w:tr w:rsidR="0076332F" w:rsidRPr="0076332F" w:rsidTr="0076332F">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rPr>
                <w:rFonts w:ascii="Calibri" w:eastAsia="Times New Roman" w:hAnsi="Calibri" w:cs="Calibri"/>
                <w:color w:val="000000"/>
              </w:rPr>
            </w:pPr>
            <w:r w:rsidRPr="0076332F">
              <w:rPr>
                <w:rFonts w:ascii="Calibri" w:eastAsia="Times New Roman" w:hAnsi="Calibri" w:cs="Calibri"/>
                <w:color w:val="000000"/>
              </w:rPr>
              <w:t>X Variable 1</w:t>
            </w:r>
          </w:p>
        </w:tc>
        <w:tc>
          <w:tcPr>
            <w:tcW w:w="1440" w:type="dxa"/>
            <w:tcBorders>
              <w:top w:val="nil"/>
              <w:left w:val="nil"/>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jc w:val="right"/>
              <w:rPr>
                <w:rFonts w:ascii="Calibri" w:eastAsia="Times New Roman" w:hAnsi="Calibri" w:cs="Calibri"/>
                <w:color w:val="000000"/>
              </w:rPr>
            </w:pPr>
            <w:r w:rsidRPr="0076332F">
              <w:rPr>
                <w:rFonts w:ascii="Calibri" w:eastAsia="Times New Roman" w:hAnsi="Calibri" w:cs="Calibri"/>
                <w:color w:val="000000"/>
              </w:rPr>
              <w:t>0.000256721</w:t>
            </w:r>
          </w:p>
        </w:tc>
        <w:tc>
          <w:tcPr>
            <w:tcW w:w="1460" w:type="dxa"/>
            <w:tcBorders>
              <w:top w:val="nil"/>
              <w:left w:val="nil"/>
              <w:bottom w:val="single" w:sz="4" w:space="0" w:color="auto"/>
              <w:right w:val="single" w:sz="4" w:space="0" w:color="auto"/>
            </w:tcBorders>
            <w:shd w:val="clear" w:color="auto" w:fill="auto"/>
            <w:noWrap/>
            <w:vAlign w:val="bottom"/>
            <w:hideMark/>
          </w:tcPr>
          <w:p w:rsidR="0076332F" w:rsidRPr="0076332F" w:rsidRDefault="0076332F" w:rsidP="0076332F">
            <w:pPr>
              <w:spacing w:after="0" w:line="240" w:lineRule="auto"/>
              <w:jc w:val="right"/>
              <w:rPr>
                <w:rFonts w:ascii="Calibri" w:eastAsia="Times New Roman" w:hAnsi="Calibri" w:cs="Calibri"/>
                <w:color w:val="000000"/>
              </w:rPr>
            </w:pPr>
            <w:r w:rsidRPr="0076332F">
              <w:rPr>
                <w:rFonts w:ascii="Calibri" w:eastAsia="Times New Roman" w:hAnsi="Calibri" w:cs="Calibri"/>
                <w:color w:val="000000"/>
              </w:rPr>
              <w:t>6.45899E-07</w:t>
            </w:r>
          </w:p>
        </w:tc>
      </w:tr>
    </w:tbl>
    <w:p w:rsidR="0076332F" w:rsidRDefault="0076332F">
      <w:r>
        <w:t>Table 2: Regression Analysis Data for Figure 2.</w:t>
      </w:r>
    </w:p>
    <w:p w:rsidR="00D70352" w:rsidRDefault="00D70352"/>
    <w:p w:rsidR="00FC0DC0" w:rsidRDefault="00FC0DC0"/>
    <w:p w:rsidR="00FC0DC0" w:rsidRDefault="00FC0DC0"/>
    <w:p w:rsidR="00FC0DC0" w:rsidRDefault="00FC0DC0"/>
    <w:p w:rsidR="00FC0DC0" w:rsidRDefault="00FC0DC0"/>
    <w:p w:rsidR="00FC0DC0" w:rsidRDefault="00FC0DC0"/>
    <w:tbl>
      <w:tblPr>
        <w:tblW w:w="8060" w:type="dxa"/>
        <w:tblLook w:val="04A0" w:firstRow="1" w:lastRow="0" w:firstColumn="1" w:lastColumn="0" w:noHBand="0" w:noVBand="1"/>
      </w:tblPr>
      <w:tblGrid>
        <w:gridCol w:w="960"/>
        <w:gridCol w:w="1600"/>
        <w:gridCol w:w="1880"/>
        <w:gridCol w:w="1840"/>
        <w:gridCol w:w="1780"/>
      </w:tblGrid>
      <w:tr w:rsidR="00485DF8" w:rsidRPr="00485DF8" w:rsidTr="00485D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center"/>
              <w:rPr>
                <w:rFonts w:ascii="Calibri" w:eastAsia="Times New Roman" w:hAnsi="Calibri" w:cs="Calibri"/>
                <w:color w:val="000000"/>
              </w:rPr>
            </w:pPr>
            <w:r w:rsidRPr="00485DF8">
              <w:rPr>
                <w:rFonts w:ascii="Calibri" w:eastAsia="Times New Roman" w:hAnsi="Calibri" w:cs="Calibri"/>
                <w:color w:val="000000"/>
              </w:rPr>
              <w:lastRenderedPageBreak/>
              <w:t>Angle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center"/>
              <w:rPr>
                <w:rFonts w:ascii="Calibri" w:eastAsia="Times New Roman" w:hAnsi="Calibri" w:cs="Calibri"/>
                <w:color w:val="000000"/>
              </w:rPr>
            </w:pPr>
            <w:r w:rsidRPr="00485DF8">
              <w:rPr>
                <w:rFonts w:ascii="Calibri" w:eastAsia="Times New Roman" w:hAnsi="Calibri" w:cs="Calibri"/>
                <w:color w:val="000000"/>
              </w:rPr>
              <w:t>Difference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center"/>
              <w:rPr>
                <w:rFonts w:ascii="Calibri" w:eastAsia="Times New Roman" w:hAnsi="Calibri" w:cs="Calibri"/>
                <w:color w:val="000000"/>
              </w:rPr>
            </w:pPr>
            <w:r w:rsidRPr="00485DF8">
              <w:rPr>
                <w:rFonts w:ascii="Calibri" w:eastAsia="Times New Roman" w:hAnsi="Calibri" w:cs="Calibri"/>
                <w:color w:val="000000"/>
              </w:rPr>
              <w:t>% Deviation</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center"/>
              <w:rPr>
                <w:rFonts w:ascii="Calibri" w:eastAsia="Times New Roman" w:hAnsi="Calibri" w:cs="Calibri"/>
                <w:color w:val="000000"/>
              </w:rPr>
            </w:pPr>
            <w:r w:rsidRPr="00485DF8">
              <w:rPr>
                <w:rFonts w:ascii="Calibri" w:eastAsia="Times New Roman" w:hAnsi="Calibri" w:cs="Calibri"/>
                <w:color w:val="000000"/>
              </w:rPr>
              <w:t>Max Deviation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center"/>
              <w:rPr>
                <w:rFonts w:ascii="Calibri" w:eastAsia="Times New Roman" w:hAnsi="Calibri" w:cs="Calibri"/>
                <w:color w:val="000000"/>
              </w:rPr>
            </w:pPr>
            <w:r w:rsidRPr="00485DF8">
              <w:rPr>
                <w:rFonts w:ascii="Calibri" w:eastAsia="Times New Roman" w:hAnsi="Calibri" w:cs="Calibri"/>
                <w:color w:val="000000"/>
              </w:rPr>
              <w:t>Min Deviation</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0.0047</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0.094</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0.008</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0.0014</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180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0.00036</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0.0072</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360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-0.0009</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-0.018</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540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0.00014</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0.0028</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center"/>
              <w:rPr>
                <w:rFonts w:ascii="Calibri" w:eastAsia="Times New Roman" w:hAnsi="Calibri" w:cs="Calibri"/>
                <w:color w:val="000000"/>
              </w:rPr>
            </w:pPr>
            <w:r w:rsidRPr="00485DF8">
              <w:rPr>
                <w:rFonts w:ascii="Calibri" w:eastAsia="Times New Roman" w:hAnsi="Calibri" w:cs="Calibri"/>
                <w:color w:val="000000"/>
              </w:rPr>
              <w:t>Max % Deviation</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center"/>
              <w:rPr>
                <w:rFonts w:ascii="Calibri" w:eastAsia="Times New Roman" w:hAnsi="Calibri" w:cs="Calibri"/>
                <w:color w:val="000000"/>
              </w:rPr>
            </w:pPr>
            <w:r w:rsidRPr="00485DF8">
              <w:rPr>
                <w:rFonts w:ascii="Calibri" w:eastAsia="Times New Roman" w:hAnsi="Calibri" w:cs="Calibri"/>
                <w:color w:val="000000"/>
              </w:rPr>
              <w:t>Min % Deviation</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720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0.00214</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0.0428</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0.16</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0.0028</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900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0.00206</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0.0412</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1080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0.00168</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0.0336</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1260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0.00414</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0.0828</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1440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0.00358</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0.0716</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1620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0.00568</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0.1136</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1800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0.0066</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0.132</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1980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0.00732</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0.1464</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2160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0.008</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0.16</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r w:rsidR="00485DF8" w:rsidRPr="00485DF8" w:rsidTr="00485D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2340</w:t>
            </w:r>
          </w:p>
        </w:tc>
        <w:tc>
          <w:tcPr>
            <w:tcW w:w="160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0.00782</w:t>
            </w:r>
          </w:p>
        </w:tc>
        <w:tc>
          <w:tcPr>
            <w:tcW w:w="18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jc w:val="right"/>
              <w:rPr>
                <w:rFonts w:ascii="Calibri" w:eastAsia="Times New Roman" w:hAnsi="Calibri" w:cs="Calibri"/>
                <w:color w:val="000000"/>
              </w:rPr>
            </w:pPr>
            <w:r w:rsidRPr="00485DF8">
              <w:rPr>
                <w:rFonts w:ascii="Calibri" w:eastAsia="Times New Roman" w:hAnsi="Calibri" w:cs="Calibri"/>
                <w:color w:val="000000"/>
              </w:rPr>
              <w:t>0.1564</w:t>
            </w:r>
          </w:p>
        </w:tc>
        <w:tc>
          <w:tcPr>
            <w:tcW w:w="184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rsidR="00485DF8" w:rsidRPr="00485DF8" w:rsidRDefault="00485DF8" w:rsidP="00485DF8">
            <w:pPr>
              <w:spacing w:after="0" w:line="240" w:lineRule="auto"/>
              <w:rPr>
                <w:rFonts w:ascii="Calibri" w:eastAsia="Times New Roman" w:hAnsi="Calibri" w:cs="Calibri"/>
                <w:color w:val="000000"/>
              </w:rPr>
            </w:pPr>
            <w:r w:rsidRPr="00485DF8">
              <w:rPr>
                <w:rFonts w:ascii="Calibri" w:eastAsia="Times New Roman" w:hAnsi="Calibri" w:cs="Calibri"/>
                <w:color w:val="000000"/>
              </w:rPr>
              <w:t> </w:t>
            </w:r>
          </w:p>
        </w:tc>
      </w:tr>
    </w:tbl>
    <w:p w:rsidR="00485DF8" w:rsidRDefault="00485DF8">
      <w:r>
        <w:t>Table 3: Deviation Data between the fit</w:t>
      </w:r>
      <w:r w:rsidR="003616B1">
        <w:t xml:space="preserve"> </w:t>
      </w:r>
      <w:bookmarkStart w:id="0" w:name="_GoBack"/>
      <w:bookmarkEnd w:id="0"/>
      <w:r>
        <w:t>line and the experimental data.</w:t>
      </w:r>
    </w:p>
    <w:p w:rsidR="00A9752B" w:rsidRPr="001D01F8" w:rsidRDefault="00A9752B">
      <w:r>
        <w:t xml:space="preserve">The minimum deviation calculated using the data taken and the fit equation was 0.00014, while the maximum deviation had a value of 0.008. The percentage deviations were relatively small as well, with the minimum having a value of 0.0028 and the maximum having a value of 0.16. These deviations clearly fall within the tolerance levels set forth by the manufacturer. This clearly shows that the potentiometer that was used was extremely accurate in its voltage breakdowns between the resistors. </w:t>
      </w:r>
      <w:r w:rsidR="00EE7DFE">
        <w:t>Good data can be taken from the potentiometer.</w:t>
      </w:r>
    </w:p>
    <w:sectPr w:rsidR="00A9752B" w:rsidRPr="001D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4E"/>
    <w:rsid w:val="00011BDE"/>
    <w:rsid w:val="000362E9"/>
    <w:rsid w:val="00064FFC"/>
    <w:rsid w:val="001069A0"/>
    <w:rsid w:val="00154EE5"/>
    <w:rsid w:val="001C74D1"/>
    <w:rsid w:val="001D01F8"/>
    <w:rsid w:val="00230006"/>
    <w:rsid w:val="003616B1"/>
    <w:rsid w:val="00485DF8"/>
    <w:rsid w:val="006F28FF"/>
    <w:rsid w:val="00717E3A"/>
    <w:rsid w:val="0076332F"/>
    <w:rsid w:val="00775EBC"/>
    <w:rsid w:val="0088114E"/>
    <w:rsid w:val="0088268A"/>
    <w:rsid w:val="008E4B5D"/>
    <w:rsid w:val="00905096"/>
    <w:rsid w:val="009175BE"/>
    <w:rsid w:val="00A9752B"/>
    <w:rsid w:val="00C27449"/>
    <w:rsid w:val="00D70352"/>
    <w:rsid w:val="00D9255C"/>
    <w:rsid w:val="00E20C29"/>
    <w:rsid w:val="00EE7DFE"/>
    <w:rsid w:val="00FC0D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8EC2"/>
  <w15:chartTrackingRefBased/>
  <w15:docId w15:val="{203F5BAF-C098-4DFA-81BE-4CFBE619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14E"/>
    <w:rPr>
      <w:color w:val="808080"/>
    </w:rPr>
  </w:style>
  <w:style w:type="paragraph" w:styleId="NormalWeb">
    <w:name w:val="Normal (Web)"/>
    <w:basedOn w:val="Normal"/>
    <w:uiPriority w:val="99"/>
    <w:semiHidden/>
    <w:unhideWhenUsed/>
    <w:rsid w:val="009050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49992">
      <w:bodyDiv w:val="1"/>
      <w:marLeft w:val="0"/>
      <w:marRight w:val="0"/>
      <w:marTop w:val="0"/>
      <w:marBottom w:val="0"/>
      <w:divBdr>
        <w:top w:val="none" w:sz="0" w:space="0" w:color="auto"/>
        <w:left w:val="none" w:sz="0" w:space="0" w:color="auto"/>
        <w:bottom w:val="none" w:sz="0" w:space="0" w:color="auto"/>
        <w:right w:val="none" w:sz="0" w:space="0" w:color="auto"/>
      </w:divBdr>
    </w:div>
    <w:div w:id="562646880">
      <w:bodyDiv w:val="1"/>
      <w:marLeft w:val="0"/>
      <w:marRight w:val="0"/>
      <w:marTop w:val="0"/>
      <w:marBottom w:val="0"/>
      <w:divBdr>
        <w:top w:val="none" w:sz="0" w:space="0" w:color="auto"/>
        <w:left w:val="none" w:sz="0" w:space="0" w:color="auto"/>
        <w:bottom w:val="none" w:sz="0" w:space="0" w:color="auto"/>
        <w:right w:val="none" w:sz="0" w:space="0" w:color="auto"/>
      </w:divBdr>
    </w:div>
    <w:div w:id="876697036">
      <w:bodyDiv w:val="1"/>
      <w:marLeft w:val="0"/>
      <w:marRight w:val="0"/>
      <w:marTop w:val="0"/>
      <w:marBottom w:val="0"/>
      <w:divBdr>
        <w:top w:val="none" w:sz="0" w:space="0" w:color="auto"/>
        <w:left w:val="none" w:sz="0" w:space="0" w:color="auto"/>
        <w:bottom w:val="none" w:sz="0" w:space="0" w:color="auto"/>
        <w:right w:val="none" w:sz="0" w:space="0" w:color="auto"/>
      </w:divBdr>
    </w:div>
    <w:div w:id="936719001">
      <w:bodyDiv w:val="1"/>
      <w:marLeft w:val="0"/>
      <w:marRight w:val="0"/>
      <w:marTop w:val="0"/>
      <w:marBottom w:val="0"/>
      <w:divBdr>
        <w:top w:val="none" w:sz="0" w:space="0" w:color="auto"/>
        <w:left w:val="none" w:sz="0" w:space="0" w:color="auto"/>
        <w:bottom w:val="none" w:sz="0" w:space="0" w:color="auto"/>
        <w:right w:val="none" w:sz="0" w:space="0" w:color="auto"/>
      </w:divBdr>
    </w:div>
    <w:div w:id="1121728615">
      <w:bodyDiv w:val="1"/>
      <w:marLeft w:val="0"/>
      <w:marRight w:val="0"/>
      <w:marTop w:val="0"/>
      <w:marBottom w:val="0"/>
      <w:divBdr>
        <w:top w:val="none" w:sz="0" w:space="0" w:color="auto"/>
        <w:left w:val="none" w:sz="0" w:space="0" w:color="auto"/>
        <w:bottom w:val="none" w:sz="0" w:space="0" w:color="auto"/>
        <w:right w:val="none" w:sz="0" w:space="0" w:color="auto"/>
      </w:divBdr>
    </w:div>
    <w:div w:id="1406416977">
      <w:bodyDiv w:val="1"/>
      <w:marLeft w:val="0"/>
      <w:marRight w:val="0"/>
      <w:marTop w:val="0"/>
      <w:marBottom w:val="0"/>
      <w:divBdr>
        <w:top w:val="none" w:sz="0" w:space="0" w:color="auto"/>
        <w:left w:val="none" w:sz="0" w:space="0" w:color="auto"/>
        <w:bottom w:val="none" w:sz="0" w:space="0" w:color="auto"/>
        <w:right w:val="none" w:sz="0" w:space="0" w:color="auto"/>
      </w:divBdr>
    </w:div>
    <w:div w:id="1440293595">
      <w:bodyDiv w:val="1"/>
      <w:marLeft w:val="0"/>
      <w:marRight w:val="0"/>
      <w:marTop w:val="0"/>
      <w:marBottom w:val="0"/>
      <w:divBdr>
        <w:top w:val="none" w:sz="0" w:space="0" w:color="auto"/>
        <w:left w:val="none" w:sz="0" w:space="0" w:color="auto"/>
        <w:bottom w:val="none" w:sz="0" w:space="0" w:color="auto"/>
        <w:right w:val="none" w:sz="0" w:space="0" w:color="auto"/>
      </w:divBdr>
    </w:div>
    <w:div w:id="1607426077">
      <w:bodyDiv w:val="1"/>
      <w:marLeft w:val="0"/>
      <w:marRight w:val="0"/>
      <w:marTop w:val="0"/>
      <w:marBottom w:val="0"/>
      <w:divBdr>
        <w:top w:val="none" w:sz="0" w:space="0" w:color="auto"/>
        <w:left w:val="none" w:sz="0" w:space="0" w:color="auto"/>
        <w:bottom w:val="none" w:sz="0" w:space="0" w:color="auto"/>
        <w:right w:val="none" w:sz="0" w:space="0" w:color="auto"/>
      </w:divBdr>
    </w:div>
    <w:div w:id="1666783296">
      <w:bodyDiv w:val="1"/>
      <w:marLeft w:val="0"/>
      <w:marRight w:val="0"/>
      <w:marTop w:val="0"/>
      <w:marBottom w:val="0"/>
      <w:divBdr>
        <w:top w:val="none" w:sz="0" w:space="0" w:color="auto"/>
        <w:left w:val="none" w:sz="0" w:space="0" w:color="auto"/>
        <w:bottom w:val="none" w:sz="0" w:space="0" w:color="auto"/>
        <w:right w:val="none" w:sz="0" w:space="0" w:color="auto"/>
      </w:divBdr>
    </w:div>
    <w:div w:id="17215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eth\Downloads\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eth\Downloads\lab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Vout vs. </a:t>
            </a:r>
            <a:r>
              <a:rPr lang="en-US" sz="1400" b="0" i="0" u="none" strike="noStrike" baseline="0">
                <a:effectLst/>
              </a:rPr>
              <a:t>𝜃</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2121900483671306E-2"/>
                  <c:y val="-1.283192542108707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(0.001284 </a:t>
                    </a:r>
                    <a:r>
                      <a:rPr lang="en-US" sz="900" b="0" i="0" u="none" strike="noStrike" baseline="0">
                        <a:effectLst/>
                      </a:rPr>
                      <a:t>± 0.000003)</a:t>
                    </a:r>
                    <a:r>
                      <a:rPr lang="en-US" baseline="0"/>
                      <a:t> x + (0.0006 </a:t>
                    </a:r>
                    <a:r>
                      <a:rPr lang="en-US" sz="900" b="0" i="0" u="none" strike="noStrike" baseline="0">
                        <a:effectLst/>
                      </a:rPr>
                      <a:t>± 0.004)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[lab1.xlsx]Sheet1!$A$2:$A$15</c:f>
              <c:numCache>
                <c:formatCode>General</c:formatCode>
                <c:ptCount val="14"/>
                <c:pt idx="0">
                  <c:v>0</c:v>
                </c:pt>
                <c:pt idx="1">
                  <c:v>180</c:v>
                </c:pt>
                <c:pt idx="2">
                  <c:v>360</c:v>
                </c:pt>
                <c:pt idx="3">
                  <c:v>540</c:v>
                </c:pt>
                <c:pt idx="4">
                  <c:v>720</c:v>
                </c:pt>
                <c:pt idx="5">
                  <c:v>900</c:v>
                </c:pt>
                <c:pt idx="6">
                  <c:v>1080</c:v>
                </c:pt>
                <c:pt idx="7">
                  <c:v>1260</c:v>
                </c:pt>
                <c:pt idx="8">
                  <c:v>1440</c:v>
                </c:pt>
                <c:pt idx="9">
                  <c:v>1620</c:v>
                </c:pt>
                <c:pt idx="10">
                  <c:v>1800</c:v>
                </c:pt>
                <c:pt idx="11">
                  <c:v>1980</c:v>
                </c:pt>
                <c:pt idx="12">
                  <c:v>2160</c:v>
                </c:pt>
                <c:pt idx="13">
                  <c:v>2340</c:v>
                </c:pt>
              </c:numCache>
            </c:numRef>
          </c:xVal>
          <c:yVal>
            <c:numRef>
              <c:f>[lab1.xlsx]Sheet1!$B$2:$B$15</c:f>
              <c:numCache>
                <c:formatCode>General</c:formatCode>
                <c:ptCount val="14"/>
                <c:pt idx="0">
                  <c:v>-2.3E-2</c:v>
                </c:pt>
                <c:pt idx="1">
                  <c:v>0.23269999999999999</c:v>
                </c:pt>
                <c:pt idx="2">
                  <c:v>0.47299999999999998</c:v>
                </c:pt>
                <c:pt idx="3">
                  <c:v>0.70179999999999998</c:v>
                </c:pt>
                <c:pt idx="4">
                  <c:v>0.92579999999999996</c:v>
                </c:pt>
                <c:pt idx="5">
                  <c:v>1.1601999999999999</c:v>
                </c:pt>
                <c:pt idx="6">
                  <c:v>1.3960999999999999</c:v>
                </c:pt>
                <c:pt idx="7">
                  <c:v>1.6177999999999999</c:v>
                </c:pt>
                <c:pt idx="8">
                  <c:v>1.8546</c:v>
                </c:pt>
                <c:pt idx="9">
                  <c:v>2.0781000000000001</c:v>
                </c:pt>
                <c:pt idx="10">
                  <c:v>2.3075000000000001</c:v>
                </c:pt>
                <c:pt idx="11">
                  <c:v>2.5379</c:v>
                </c:pt>
                <c:pt idx="12">
                  <c:v>2.7685</c:v>
                </c:pt>
                <c:pt idx="13">
                  <c:v>3.0034000000000001</c:v>
                </c:pt>
              </c:numCache>
            </c:numRef>
          </c:yVal>
          <c:smooth val="0"/>
          <c:extLst>
            <c:ext xmlns:c16="http://schemas.microsoft.com/office/drawing/2014/chart" uri="{C3380CC4-5D6E-409C-BE32-E72D297353CC}">
              <c16:uniqueId val="{00000000-5EA6-49C5-B9DF-0240C64E991D}"/>
            </c:ext>
          </c:extLst>
        </c:ser>
        <c:dLbls>
          <c:showLegendKey val="0"/>
          <c:showVal val="0"/>
          <c:showCatName val="0"/>
          <c:showSerName val="0"/>
          <c:showPercent val="0"/>
          <c:showBubbleSize val="0"/>
        </c:dLbls>
        <c:axId val="438982880"/>
        <c:axId val="438980912"/>
      </c:scatterChart>
      <c:valAx>
        <c:axId val="438982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Theta (</a:t>
                </a:r>
                <a:r>
                  <a:rPr lang="en-US" sz="1000" b="0" i="0" u="none" strike="noStrike" baseline="0">
                    <a:effectLst/>
                  </a:rPr>
                  <a:t>𝜃)</a:t>
                </a:r>
                <a:endParaRPr lang="en-US"/>
              </a:p>
            </c:rich>
          </c:tx>
          <c:layout>
            <c:manualLayout>
              <c:xMode val="edge"/>
              <c:yMode val="edge"/>
              <c:x val="0.48151184505502453"/>
              <c:y val="0.91333318629288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80912"/>
        <c:crosses val="autoZero"/>
        <c:crossBetween val="midCat"/>
      </c:valAx>
      <c:valAx>
        <c:axId val="43898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82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Vout/Vin vs. </a:t>
            </a:r>
            <a:r>
              <a:rPr lang="en-US" sz="1400" b="0" i="0" u="none" strike="noStrike" baseline="0">
                <a:effectLst/>
              </a:rPr>
              <a:t>𝜃</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9570428696412945E-2"/>
                  <c:y val="-1.0316418780985711E-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(0.000257 </a:t>
                    </a:r>
                    <a:r>
                      <a:rPr lang="en-US" sz="900" b="0" i="0" u="none" strike="noStrike" baseline="0">
                        <a:effectLst/>
                      </a:rPr>
                      <a:t>± 0.000006)</a:t>
                    </a:r>
                    <a:r>
                      <a:rPr lang="en-US" baseline="0"/>
                      <a:t>x + (0.0001 </a:t>
                    </a:r>
                    <a:r>
                      <a:rPr lang="en-US" sz="900" b="0" i="0" u="none" strike="noStrike" baseline="0">
                        <a:effectLst/>
                      </a:rPr>
                      <a:t>± 0.0009)</a:t>
                    </a:r>
                    <a:r>
                      <a:rPr lang="en-US" baseline="0"/>
                      <a:t> </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Sheet1!$F$2:$F$15</c:f>
              <c:numCache>
                <c:formatCode>General</c:formatCode>
                <c:ptCount val="14"/>
                <c:pt idx="0">
                  <c:v>0</c:v>
                </c:pt>
                <c:pt idx="1">
                  <c:v>180</c:v>
                </c:pt>
                <c:pt idx="2">
                  <c:v>360</c:v>
                </c:pt>
                <c:pt idx="3">
                  <c:v>540</c:v>
                </c:pt>
                <c:pt idx="4">
                  <c:v>720</c:v>
                </c:pt>
                <c:pt idx="5">
                  <c:v>900</c:v>
                </c:pt>
                <c:pt idx="6">
                  <c:v>1080</c:v>
                </c:pt>
                <c:pt idx="7">
                  <c:v>1260</c:v>
                </c:pt>
                <c:pt idx="8">
                  <c:v>1440</c:v>
                </c:pt>
                <c:pt idx="9">
                  <c:v>1620</c:v>
                </c:pt>
                <c:pt idx="10">
                  <c:v>1800</c:v>
                </c:pt>
                <c:pt idx="11">
                  <c:v>1980</c:v>
                </c:pt>
                <c:pt idx="12">
                  <c:v>2160</c:v>
                </c:pt>
                <c:pt idx="13">
                  <c:v>2340</c:v>
                </c:pt>
              </c:numCache>
            </c:numRef>
          </c:xVal>
          <c:yVal>
            <c:numRef>
              <c:f>Sheet1!$G$2:$G$15</c:f>
              <c:numCache>
                <c:formatCode>General</c:formatCode>
                <c:ptCount val="14"/>
                <c:pt idx="0">
                  <c:v>-4.5999999999999999E-3</c:v>
                </c:pt>
                <c:pt idx="1">
                  <c:v>4.6539999999999998E-2</c:v>
                </c:pt>
                <c:pt idx="2">
                  <c:v>9.459999999999999E-2</c:v>
                </c:pt>
                <c:pt idx="3">
                  <c:v>0.14035999999999998</c:v>
                </c:pt>
                <c:pt idx="4">
                  <c:v>0.18515999999999999</c:v>
                </c:pt>
                <c:pt idx="5">
                  <c:v>0.23203999999999997</c:v>
                </c:pt>
                <c:pt idx="6">
                  <c:v>0.27921999999999997</c:v>
                </c:pt>
                <c:pt idx="7">
                  <c:v>0.32355999999999996</c:v>
                </c:pt>
                <c:pt idx="8">
                  <c:v>0.37092000000000003</c:v>
                </c:pt>
                <c:pt idx="9">
                  <c:v>0.41561999999999999</c:v>
                </c:pt>
                <c:pt idx="10">
                  <c:v>0.46150000000000002</c:v>
                </c:pt>
                <c:pt idx="11">
                  <c:v>0.50758000000000003</c:v>
                </c:pt>
                <c:pt idx="12">
                  <c:v>0.55369999999999997</c:v>
                </c:pt>
                <c:pt idx="13">
                  <c:v>0.60067999999999999</c:v>
                </c:pt>
              </c:numCache>
            </c:numRef>
          </c:yVal>
          <c:smooth val="0"/>
          <c:extLst>
            <c:ext xmlns:c16="http://schemas.microsoft.com/office/drawing/2014/chart" uri="{C3380CC4-5D6E-409C-BE32-E72D297353CC}">
              <c16:uniqueId val="{00000000-2261-49D4-90EB-D45FADD99E18}"/>
            </c:ext>
          </c:extLst>
        </c:ser>
        <c:dLbls>
          <c:showLegendKey val="0"/>
          <c:showVal val="0"/>
          <c:showCatName val="0"/>
          <c:showSerName val="0"/>
          <c:showPercent val="0"/>
          <c:showBubbleSize val="0"/>
        </c:dLbls>
        <c:axId val="415874072"/>
        <c:axId val="415866856"/>
      </c:scatterChart>
      <c:valAx>
        <c:axId val="415874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Theta</a:t>
                </a:r>
                <a:r>
                  <a:rPr lang="en-US" baseline="0"/>
                  <a:t> (</a:t>
                </a:r>
                <a:r>
                  <a:rPr lang="en-US" sz="1000" b="0" i="0" u="none" strike="noStrike" baseline="0">
                    <a:effectLst/>
                  </a:rPr>
                  <a:t>𝜃)</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866856"/>
        <c:crosses val="autoZero"/>
        <c:crossBetween val="midCat"/>
      </c:valAx>
      <c:valAx>
        <c:axId val="415866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874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Zhuang</dc:creator>
  <cp:keywords/>
  <dc:description/>
  <cp:lastModifiedBy>Kenneth Zhuang</cp:lastModifiedBy>
  <cp:revision>24</cp:revision>
  <dcterms:created xsi:type="dcterms:W3CDTF">2017-01-20T17:16:00Z</dcterms:created>
  <dcterms:modified xsi:type="dcterms:W3CDTF">2017-01-25T02:29:00Z</dcterms:modified>
</cp:coreProperties>
</file>