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GRUPO JADE CONSULTOR Y CONSTRUCTOR,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15:51:52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MAZA RUEDA DE ARTILLERIA P/EJE LOCO SUDISA TAZA HM 218210 Y HM 212011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1237.07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1237.07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1556.03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1804.99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