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BANCO SANTANDER (MEXICO), S.A.INSTITUCION DE BANCA MULTIPLE, GRUPO FINANCIERO SANTANDER MEXICO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 DF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2016-01-01 11:19:13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00001000000202409346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FACTURACION INTERES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1867.98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1867.98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1878.39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1878.39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