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BANCO SANTANDER (MEXICO), S.A.INSTITUCION DE BANCA MULTIPLE, GRUPO FINANCIERO SANTANDER MEXICO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 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 DF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2016-01-01 16:10:43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00001000000202409346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 MEMBRESIA CUENTA E-PYME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495.00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495.00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495.00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574.20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