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5_10-2016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$101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$707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$105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$954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$214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2,594.00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415.04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3,009.04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CAMINO REAL S/N INT. JARDIN BOTANICO DE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Herrera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