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標楷體" w:hAnsi="標楷體" w:eastAsia="標楷體" w:cs="標楷體"/>
          <w:b/>
          <w:color w:val="000000"/>
          <w:sz w:val="36"/>
          <w:szCs w:val="36"/>
        </w:rPr>
        <w:t>結合歷史交易案例檢索與對話式風險提示的黃金交易輔助平台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專題報告 第一版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一 摘要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專題建置一個黃金交易輔助平台，讓具有交易經驗的使用者在首筆進場或加倉前，同時查看行情、目前持倉、相似歷史操作與新增部位的風險。使用者可在券商式表單輸入訂單，也可透過中文對話提出交易意圖。系統先形成待確認草稿，由程式完成案例檢索與價格情境試算，再顯示風險說明；使用者核對後才能確認操作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專題的核心價值，是把分散在行情視窗、交易紀錄與心算中的資訊集中到同一個下單前流程。歷史虧損案例能提醒使用者曾出現的操作結果，部位試算則回答「這次再加多少手，若價格繼續不利，整體損失會變多少」。案例是可追溯的參考，不是新訂單的勝率預測，也不把原交易員的每次操作當作標準答案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第一版採 React 與 TypeScript 製作前端，FastAPI 製作後端，以 Decimal 計算價格、手數及損益。已建立本機回放、首筆與加倉草稿、案例檢索、風險確認、持倉及平倉流程；券商模擬模式目前顯示未連線並阻止送單。中文助手可使用本地規則解析，另保留需明確啟用的外部語言模型解釋介面。現階段未使用外部模型金鑰驗證，也未完成實際券商 API 串接。後續依資料品質與整合驗證，逐步增加掛單、K 線形狀、途中高風險案例、持倉警示與多使用者模擬帳戶授權。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關鍵字：黃金交易、歷史案例檢索、下單前風險、對話式介面、歷史回放。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二 背景與問題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黃金交易常以槓桿及多筆訂單進行。即使單筆手數看似不大，連續加倉仍可能使整體部位快速增加。當使用者只注意平均進場價改善，容易忽略同方向曝險同步擴大。平台因此需要呈現加倉前後的總手數與價格情境，而不能只顯示新增訂單的停損金額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另一方面，交易紀錄通常適合事後查看，使用者準備下一筆訂單時，未必能快速找出過去相近操作。只以最終盈虧排序也會混淆「當時條件相近」與「事後結果相近」。本專題先以方向、首筆或加倉、手數及可見持倉條件形成匹配池，再呈現其結果分布與案例。歷史結果用來說明參考案例，不進入相似度排序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對話助手可降低查找與輸入成本，但數字計算與交易確認需要清楚邊界。使用者說「買進黃金 0.1 手」時，助手只能準備草稿，不能直接送出。若停損未設定、案例不足、行情未連線或資料時區未知，系統必須明示限制，不以流暢文字掩蓋資訊缺口。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現有資料包含 HTML 對帳單、Excel 與 CSV 操作紀錄，但部分 HTML 截斷、來源帳戶對應未確認、事件時間精度不足。這些限制使完整策略模仿與可靠勝率預測難以成立。因此，初版將驗收目標放在流程可用、計算正確、證據可追溯與限制可理解，正式機器學習訓練另待資料條件成熟後評估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三 使用者與產品價值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平台主要服務已有交易經驗、會自行決定方向與手數的黃金交易使用者。團隊及教師可使用相同案例與回放時間重現操作，也可比較多人是否理解加倉後的風險變化。原交易員提供共享案例來源；產品能否讓多位使用者反覆使用，仍需後續任務測試驗證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首筆進場時，平台提供同方向、相近手數的歷史候選，協助使用者查看來源及差異。加倉時，進一步比較既有可見訂單數與目前價格相對持倉均價的位置，並計算整體情境損失。兩種流程共用訂單草稿，但使用不同操作條件，避免把空手與已有部位混為同一情境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專題的特色是整合可解釋的案例與具體部位變化。系統回答的是「找到哪些參考」「哪些條件相同」「哪些條件尚未核實」「此草稿增加多少曝險」。是否提高決策品質、是否有長期使用與付費需求，都需要使用者研究，不能由功能展示直接推出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四 資料來源與行為分群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資料處理原則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原始 HTML、Excel、CSV 與參考文件保持唯讀。解析後保留原始文字、商品代碼與來源列號，再新增正規化欄位；價格、金額及手數以 Decimal 處理。存提款與市場交易分開，非黃金商品保留並標記。帳戶識別資料、原始交易檔案、私人匯入案例及金鑰不納入公開 GitHub 交付，公開版本使用明示的合成示範資料。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黃金商品家族可在分析欄位統一辨識，但不覆蓋來源代碼。相同檔案副本與可能重複的交易列分別處理：檔案去重有檔案雜湊依據，交易列相似仍可能是合法拆單，因此只標記候選，不任意刪除。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可觀察的行為類型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分群先依可見訂單的時間重疊、方向、成交價與既有均價判斷。它描述紀錄中出現的操作形式，不推斷交易員心理、進場原因或完整策略。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49"/>
        <w:gridCol w:w="3783"/>
        <w:gridCol w:w="4192"/>
      </w:tblGrid>
      <w:tr>
        <w:trPr>
          <w:cantSplit/>
          <w:tblHeader w:val="true"/>
        </w:trPr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類型</w:t>
            </w:r>
          </w:p>
        </w:tc>
        <w:tc>
          <w:tcPr>
            <w:tcW w:type="dxa" w:w="3783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可觀察條件</w:t>
            </w:r>
          </w:p>
        </w:tc>
        <w:tc>
          <w:tcPr>
            <w:tcW w:type="dxa" w:w="4192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主要解讀限制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可見初始單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當時沒有可見既有黃金持倉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缺漏紀錄可能藏有其他部位，不能證明空手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價格不利時同向加單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新單方向相同，價格相對既有均價不利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不等於拗單，也不證明加倉理由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價格有利時同向加單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新單方向相同，價格相對均價有利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不等於已辨識順勢策略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同價加單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同向新增單的價格與可見均價相同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密集拆單未必是多次獨立決策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反向或混合持倉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當時已有反向或雙向可見部位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帳戶的淨額或逐筆持倉模式需另核實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時間順序不明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同時間存在無法排序的開平倉事件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不強行重建事前持倉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2026 年 10 月 1 日刷新稽核涵蓋 221 個來源檔案：原有 155 個檔案內容均未變，另新增 66 個 CSV。黃金可見來源觀察列共 25,656 列，HTML 為 5,114 列、Excel 為 5,387 列、CSV 為 15,155 列。可見黃金開倉時間範圍為 2018 年 10 月 9 日至 2026 年 3 月 20 日。這些列含跨格式重複候選，不是去重後交易數，也不是完整歷史或獨立決策數。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157"/>
        <w:gridCol w:w="3067"/>
      </w:tblGrid>
      <w:tr>
        <w:trPr>
          <w:cantSplit/>
          <w:tblHeader w:val="true"/>
        </w:trPr>
        <w:tc>
          <w:tcPr>
            <w:tcW w:type="dxa" w:w="7157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可觀察操作分類</w:t>
            </w:r>
          </w:p>
        </w:tc>
        <w:tc>
          <w:tcPr>
            <w:tcW w:type="dxa" w:w="3067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來源觀察列數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可見初始單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2,913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價格不利時同向加單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9,772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價格有利時同向加單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4,234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同價加單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47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反向持倉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30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混合持倉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157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時間順序不明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8,503</w:t>
            </w:r>
          </w:p>
        </w:tc>
      </w:tr>
      <w:tr>
        <w:trPr>
          <w:cantSplit/>
        </w:trPr>
        <w:tc>
          <w:tcPr>
            <w:tcW w:type="dxa" w:w="7157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合計</w:t>
            </w:r>
          </w:p>
        </w:tc>
        <w:tc>
          <w:tcPr>
            <w:tcW w:type="dxa" w:w="3067"/>
            <w:vAlign w:val="center"/>
          </w:tcPr>
          <w:p>
            <w:pPr>
              <w:keepNext w:val="0"/>
              <w:spacing w:after="40" w:before="40" w:line="26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25,656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跨來源相同簽章有 4,895 個候選，涉及 9,831 列；不能直接扣除候選數後宣稱獨立交易數。52 份 HTML 有宣告列數與可見列數差距。CSV 中 5,731 列黃金操作順序不明，另有 43 列未平倉快照分開保存，不納入已實現交易統計。另有 PDF 交易表因方向不可讀，保留未分類紀錄，未反推方向或加入上述分群。原始檔案 SHA-256 刷新前後一致。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以上分群是固定程式依可見持倉關係判斷，不是機器學習策略分群。部分來源跨帳戶映射、費用口徑與時區仍待核實，任何統計均以所列可見樣本為分母，不能稱完整期間績效。平台可檢索子集還需排除重複、順序不明及尚未成熟案例，因此不會等於全部觀察列數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下單前檢索與事後結果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初版採透明的條件距離，未訓練相似度模型。先依買賣方向與首筆或同向加倉分池，再比較手數；加倉候選可比較既有訂單數與價格相對均價的距離。價格及金額仍保留 Decimal，檢索距離是無單位的排序分數。每個候選操作群最多選一筆，減少同一組拆單重複佔據結果。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查詢時只能使用已可取得結果的歷史案例。案例須在查詢時點之前完成平倉；未知時區採保守可用時間界線，不能把這項處理稱為已確認時區。完整匹配池形成後，才優先顯示虧損案例，並同時揭露獲利、虧損、持平及未知結果數。其獲利比例只是歷史描述，不是目前新訂單的未來機率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盤面相似度需要可信的時區映射與已收完 K 棒。目前歷史案例的市場對齊仍受限制，未核實的 K 線與市場特徵不進入排序，也不補零。案例細節沒有可信 OHLC 時，應顯示無法提供行情圖的原因；回放圖中的合成行情須與真實案例來源分別標示。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五 系統架構與分工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前端是可切換明暗的交易工作台，負責顯示 K 線、報價、表單、對話、案例與持倉。後端保存回放時鐘、訂單草稿與帳戶狀態，依 API 契約傳遞資料。財務值以十進位字串傳輸，避免前端浮點數重新計算損益；圖表座標才使用一般數值。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49"/>
        <w:gridCol w:w="3783"/>
        <w:gridCol w:w="4192"/>
      </w:tblGrid>
      <w:tr>
        <w:trPr>
          <w:cantSplit/>
          <w:tblHeader w:val="true"/>
        </w:trPr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模組</w:t>
            </w:r>
          </w:p>
        </w:tc>
        <w:tc>
          <w:tcPr>
            <w:tcW w:type="dxa" w:w="3783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程式負責的工作</w:t>
            </w:r>
          </w:p>
        </w:tc>
        <w:tc>
          <w:tcPr>
            <w:tcW w:type="dxa" w:w="4192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語言模型的角色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行情與持倉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收棒時間、均線、報價、損益及帳戶版本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解釋已提供的數字與資料限制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訂單草稿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格式檢查、方向、手數、停損停利與狀態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協助表達意圖；目前草稿由本地解析建立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案例檢索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可用時間、候選篩選、距離與結果分布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用白話整理匹配原因與差異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風險檢查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加倉前後手數、均價及價格情境損益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說明風險，不能改寫數值或保證結果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操作確認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版本驗證、防重送、回放成交及平倉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沒有確認或送單的工具權限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本地助手能解析明確中文指令並描述行情。外部 LLM 僅在明確啟用且完成金鑰設定後使用必要摘要；摘要不包含完整對帳單、帳戶識別或來源檔名。外部服務錯誤時保留程式結果並顯示無法取得文字解釋。此介面目前未以實際金鑰完成驗證，不能稱為已驗收的 AI 服務。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初版後端是記憶體中的單一展示工作階段，適合可重現 Demo。它尚未具備正式多租戶隔離、長期資料保存與多人併發交易工作階段。後續增加登入與個別帳戶時，需要重新設計資料庫、權限、工作階段與事件紀錄。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六 券商式介面與操作流程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畫面配置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中央放置 5 分、15 分與 1 小時 K 線，可查看均線與區間高低點。右側以頁籤切換訂單表單與對話助手；下方顯示持倉、訂單歷史、相似案例及資料分群。工具列持續標示資料來源、回放時間、模式與連線狀態，讓使用者分辨本機回放與未連線券商模擬環境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畫面採緊湊表格與清楚數字，首筆、加單與平倉在可見圖表範圍標記。送出草稿後開啟確認視窗，把本次方向、手數、停損停利、案例與風險放在一起。案例不足不阻斷風險試算，也不妨礙使用者在回放模式自行確認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首筆進場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使用者查看回放行情後，在表單選擇 BUY 或 SELL、輸入手數，可選填停損與停利；也可輸入「買進黃金 0.1 手」。後端驗證數字有效性與停損停利方向，再保存含報價及帳戶版本的草稿。使用者閱讀首筆候選案例與風險後確認，後端重驗草稿版本，才在本機回放建立持倉。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確認前若推進回放、改變持倉或完成其他操作，原草稿便失效，需要重新核對。相同確認識別碼重送回傳既有結果，避免重複建立訂單。取消草稿只取消待確認意圖，不是券商撤單；回放成交也不代表取得券商成交回報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加倉與平倉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已有同向持倉時，新草稿標記為加倉，顯示新增前後總手數、更新後同向均價及整組價格情境損益。提示需提醒「均價改善不代表風險降低」。反向或混合部位另外標示，不能把本機逐筆部位模型當作券商淨額模式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平倉從持倉列操作並要求使用者確認；查無進場案例時仍可退出部位。回放依 BUY 的 BID、SELL 的 ASK 計算退出損益，更新餘額與歷史。當 K 棒觸及停損或停利時，依明示的模擬規則處理；同棒同時觸及兩者採停損優先，跳空穿越停損採較不利開盤價。這些是回放假設，並非已重建真實逐筆成交。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七 風險試算方法與例子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平台把新增訂單風險與整體部位風險分開呈現。以下假設同向 BUY 部位、美元計價、每手 100 盎司。這是初版回放規格，未據此認定任何券商或原交易員合約規格。佣金、隔夜費、保證金與強制平倉未納入，成交模型採固定 0.30 美元價差。</w:t>
      </w:r>
    </w:p>
    <w:p>
      <w:pPr>
        <w:spacing w:before="80" w:after="160"/>
        <w:jc w:val="center"/>
      </w:pPr>
      <m:oMath>
        <m:r>
          <w:rPr>
            <w:rFonts w:ascii="標楷體" w:hAnsi="標楷體" w:eastAsia="標楷體" w:cs="標楷體"/>
            <w:sz w:val="24"/>
            <w:szCs w:val="24"/>
            <w:color w:val="000000"/>
          </w:rPr>
          <m:t>同向平均進場價 = </m:t>
        </m:r>
        <m:f>
          <m:num>
            <m:r>
              <w:rPr>
                <w:rFonts w:ascii="標楷體" w:hAnsi="標楷體" w:eastAsia="標楷體" w:cs="標楷體"/>
                <w:sz w:val="24"/>
                <w:szCs w:val="24"/>
                <w:color w:val="000000"/>
              </w:rPr>
              <m:t>各筆進場價 × 手數的加總</m:t>
            </m:r>
          </m:num>
          <m:den>
            <m:r>
              <w:rPr>
                <w:rFonts w:ascii="標楷體" w:hAnsi="標楷體" w:eastAsia="標楷體" w:cs="標楷體"/>
                <w:sz w:val="24"/>
                <w:szCs w:val="24"/>
                <w:color w:val="000000"/>
              </w:rPr>
              <m:t>同向總手數</m:t>
            </m:r>
          </m:den>
        </m:f>
      </m:oMath>
    </w:p>
    <w:p>
      <w:pPr>
        <w:spacing w:before="80" w:after="160"/>
        <w:jc w:val="center"/>
      </w:pPr>
      <m:oMath>
        <m:r>
          <w:rPr>
            <w:rFonts w:ascii="標楷體" w:hAnsi="標楷體" w:eastAsia="標楷體" w:cs="標楷體"/>
            <w:sz w:val="24"/>
            <w:szCs w:val="24"/>
            <w:color w:val="000000"/>
          </w:rPr>
          <m:t>多單情境損益 = 各筆（情境賣出價 − 進場價）× 手數 × 每手盎司數的加總</m:t>
        </m:r>
      </m:oMath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例如原有 0.10 手 BUY，進場價為 3,000.30；目前 BID 為 2,990.00、ASK 為 2,990.30。若再買入 0.10 手，總部位成為 0.20 手，同向平均進場價為 2,995.30。平均價雖下降，但如果之後 BID 再下跌 10 美元至 2,980.00，原單損失 203 美元，新單損失 103 美元，合計情境損失為 306 美元。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476"/>
        <w:gridCol w:w="2249"/>
        <w:gridCol w:w="2249"/>
        <w:gridCol w:w="2249"/>
      </w:tblGrid>
      <w:tr>
        <w:trPr>
          <w:cantSplit/>
          <w:tblHeader w:val="true"/>
        </w:trPr>
        <w:tc>
          <w:tcPr>
            <w:tcW w:type="dxa" w:w="3476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情境</w:t>
            </w:r>
          </w:p>
        </w:tc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未加倉的原單</w:t>
            </w:r>
          </w:p>
        </w:tc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新增 0.10 手</w:t>
            </w:r>
          </w:p>
        </w:tc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加倉後合計</w:t>
            </w:r>
          </w:p>
        </w:tc>
      </w:tr>
      <w:tr>
        <w:trPr>
          <w:cantSplit/>
        </w:trPr>
        <w:tc>
          <w:tcPr>
            <w:tcW w:type="dxa" w:w="3476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目前 BID 2,990.00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103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106 美元</w:t>
            </w:r>
          </w:p>
        </w:tc>
      </w:tr>
      <w:tr>
        <w:trPr>
          <w:cantSplit/>
        </w:trPr>
        <w:tc>
          <w:tcPr>
            <w:tcW w:type="dxa" w:w="3476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BID 下跌 5 至 2,985.00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153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53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206 美元</w:t>
            </w:r>
          </w:p>
        </w:tc>
      </w:tr>
      <w:tr>
        <w:trPr>
          <w:cantSplit/>
        </w:trPr>
        <w:tc>
          <w:tcPr>
            <w:tcW w:type="dxa" w:w="3476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BID 下跌 10 至 2,980.00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203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103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306 美元</w:t>
            </w:r>
          </w:p>
        </w:tc>
      </w:tr>
      <w:tr>
        <w:trPr>
          <w:cantSplit/>
        </w:trPr>
        <w:tc>
          <w:tcPr>
            <w:tcW w:type="dxa" w:w="3476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BID 下跌 25 至 2,965.00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353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253 美元</w:t>
            </w:r>
          </w:p>
        </w:tc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損失 606 美元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以上是指定價格下的試算，不是最大損失估計。若沒有停損，畫面顯示未設定停損，也不提供計畫風險報酬比。若新單進場 2,990.30、停損 2,980.30、停利 3,010.30，則新增單的價差停損金額為 100 美元，計畫風險報酬比為 2.00。此金額只針對新增單；既有單未設定停損時，不能把它當作整組損失上限。</w:t>
      </w:r>
    </w:p>
    <w:p>
      <w:pPr>
        <w:spacing w:before="80" w:after="160"/>
        <w:jc w:val="center"/>
      </w:pPr>
      <m:oMath>
        <m:r>
          <w:rPr>
            <w:rFonts w:ascii="標楷體" w:hAnsi="標楷體" w:eastAsia="標楷體" w:cs="標楷體"/>
            <w:sz w:val="24"/>
            <w:szCs w:val="24"/>
            <w:color w:val="000000"/>
          </w:rPr>
          <m:t>新增單停損金額 = |進場價 − 停損價| × 新增手數 × 每手盎司數</m:t>
        </m:r>
      </m:oMath>
    </w:p>
    <w:p>
      <w:pPr>
        <w:spacing w:before="80" w:after="160"/>
        <w:jc w:val="center"/>
      </w:pPr>
      <m:oMath>
        <m:r>
          <w:rPr>
            <w:rFonts w:ascii="標楷體" w:hAnsi="標楷體" w:eastAsia="標楷體" w:cs="標楷體"/>
            <w:sz w:val="24"/>
            <w:szCs w:val="24"/>
            <w:color w:val="000000"/>
          </w:rPr>
          <m:t>計畫風險報酬比 = </m:t>
        </m:r>
        <m:f>
          <m:num>
            <m:r>
              <w:rPr>
                <w:rFonts w:ascii="標楷體" w:hAnsi="標楷體" w:eastAsia="標楷體" w:cs="標楷體"/>
                <w:sz w:val="24"/>
                <w:szCs w:val="24"/>
                <w:color w:val="000000"/>
              </w:rPr>
              <m:t>|停利價 − 進場價|</m:t>
            </m:r>
          </m:num>
          <m:den>
            <m:r>
              <w:rPr>
                <w:rFonts w:ascii="標楷體" w:hAnsi="標楷體" w:eastAsia="標楷體" w:cs="標楷體"/>
                <w:sz w:val="24"/>
                <w:szCs w:val="24"/>
                <w:color w:val="000000"/>
              </w:rPr>
              <m:t>|進場價 − 停損價|</m:t>
            </m:r>
          </m:den>
        </m:f>
      </m:oMath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系統以字串建立 Decimal，例如 Decimal("0.10")，不先轉成浮點數再建立財務值。顯示金額四捨五入到小數二位，計算中保留原精度。未來若加入其他商品、合約或帳戶幣別，須先取得每手規格、最小跳動、報價幣別及換匯方式，再重算情境，不能沿用黃金展示假設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八 第一版實作狀態與驗收邊界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目前建立的可運行核心以本機回放為主。後端測試涵蓋無停損處理、手數與方向檢查、草稿失效、防重送、平倉損益、成熟案例與案例排序不使用盈虧等情境。測試通過代表所測邏輯符合預期，不代表交易績效、使用者成效或外部服務已驗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49"/>
        <w:gridCol w:w="3783"/>
        <w:gridCol w:w="4192"/>
      </w:tblGrid>
      <w:tr>
        <w:trPr>
          <w:cantSplit/>
          <w:tblHeader w:val="true"/>
        </w:trPr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範圍</w:t>
            </w:r>
          </w:p>
        </w:tc>
        <w:tc>
          <w:tcPr>
            <w:tcW w:type="dxa" w:w="3783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第一版狀態</w:t>
            </w:r>
          </w:p>
        </w:tc>
        <w:tc>
          <w:tcPr>
            <w:tcW w:type="dxa" w:w="4192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驗收或尚缺條件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歷史回放與部位操作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已建立本機流程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核對來源標示、收棒界線、開倉與平倉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案例及價格情境試算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已建立透明條件檢索與 Decimal 計算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人工核對案例、公式與資料限制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中文助手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本地規則解析可運行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核對草稿與表單一致，無自動確認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外部 LLM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可選配置介面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尚未使用實際金鑰測試回應與摘要內容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券商模擬 API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未連線並拒絕操作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券商資格、應用審核、商品規格與真實回報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盤面相似度及 ML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未啟用或未訓練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時區、資料品質、評估設計及另行核准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本機回放預設使用合成行情與案例，以便公開程式可獨立啟動；私人案例及既有行情可在本機匯入。合成結果不代表原交易員績效。交付不包含完成使用者研究、勝率提升、因果解釋或完整模仿策略的宣稱。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券商串接候選可考慮 cTrader Open API，其官方文件提供模擬帳戶及 OAuth 帳戶授權流程 [1][2]。是否適用本團隊，仍需逐一確認券商、地區、黃金商品與帳戶資格。MetaTrader 5 的 Python 整合提供終端互通方式 [3]，可作單一展示帳戶候選，但也需要終端、帳戶及事件同步驗證。此處為後續技術選擇依據，並未選定或完成連線。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九 八週實作與驗收路線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五人團隊依資料、檢索、後端風險、前端與整合測試分工，工作以每週整合為主。已建立的初版核心可縮短起步時間，後續仍要以可觀察成果驗收。券商連線資格若未完成，須保留完整本機回放展示，並將 API 串接列為獨立未完成項目。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49"/>
        <w:gridCol w:w="3783"/>
        <w:gridCol w:w="4192"/>
      </w:tblGrid>
      <w:tr>
        <w:trPr>
          <w:cantSplit/>
          <w:tblHeader w:val="true"/>
        </w:trPr>
        <w:tc>
          <w:tcPr>
            <w:tcW w:type="dxa" w:w="2249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週次</w:t>
            </w:r>
          </w:p>
        </w:tc>
        <w:tc>
          <w:tcPr>
            <w:tcW w:type="dxa" w:w="3783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主要工作</w:t>
            </w:r>
          </w:p>
        </w:tc>
        <w:tc>
          <w:tcPr>
            <w:tcW w:type="dxa" w:w="4192"/>
            <w:vAlign w:val="center"/>
            <w:shd w:fill="EDEDED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  <w:szCs w:val="24"/>
              </w:rPr>
              <w:t>可檢查的成果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1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確認資料契約與來源範圍，核對分群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可重跑稽核、人工核對樣本與限制清單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2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完成回放行情、案例成熟界線與資料匯入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不顯示未來 K 棒，來源與時間可辨識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3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整合首筆與加倉檢索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相同查詢可重現，盈虧不影響相似度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4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整合風險試算與草稿確認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例子重算一致，舊草稿拒絕，重送不重複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5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完整券商式介面與中文助手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表單及對話共用草稿，鍵盤可操作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6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條件許可時測試單一券商模擬帳戶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下單、拒單、平倉及斷線與帳戶同步證據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7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多人任務測試與修正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記錄正確率、時間、理解及錯誤案例</w:t>
            </w:r>
          </w:p>
        </w:tc>
      </w:tr>
      <w:tr>
        <w:trPr>
          <w:cantSplit/>
        </w:trPr>
        <w:tc>
          <w:tcPr>
            <w:tcW w:type="dxa" w:w="2249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第 8 週</w:t>
            </w:r>
          </w:p>
        </w:tc>
        <w:tc>
          <w:tcPr>
            <w:tcW w:type="dxa" w:w="3783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重現展示、整理報告與交付</w:t>
            </w:r>
          </w:p>
        </w:tc>
        <w:tc>
          <w:tcPr>
            <w:tcW w:type="dxa" w:w="4192"/>
            <w:vAlign w:val="center"/>
          </w:tcPr>
          <w:p>
            <w:pPr>
              <w:keepNext w:val="0"/>
              <w:spacing w:after="40" w:before="40" w:line="264" w:lineRule="auto"/>
              <w:jc w:val="left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  <w:szCs w:val="24"/>
              </w:rPr>
              <w:t>可啟動程式、示範腳本、限制與驗收紀錄</w:t>
            </w:r>
          </w:p>
        </w:tc>
      </w:tr>
    </w:tbl>
    <w:p>
      <w:pPr>
        <w:spacing w:after="40" w:before="0" w:line="240" w:lineRule="auto"/>
      </w:pP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建議任務測試比較一般行情與訂單資訊，以及加入案例與風險提示的介面。讓同一批目標使用者判斷總部位、指定價格損失與是否存在資料缺口，記錄正確率、完成時間及說明理解程度。應平衡任務順序與案例難度，避免只測熟悉過的例子。這是待執行的驗證設計，尚無使用者結果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十 後續擴充階段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階段一 券商模擬帳戶與訂單生命週期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選定可用的模擬帳戶與黃金商品，確認合約規格、最小手數、價差、停損距離、事件回報與應用資格。先建立唯讀報價及帳戶同步，再驗證使用者確認後的市價下單與平倉。平台需將送出、接受、成交、部分成交、拒絕及未知狀態分開，不能把 HTTP 成功當作已成交。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完成核心串接後，再加入限價掛單、修改與取消。掛單建立時保留案例與風險檢查，並明示市場變動後的價格及風險可能不同。展示可包含下單、改單、撤單、斷線與恢復；驗證需要對照券商訂單識別碼及帳戶回報，模擬逾時重送、重複事件、部分成交與重啟。缺乏可靠回報時保留未知狀態並停止新操作，避免重複送單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階段二 K 線形狀與盤面相似度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前提是案例時區、帳戶映射及行情覆蓋經過核對，且能辨識每根 K 棒何時完成。功能先加入固定窗口的價格形狀、報酬序列、波動與趨勢條件，讓使用者看到行情相近但操作不同的案例。窗口長度、正規化方式與相似度尺度須固定並保存版本。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展示可把操作條件檢索與加入盤面條件的結果並排，標示匹配原因及缺漏。驗證先人工評估檢索是否符合盤面描述，再依時間切分比較方法；同一候選操作群與跨帳戶同步候選不能跨訓練或測試。所有參數只能在訓練或驗證資料選定，測試期間保持固定。若日後使用 ML，其角色先提供比較證據，不直接生成交易員完整規則。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階段三 途中高風險案例與 MAE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前提是持倉期間的行情、手數變化與費用口徑足以重建曝險。MAE 表示持有過程中的最大不利變動，能找出最後獲利但曾承受大幅逆向波動的案例。新增分類需分開「最後實際虧損」與「途中高風險」，避免只以最終盈利判斷操作安全。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展示可在事後回放圖標示最大不利價格與當時可見部位，並比較單筆價格 MAE 與整組金額損失。驗證需抽樣逐根重算，核對加倉前後、價差與行情缺口；不把單筆 MAE 相加當成整組最大損失。MAE 是平倉後標籤，只能用已成熟案例做歷史參考，不能成為當下新訂單的已知特徵。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階段四 持倉警示與規則校正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持倉同步與報價足夠穩定，且使用者同意警示條件。先由使用者設定總手數、價格情境損失或資料中斷等條件，程式判斷觸發，助手再解釋原因。沒有連線或可信部位時，警示應說明無法判斷，不顯示已通過風險檢查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展示包含部位變大、價格逆向及行情中斷後的提醒，並提供確認、稍後提醒與追溯紀錄。驗證警示是否漏報、重複過多、延遲或誤導，記錄觸發前使用的數值與版本。規則可由 LLM 提出文字候選、人工確認後成為版本化設定；不推斷使用者情緒，也不擅自平倉。主動交易權限是另一個需明確評估的範圍。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階段五 個人案例與多使用者授權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匯入權利、格式、帳戶及時區可核對。先允許使用者匯入自己的對帳單，完成預覽、品質檢查與確認，再建立個人案例池。共享原交易員案例與個人歷史要分開顯示，不能把不同人的結果混成個人勝率；刪除及重新匯入需保留清楚規則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再加入登入、獨立回放工作階段、案例隔離與券商模擬帳戶 OAuth。官方 cTrader 授權區分唯讀帳戶權限與交易權限 [2]，產品需清楚說明取得的權限、保存的資料與撤銷方式。展示可讓兩位使用者各自操作模擬帳戶，第三位只做回放；驗證跨使用者資料不可見、權限撤銷後停止操作、token 過期處理及交易紀錄可追溯。初版共享團隊展示帳戶不等於已完成此階段。</w:t>
      </w:r>
    </w:p>
    <w:p>
      <w:pPr>
        <w:pStyle w:val="Heading2"/>
      </w:pPr>
      <w:r>
        <w:rPr>
          <w:rFonts w:ascii="標楷體" w:hAnsi="標楷體" w:eastAsia="標楷體" w:cs="標楷體"/>
          <w:b/>
          <w:color w:val="000000"/>
          <w:sz w:val="26"/>
          <w:szCs w:val="26"/>
        </w:rPr>
        <w:t>階段六 商業驗證與部署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前提是核心流程穩定、資料使用權清楚、數值與警示經過任務測試。先與黃金交易使用者、金融社團或教學單位訪談，確認他們是否反覆需要加倉試算、私人案例與提醒，再設計小規模試用。付費方案應依實際價值與服務成本形成，不能先以提高勝率作銷售承諾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展示成果包含可部署版本、使用指引、資料刪除與權限管理，以及同意下收集的使用紀錄。驗證關注再次使用、核心任務完成率、錯誤回報、支援成本及付費意願；同時檢查資料隔離、備份恢復、事件追溯與負載。真實資金交易仍需另外評估法規、券商責任、故障處理與使用者授權，不由模擬流程驗收自動延伸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十一 預期成果與研究限制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本專題預期交付可運行交易工作台、可重現資料稽核、透明案例檢索、可人工核對的價格風險試算、中文草稿助手與專題文件。展示從首筆、加倉、風險確認到平倉的完整操作，並同時展示無停損、無案例、草稿失效及券商未連線等情境。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資料完整性、時區與單一案例來源仍限制結論。歷史案例不代表所有交易風格，操作條件相似不代表行情成因相同；合成回放不代表券商成交品質。研究成果應以流程正確、資料可追溯與使用者是否理解風險評估，不能以少量展示案例宣稱盈利能力或策略已被模仿。</w:t>
      </w:r>
    </w:p>
    <w:p>
      <w:pPr>
        <w:pStyle w:val="Heading1"/>
      </w:pPr>
      <w:r>
        <w:rPr>
          <w:rFonts w:ascii="標楷體" w:hAnsi="標楷體" w:eastAsia="標楷體" w:cs="標楷體"/>
          <w:b/>
          <w:color w:val="000000"/>
          <w:sz w:val="30"/>
          <w:szCs w:val="30"/>
        </w:rPr>
        <w:t>參考資料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[1] Spotware cTrader Open API Getting started。模擬帳戶、行情與交易 API 的官方介紹。https://help.ctrader.com/open-api/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[2] Spotware cTrader Open API App and account authentication。OAuth 帳戶授權及權限說明。https://help.ctrader.com/open-api/account-authentication/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[3] MetaQuotes Python Integration。MetaTrader 5 終端與 Python 的官方整合介面。https://www.mql5.com/en/docs/python_metatrader5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[4] Python decimal 文件。十進位運算與財務計算的官方技術參考。https://docs.python.org/3/library/decimal.html</w:t>
      </w:r>
    </w:p>
    <w:p>
      <w:r>
        <w:rPr>
          <w:rFonts w:ascii="標楷體" w:hAnsi="標楷體" w:eastAsia="標楷體" w:cs="標楷體"/>
          <w:b w:val="0"/>
          <w:color w:val="000000"/>
          <w:sz w:val="24"/>
          <w:szCs w:val="24"/>
        </w:rPr>
        <w:t>資料與實作依據：本專案資料稽核產出、產品設計、API 契約與第一版原始程式。外部文件說明技術能力，不代表本團隊已取得券商資格或完成連線。參考資料查閱日期為 2026 年 10 月 1 日。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標楷體" w:hAnsi="標楷體" w:eastAsia="標楷體" w:cs="標楷體"/>
          <w:sz w:val="24"/>
          <w:szCs w:val="24"/>
          <w:color w:val="00000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hAnsi="標楷體" w:eastAsia="標楷體" w:cs="標楷體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標楷體" w:hAnsi="標楷體" w:eastAsia="標楷體" w:cs="標楷體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標楷體" w:hAnsi="標楷體" w:eastAsia="標楷體" w:cs="標楷體"/>
      <w:sz w:val="24"/>
      <w:szCs w:val="24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標楷體" w:hAnsi="標楷體" w:eastAsia="標楷體" w:cs="標楷體"/>
      <w:sz w:val="24"/>
      <w:szCs w:val="24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="標楷體" w:hAnsi="標楷體" w:eastAsia="標楷體" w:cs="標楷體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="標楷體" w:hAnsi="標楷體" w:eastAsia="標楷體" w:cs="標楷體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標楷體" w:hAnsi="標楷體" w:eastAsia="標楷體" w:cs="標楷體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="標楷體" w:hAnsi="標楷體" w:eastAsia="標楷體" w:cs="標楷體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="標楷體" w:hAnsi="標楷體" w:eastAsia="標楷體" w:cs="標楷體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="標楷體" w:hAnsi="標楷體" w:eastAsia="標楷體" w:cs="標楷體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="標楷體" w:hAnsi="標楷體" w:eastAsia="標楷體" w:cs="標楷體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="標楷體" w:hAnsi="標楷體" w:eastAsia="標楷體" w:cs="標楷體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標楷體" w:hAnsi="標楷體" w:eastAsia="標楷體" w:cs="標楷體"/>
      <w:sz w:val="24"/>
      <w:szCs w:val="24"/>
      <w:color w:val="000000"/>
    </w:rPr>
  </w:style>
  <w:style w:type="table" w:default="1" w:styleId="TableNormal">
    <w:name w:val="Normal Table"/>
    <w:uiPriority w:val="99"/>
    <w:semiHidden/>
    <w:unhideWhenUsed/>
    <w:rPr>
      <w:rFonts w:ascii="標楷體" w:hAnsi="標楷體" w:eastAsia="標楷體" w:cs="標楷體"/>
      <w:sz w:val="24"/>
      <w:szCs w:val="24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標楷體" w:hAnsi="標楷體" w:eastAsia="標楷體" w:cs="標楷體"/>
      <w:sz w:val="24"/>
      <w:szCs w:val="24"/>
      <w:color w:val="000000"/>
    </w:rPr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標楷體" w:hAnsi="標楷體" w:eastAsia="標楷體" w:cs="標楷體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標楷體" w:hAnsi="標楷體" w:eastAsia="標楷體" w:cs="標楷體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標楷體" w:hAnsi="標楷體" w:eastAsia="標楷體" w:cs="標楷體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4" w:lineRule="auto" w:before="0"/>
      <w:contextualSpacing/>
    </w:pPr>
    <w:rPr>
      <w:rFonts w:ascii="標楷體" w:hAnsi="標楷體" w:eastAsia="標楷體" w:cs="標楷體"/>
      <w:b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標楷體" w:hAnsi="標楷體" w:eastAsia="標楷體" w:cs="標楷體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標楷體" w:hAnsi="標楷體" w:eastAsia="標楷體" w:cs="標楷體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標楷體" w:hAnsi="標楷體" w:eastAsia="標楷體" w:cs="標楷體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標楷體" w:hAnsi="標楷體" w:eastAsia="標楷體" w:cs="標楷體"/>
      <w:sz w:val="24"/>
      <w:szCs w:val="24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標楷體" w:hAnsi="標楷體" w:eastAsia="標楷體" w:cs="標楷體"/>
      <w:sz w:val="24"/>
      <w:szCs w:val="24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標楷體" w:hAnsi="標楷體" w:eastAsia="標楷體" w:cs="標楷體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標楷體" w:hAnsi="標楷體" w:eastAsia="標楷體" w:cs="標楷體"/>
      <w:sz w:val="24"/>
      <w:szCs w:val="24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標楷體" w:hAnsi="標楷體" w:eastAsia="標楷體" w:cs="標楷體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標楷體" w:hAnsi="標楷體" w:eastAsia="標楷體" w:cs="標楷體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標楷體" w:hAnsi="標楷體" w:eastAsia="標楷體" w:cs="標楷體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標楷體" w:hAnsi="標楷體" w:eastAsia="標楷體" w:cs="標楷體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標楷體" w:hAnsi="標楷體" w:eastAsia="標楷體" w:cs="標楷體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標楷體" w:hAnsi="標楷體" w:eastAsia="標楷體" w:cs="標楷體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標楷體" w:hAnsi="標楷體" w:eastAsia="標楷體" w:cs="標楷體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標楷體" w:hAnsi="標楷體" w:eastAsia="標楷體" w:cs="標楷體"/>
      <w:b/>
      <w:bCs/>
      <w:sz w:val="24"/>
      <w:szCs w:val="24"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標楷體" w:hAnsi="標楷體" w:eastAsia="標楷體" w:cs="標楷體"/>
      <w:i/>
      <w:iCs/>
      <w:sz w:val="24"/>
      <w:szCs w:val="24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pBdr>
        <w:bottom w:val="single" w:sz="4" w:space="4" w:color="4F81BD" w:themeColor="accent1"/>
      </w:pBdr>
      <w:spacing w:before="200" w:after="280"/>
      <w:ind w:left="936" w:right="936"/>
    </w:pPr>
    <w:rPr>
      <w:rFonts w:ascii="標楷體" w:hAnsi="標楷體" w:eastAsia="標楷體" w:cs="標楷體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標楷體" w:hAnsi="標楷體" w:eastAsia="標楷體" w:cs="標楷體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標楷體" w:hAnsi="標楷體" w:eastAsia="標楷體" w:cs="標楷體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標楷體" w:hAnsi="標楷體" w:eastAsia="標楷體" w:cs="標楷體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標楷體" w:hAnsi="標楷體" w:eastAsia="標楷體" w:cs="標楷體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標楷體" w:hAnsi="標楷體" w:eastAsia="標楷體" w:cs="標楷體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標楷體" w:hAnsi="標楷體" w:eastAsia="標楷體" w:cs="標楷體"/>
      <w:b/>
      <w:bCs/>
      <w:smallCaps/>
      <w:spacing w:val="5"/>
      <w:sz w:val="24"/>
      <w:szCs w:val="24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標楷體" w:hAnsi="標楷體" w:eastAsia="標楷體" w:cs="標楷體"/>
      <w:sz w:val="24"/>
      <w:szCs w:val="24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標楷體" w:hAnsi="標楷體" w:eastAsia="標楷體" w:cs="標楷體"/>
      <w:sz w:val="24"/>
      <w:szCs w:val="24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標楷體" w:hAnsi="標楷體" w:eastAsia="標楷體" w:cs="標楷體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結合歷史交易案例檢索與對話式風險提示的黃金交易輔助平台</dc:title>
  <dc:subject>專題報告與階段擴充規劃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